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8" w:space="0" w:color="B49F92"/>
          <w:left w:val="outset" w:sz="18" w:space="0" w:color="B49F92"/>
          <w:bottom w:val="outset" w:sz="18" w:space="0" w:color="B49F92"/>
          <w:right w:val="outset" w:sz="18" w:space="0" w:color="B49F92"/>
        </w:tblBorders>
        <w:tblCellMar>
          <w:left w:w="0" w:type="dxa"/>
          <w:right w:w="0" w:type="dxa"/>
        </w:tblCellMar>
        <w:tblLook w:val="04A0"/>
      </w:tblPr>
      <w:tblGrid>
        <w:gridCol w:w="1835"/>
        <w:gridCol w:w="7823"/>
      </w:tblGrid>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t>解釋字號</w:t>
            </w:r>
          </w:p>
        </w:tc>
        <w:tc>
          <w:tcPr>
            <w:tcW w:w="4050" w:type="pct"/>
            <w:tcBorders>
              <w:top w:val="single" w:sz="8" w:space="0" w:color="D2C8C4"/>
              <w:left w:val="single" w:sz="8" w:space="0" w:color="D2C8C4"/>
              <w:bottom w:val="single" w:sz="8" w:space="0" w:color="D2C8C4"/>
              <w:right w:val="single" w:sz="8" w:space="0" w:color="D2C8C4"/>
            </w:tcBorders>
            <w:shd w:val="clear" w:color="auto" w:fill="F8F8F8"/>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釋字第 729 </w:t>
            </w:r>
          </w:p>
        </w:tc>
      </w:tr>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t>解釋公布日期</w:t>
            </w:r>
          </w:p>
        </w:tc>
        <w:tc>
          <w:tcPr>
            <w:tcW w:w="0" w:type="auto"/>
            <w:tcBorders>
              <w:top w:val="single" w:sz="8" w:space="0" w:color="D2C8C4"/>
              <w:left w:val="single" w:sz="8" w:space="0" w:color="D2C8C4"/>
              <w:bottom w:val="single" w:sz="8" w:space="0" w:color="D2C8C4"/>
              <w:right w:val="single" w:sz="8" w:space="0" w:color="D2C8C4"/>
            </w:tcBorders>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民國 104年5月1日</w:t>
            </w:r>
          </w:p>
        </w:tc>
      </w:tr>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t>解釋爭點</w:t>
            </w:r>
          </w:p>
        </w:tc>
        <w:tc>
          <w:tcPr>
            <w:tcW w:w="0" w:type="auto"/>
            <w:tcBorders>
              <w:top w:val="single" w:sz="8" w:space="0" w:color="D2C8C4"/>
              <w:left w:val="single" w:sz="8" w:space="0" w:color="D2C8C4"/>
              <w:bottom w:val="single" w:sz="8" w:space="0" w:color="D2C8C4"/>
              <w:right w:val="single" w:sz="8" w:space="0" w:color="D2C8C4"/>
            </w:tcBorders>
            <w:shd w:val="clear" w:color="auto" w:fill="F8F8F8"/>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立法院得否調閱檢察機關之偵查卷證？</w:t>
            </w:r>
          </w:p>
        </w:tc>
      </w:tr>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t>解釋文</w:t>
            </w:r>
          </w:p>
        </w:tc>
        <w:tc>
          <w:tcPr>
            <w:tcW w:w="0" w:type="auto"/>
            <w:tcBorders>
              <w:top w:val="single" w:sz="8" w:space="0" w:color="D2C8C4"/>
              <w:left w:val="single" w:sz="8" w:space="0" w:color="D2C8C4"/>
              <w:bottom w:val="single" w:sz="8" w:space="0" w:color="D2C8C4"/>
              <w:right w:val="single" w:sz="8" w:space="0" w:color="D2C8C4"/>
            </w:tcBorders>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檢察機關代表國家進行犯罪之偵查與追訴，基於權力分立與制衡原則，且為保障檢察機關獨立行使職權，對於偵查中之案件，立法院自不得向其調閱相關卷證。立法院向檢察機關</w:t>
            </w:r>
            <w:proofErr w:type="gramStart"/>
            <w:r w:rsidRPr="007D1935">
              <w:rPr>
                <w:rFonts w:ascii="標楷體" w:eastAsia="標楷體" w:hAnsi="標楷體" w:cs="Arial"/>
                <w:color w:val="000000"/>
                <w:kern w:val="0"/>
                <w:sz w:val="28"/>
                <w:szCs w:val="28"/>
              </w:rPr>
              <w:t>調閱已偵查</w:t>
            </w:r>
            <w:proofErr w:type="gramEnd"/>
            <w:r w:rsidRPr="007D1935">
              <w:rPr>
                <w:rFonts w:ascii="標楷體" w:eastAsia="標楷體" w:hAnsi="標楷體" w:cs="Arial"/>
                <w:color w:val="000000"/>
                <w:kern w:val="0"/>
                <w:sz w:val="28"/>
                <w:szCs w:val="28"/>
              </w:rPr>
              <w:t>終結而不起訴處分確定或未經起訴而以其他方式結案之案件卷證，須基於目的與</w:t>
            </w:r>
            <w:proofErr w:type="gramStart"/>
            <w:r w:rsidRPr="007D1935">
              <w:rPr>
                <w:rFonts w:ascii="標楷體" w:eastAsia="標楷體" w:hAnsi="標楷體" w:cs="Arial"/>
                <w:color w:val="000000"/>
                <w:kern w:val="0"/>
                <w:sz w:val="28"/>
                <w:szCs w:val="28"/>
              </w:rPr>
              <w:t>範圍均屬明確</w:t>
            </w:r>
            <w:proofErr w:type="gramEnd"/>
            <w:r w:rsidRPr="007D1935">
              <w:rPr>
                <w:rFonts w:ascii="標楷體" w:eastAsia="標楷體" w:hAnsi="標楷體" w:cs="Arial"/>
                <w:color w:val="000000"/>
                <w:kern w:val="0"/>
                <w:sz w:val="28"/>
                <w:szCs w:val="28"/>
              </w:rPr>
              <w:t>之特定議案，並與其行使憲法上職權有重大關聯，且非屬法律所禁止者為限。如因</w:t>
            </w:r>
            <w:proofErr w:type="gramStart"/>
            <w:r w:rsidRPr="007D1935">
              <w:rPr>
                <w:rFonts w:ascii="標楷體" w:eastAsia="標楷體" w:hAnsi="標楷體" w:cs="Arial"/>
                <w:color w:val="000000"/>
                <w:kern w:val="0"/>
                <w:sz w:val="28"/>
                <w:szCs w:val="28"/>
              </w:rPr>
              <w:t>調閱而有</w:t>
            </w:r>
            <w:proofErr w:type="gramEnd"/>
            <w:r w:rsidRPr="007D1935">
              <w:rPr>
                <w:rFonts w:ascii="標楷體" w:eastAsia="標楷體" w:hAnsi="標楷體" w:cs="Arial"/>
                <w:color w:val="000000"/>
                <w:kern w:val="0"/>
                <w:sz w:val="28"/>
                <w:szCs w:val="28"/>
              </w:rPr>
              <w:t>妨害另案偵查之虞，檢察機關得延</w:t>
            </w:r>
            <w:proofErr w:type="gramStart"/>
            <w:r w:rsidRPr="007D1935">
              <w:rPr>
                <w:rFonts w:ascii="標楷體" w:eastAsia="標楷體" w:hAnsi="標楷體" w:cs="Arial"/>
                <w:color w:val="000000"/>
                <w:kern w:val="0"/>
                <w:sz w:val="28"/>
                <w:szCs w:val="28"/>
              </w:rPr>
              <w:t>至該另案</w:t>
            </w:r>
            <w:proofErr w:type="gramEnd"/>
            <w:r w:rsidRPr="007D1935">
              <w:rPr>
                <w:rFonts w:ascii="標楷體" w:eastAsia="標楷體" w:hAnsi="標楷體" w:cs="Arial"/>
                <w:color w:val="000000"/>
                <w:kern w:val="0"/>
                <w:sz w:val="28"/>
                <w:szCs w:val="28"/>
              </w:rPr>
              <w:t>偵查終結後，再行提供調</w:t>
            </w:r>
            <w:proofErr w:type="gramStart"/>
            <w:r w:rsidRPr="007D1935">
              <w:rPr>
                <w:rFonts w:ascii="標楷體" w:eastAsia="標楷體" w:hAnsi="標楷體" w:cs="Arial"/>
                <w:color w:val="000000"/>
                <w:kern w:val="0"/>
                <w:sz w:val="28"/>
                <w:szCs w:val="28"/>
              </w:rPr>
              <w:t>閱之卷證</w:t>
            </w:r>
            <w:proofErr w:type="gramEnd"/>
            <w:r w:rsidRPr="007D1935">
              <w:rPr>
                <w:rFonts w:ascii="標楷體" w:eastAsia="標楷體" w:hAnsi="標楷體" w:cs="Arial"/>
                <w:color w:val="000000"/>
                <w:kern w:val="0"/>
                <w:sz w:val="28"/>
                <w:szCs w:val="28"/>
              </w:rPr>
              <w:t>資料。其調閱偵查卷證之文件原本或與原本內容相同之</w:t>
            </w:r>
            <w:proofErr w:type="gramStart"/>
            <w:r w:rsidRPr="007D1935">
              <w:rPr>
                <w:rFonts w:ascii="標楷體" w:eastAsia="標楷體" w:hAnsi="標楷體" w:cs="Arial"/>
                <w:color w:val="000000"/>
                <w:kern w:val="0"/>
                <w:sz w:val="28"/>
                <w:szCs w:val="28"/>
              </w:rPr>
              <w:t>影本者</w:t>
            </w:r>
            <w:proofErr w:type="gramEnd"/>
            <w:r w:rsidRPr="007D1935">
              <w:rPr>
                <w:rFonts w:ascii="標楷體" w:eastAsia="標楷體" w:hAnsi="標楷體" w:cs="Arial"/>
                <w:color w:val="000000"/>
                <w:kern w:val="0"/>
                <w:sz w:val="28"/>
                <w:szCs w:val="28"/>
              </w:rPr>
              <w:t>，應經立法院院會決議；要求提供參考資料者，由院會或其委員會決議為之。因調閱卷證而知悉之資訊，其使用應限於行使憲法上職權所必要，並注意維護關係人之權益（如名譽、隱私、營業秘密等）。本院釋字第三二五號解釋應予補充。  </w:t>
            </w:r>
          </w:p>
        </w:tc>
      </w:tr>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t>理由書</w:t>
            </w:r>
          </w:p>
        </w:tc>
        <w:tc>
          <w:tcPr>
            <w:tcW w:w="0" w:type="auto"/>
            <w:tcBorders>
              <w:top w:val="single" w:sz="8" w:space="0" w:color="D2C8C4"/>
              <w:left w:val="single" w:sz="8" w:space="0" w:color="D2C8C4"/>
              <w:bottom w:val="single" w:sz="8" w:space="0" w:color="D2C8C4"/>
              <w:right w:val="single" w:sz="8" w:space="0" w:color="D2C8C4"/>
            </w:tcBorders>
            <w:shd w:val="clear" w:color="auto" w:fill="F8F8F8"/>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w:t>
            </w:r>
            <w:proofErr w:type="gramStart"/>
            <w:r w:rsidRPr="007D1935">
              <w:rPr>
                <w:rFonts w:ascii="標楷體" w:eastAsia="標楷體" w:hAnsi="標楷體" w:cs="Arial"/>
                <w:color w:val="000000"/>
                <w:kern w:val="0"/>
                <w:sz w:val="28"/>
                <w:szCs w:val="28"/>
              </w:rPr>
              <w:t>本件緣於</w:t>
            </w:r>
            <w:proofErr w:type="gramEnd"/>
            <w:r w:rsidRPr="007D1935">
              <w:rPr>
                <w:rFonts w:ascii="標楷體" w:eastAsia="標楷體" w:hAnsi="標楷體" w:cs="Arial"/>
                <w:color w:val="000000"/>
                <w:kern w:val="0"/>
                <w:sz w:val="28"/>
                <w:szCs w:val="28"/>
              </w:rPr>
              <w:t>立法院司法及法制委員會（下稱司法及法</w:t>
            </w:r>
            <w:r w:rsidRPr="007D1935">
              <w:rPr>
                <w:rFonts w:ascii="標楷體" w:eastAsia="標楷體" w:hAnsi="標楷體" w:cs="Arial"/>
                <w:color w:val="000000"/>
                <w:kern w:val="0"/>
                <w:sz w:val="28"/>
                <w:szCs w:val="28"/>
              </w:rPr>
              <w:lastRenderedPageBreak/>
              <w:t>制委員會）為審查通訊保障及監察法部分條文修正草案等法律案，依立法院職權行使法第四十五條規定，</w:t>
            </w:r>
            <w:proofErr w:type="gramStart"/>
            <w:r w:rsidRPr="007D1935">
              <w:rPr>
                <w:rFonts w:ascii="標楷體" w:eastAsia="標楷體" w:hAnsi="標楷體" w:cs="Arial"/>
                <w:color w:val="000000"/>
                <w:kern w:val="0"/>
                <w:sz w:val="28"/>
                <w:szCs w:val="28"/>
              </w:rPr>
              <w:t>向聲請</w:t>
            </w:r>
            <w:proofErr w:type="gramEnd"/>
            <w:r w:rsidRPr="007D1935">
              <w:rPr>
                <w:rFonts w:ascii="標楷體" w:eastAsia="標楷體" w:hAnsi="標楷體" w:cs="Arial"/>
                <w:color w:val="000000"/>
                <w:kern w:val="0"/>
                <w:sz w:val="28"/>
                <w:szCs w:val="28"/>
              </w:rPr>
              <w:t>人最高法院檢察署調閱該署</w:t>
            </w:r>
            <w:proofErr w:type="gramStart"/>
            <w:r w:rsidRPr="007D1935">
              <w:rPr>
                <w:rFonts w:ascii="標楷體" w:eastAsia="標楷體" w:hAnsi="標楷體" w:cs="Arial"/>
                <w:color w:val="000000"/>
                <w:kern w:val="0"/>
                <w:sz w:val="28"/>
                <w:szCs w:val="28"/>
              </w:rPr>
              <w:t>一００</w:t>
            </w:r>
            <w:proofErr w:type="gramEnd"/>
            <w:r w:rsidRPr="007D1935">
              <w:rPr>
                <w:rFonts w:ascii="標楷體" w:eastAsia="標楷體" w:hAnsi="標楷體" w:cs="Arial"/>
                <w:color w:val="000000"/>
                <w:kern w:val="0"/>
                <w:sz w:val="28"/>
                <w:szCs w:val="28"/>
              </w:rPr>
              <w:t>年度特他字第六一號偵查卷證之通訊監察聲請書、筆錄、監聽譯文、公文等</w:t>
            </w:r>
            <w:proofErr w:type="gramStart"/>
            <w:r w:rsidRPr="007D1935">
              <w:rPr>
                <w:rFonts w:ascii="標楷體" w:eastAsia="標楷體" w:hAnsi="標楷體" w:cs="Arial"/>
                <w:color w:val="000000"/>
                <w:kern w:val="0"/>
                <w:sz w:val="28"/>
                <w:szCs w:val="28"/>
              </w:rPr>
              <w:t>卷證文書影</w:t>
            </w:r>
            <w:proofErr w:type="gramEnd"/>
            <w:r w:rsidRPr="007D1935">
              <w:rPr>
                <w:rFonts w:ascii="標楷體" w:eastAsia="標楷體" w:hAnsi="標楷體" w:cs="Arial"/>
                <w:color w:val="000000"/>
                <w:kern w:val="0"/>
                <w:sz w:val="28"/>
                <w:szCs w:val="28"/>
              </w:rPr>
              <w:t>本及監聽光碟片。聲請</w:t>
            </w:r>
            <w:proofErr w:type="gramStart"/>
            <w:r w:rsidRPr="007D1935">
              <w:rPr>
                <w:rFonts w:ascii="標楷體" w:eastAsia="標楷體" w:hAnsi="標楷體" w:cs="Arial"/>
                <w:color w:val="000000"/>
                <w:kern w:val="0"/>
                <w:sz w:val="28"/>
                <w:szCs w:val="28"/>
              </w:rPr>
              <w:t>人認依司法</w:t>
            </w:r>
            <w:proofErr w:type="gramEnd"/>
            <w:r w:rsidRPr="007D1935">
              <w:rPr>
                <w:rFonts w:ascii="標楷體" w:eastAsia="標楷體" w:hAnsi="標楷體" w:cs="Arial"/>
                <w:color w:val="000000"/>
                <w:kern w:val="0"/>
                <w:sz w:val="28"/>
                <w:szCs w:val="28"/>
              </w:rPr>
              <w:t>院釋字第三二五號、第五八五號解釋意旨，檢察官之偵查係對外獨立行使職權，與法官之刑事審判，應同受憲法保障，且偵查卷證係偵查行為之一部，為犯罪偵查不公開之事項，非屬立法院所得調閱之事物範圍。即令案件偵查終結後，若檢察官有違法、不當之情事，亦應由監察院調查。立法院僅能在制度、預算、法律等事項對檢察機關進行通案監督，應無介入個案調閱偵查卷證之餘地等情，而拒絕提供調</w:t>
            </w:r>
            <w:proofErr w:type="gramStart"/>
            <w:r w:rsidRPr="007D1935">
              <w:rPr>
                <w:rFonts w:ascii="標楷體" w:eastAsia="標楷體" w:hAnsi="標楷體" w:cs="Arial"/>
                <w:color w:val="000000"/>
                <w:kern w:val="0"/>
                <w:sz w:val="28"/>
                <w:szCs w:val="28"/>
              </w:rPr>
              <w:t>閱之卷證</w:t>
            </w:r>
            <w:proofErr w:type="gramEnd"/>
            <w:r w:rsidRPr="007D1935">
              <w:rPr>
                <w:rFonts w:ascii="標楷體" w:eastAsia="標楷體" w:hAnsi="標楷體" w:cs="Arial"/>
                <w:color w:val="000000"/>
                <w:kern w:val="0"/>
                <w:sz w:val="28"/>
                <w:szCs w:val="28"/>
              </w:rPr>
              <w:t>。司法及法制委員會</w:t>
            </w:r>
            <w:proofErr w:type="gramStart"/>
            <w:r w:rsidRPr="007D1935">
              <w:rPr>
                <w:rFonts w:ascii="標楷體" w:eastAsia="標楷體" w:hAnsi="標楷體" w:cs="Arial"/>
                <w:color w:val="000000"/>
                <w:kern w:val="0"/>
                <w:sz w:val="28"/>
                <w:szCs w:val="28"/>
              </w:rPr>
              <w:t>因認聲請</w:t>
            </w:r>
            <w:proofErr w:type="gramEnd"/>
            <w:r w:rsidRPr="007D1935">
              <w:rPr>
                <w:rFonts w:ascii="標楷體" w:eastAsia="標楷體" w:hAnsi="標楷體" w:cs="Arial"/>
                <w:color w:val="000000"/>
                <w:kern w:val="0"/>
                <w:sz w:val="28"/>
                <w:szCs w:val="28"/>
              </w:rPr>
              <w:t>人之檢察總長迴避監督、藐視國會，將檢察總長函送監察院調查。是聲請人即有本於偵查職權而與立法院調閱文件之職權發生適用憲法之爭議，乃報請其上級機關法務部，層轉行政院聲請解釋憲法。經核與司法院大法官審理案件法第五條第一項第一款、第九條之規定相符，應予受理，</w:t>
            </w:r>
            <w:proofErr w:type="gramStart"/>
            <w:r w:rsidRPr="007D1935">
              <w:rPr>
                <w:rFonts w:ascii="標楷體" w:eastAsia="標楷體" w:hAnsi="標楷體" w:cs="Arial"/>
                <w:color w:val="000000"/>
                <w:kern w:val="0"/>
                <w:sz w:val="28"/>
                <w:szCs w:val="28"/>
              </w:rPr>
              <w:t>合先敘</w:t>
            </w:r>
            <w:proofErr w:type="gramEnd"/>
            <w:r w:rsidRPr="007D1935">
              <w:rPr>
                <w:rFonts w:ascii="標楷體" w:eastAsia="標楷體" w:hAnsi="標楷體" w:cs="Arial"/>
                <w:color w:val="000000"/>
                <w:kern w:val="0"/>
                <w:sz w:val="28"/>
                <w:szCs w:val="28"/>
              </w:rPr>
              <w:t>明。 </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立法院為行使憲法上所賦予之職權，除依憲法第六十七條第二項及憲法增修條文第三條第二項第一款辦理外，</w:t>
            </w:r>
            <w:r w:rsidRPr="007D1935">
              <w:rPr>
                <w:rFonts w:ascii="標楷體" w:eastAsia="標楷體" w:hAnsi="標楷體" w:cs="Arial"/>
                <w:color w:val="000000"/>
                <w:kern w:val="0"/>
                <w:sz w:val="28"/>
                <w:szCs w:val="28"/>
              </w:rPr>
              <w:lastRenderedPageBreak/>
              <w:t>得經院會或其委員會之決議，要求有關機關就議案涉及事項提供參考資料；必要時並得經院會決議調閱文件原本。受要求調閱之機關非依法律規定或有其他正當理由不得拒絕。但國家機關獨立行使職權受憲法之保障者，如訴訟案件在裁判確定前就偵查、審判所為之處置</w:t>
            </w:r>
            <w:proofErr w:type="gramStart"/>
            <w:r w:rsidRPr="007D1935">
              <w:rPr>
                <w:rFonts w:ascii="標楷體" w:eastAsia="標楷體" w:hAnsi="標楷體" w:cs="Arial"/>
                <w:color w:val="000000"/>
                <w:kern w:val="0"/>
                <w:sz w:val="28"/>
                <w:szCs w:val="28"/>
              </w:rPr>
              <w:t>及其卷證</w:t>
            </w:r>
            <w:proofErr w:type="gramEnd"/>
            <w:r w:rsidRPr="007D1935">
              <w:rPr>
                <w:rFonts w:ascii="標楷體" w:eastAsia="標楷體" w:hAnsi="標楷體" w:cs="Arial"/>
                <w:color w:val="000000"/>
                <w:kern w:val="0"/>
                <w:sz w:val="28"/>
                <w:szCs w:val="28"/>
              </w:rPr>
              <w:t>等，立法院對之調閱文件本受有限制，業經本院釋字第三二五號解釋在案。</w:t>
            </w:r>
            <w:proofErr w:type="gramStart"/>
            <w:r w:rsidRPr="007D1935">
              <w:rPr>
                <w:rFonts w:ascii="標楷體" w:eastAsia="標楷體" w:hAnsi="標楷體" w:cs="Arial"/>
                <w:color w:val="000000"/>
                <w:kern w:val="0"/>
                <w:sz w:val="28"/>
                <w:szCs w:val="28"/>
              </w:rPr>
              <w:t>嗣</w:t>
            </w:r>
            <w:proofErr w:type="gramEnd"/>
            <w:r w:rsidRPr="007D1935">
              <w:rPr>
                <w:rFonts w:ascii="標楷體" w:eastAsia="標楷體" w:hAnsi="標楷體" w:cs="Arial"/>
                <w:color w:val="000000"/>
                <w:kern w:val="0"/>
                <w:sz w:val="28"/>
                <w:szCs w:val="28"/>
              </w:rPr>
              <w:t>依循本院上開解釋意旨制定之立法院職權行使法第四十五條規定：「立法院經院會決議，</w:t>
            </w:r>
            <w:proofErr w:type="gramStart"/>
            <w:r w:rsidRPr="007D1935">
              <w:rPr>
                <w:rFonts w:ascii="標楷體" w:eastAsia="標楷體" w:hAnsi="標楷體" w:cs="Arial"/>
                <w:color w:val="000000"/>
                <w:kern w:val="0"/>
                <w:sz w:val="28"/>
                <w:szCs w:val="28"/>
              </w:rPr>
              <w:t>得設調閱</w:t>
            </w:r>
            <w:proofErr w:type="gramEnd"/>
            <w:r w:rsidRPr="007D1935">
              <w:rPr>
                <w:rFonts w:ascii="標楷體" w:eastAsia="標楷體" w:hAnsi="標楷體" w:cs="Arial"/>
                <w:color w:val="000000"/>
                <w:kern w:val="0"/>
                <w:sz w:val="28"/>
                <w:szCs w:val="28"/>
              </w:rPr>
              <w:t>委員會，或經委員會之決議，</w:t>
            </w:r>
            <w:proofErr w:type="gramStart"/>
            <w:r w:rsidRPr="007D1935">
              <w:rPr>
                <w:rFonts w:ascii="標楷體" w:eastAsia="標楷體" w:hAnsi="標楷體" w:cs="Arial"/>
                <w:color w:val="000000"/>
                <w:kern w:val="0"/>
                <w:sz w:val="28"/>
                <w:szCs w:val="28"/>
              </w:rPr>
              <w:t>得設調閱</w:t>
            </w:r>
            <w:proofErr w:type="gramEnd"/>
            <w:r w:rsidRPr="007D1935">
              <w:rPr>
                <w:rFonts w:ascii="標楷體" w:eastAsia="標楷體" w:hAnsi="標楷體" w:cs="Arial"/>
                <w:color w:val="000000"/>
                <w:kern w:val="0"/>
                <w:sz w:val="28"/>
                <w:szCs w:val="28"/>
              </w:rPr>
              <w:t>專案小組，要求有關機關就特定議案涉及事項提供參考資料（第一項）。調閱委員會或調閱專案小組於必要時，得經院會之決議，向有關機關調閱前項議案涉及事項之文件原本（第二項）。」第四十七條第一項</w:t>
            </w:r>
            <w:proofErr w:type="gramStart"/>
            <w:r w:rsidRPr="007D1935">
              <w:rPr>
                <w:rFonts w:ascii="標楷體" w:eastAsia="標楷體" w:hAnsi="標楷體" w:cs="Arial"/>
                <w:color w:val="000000"/>
                <w:kern w:val="0"/>
                <w:sz w:val="28"/>
                <w:szCs w:val="28"/>
              </w:rPr>
              <w:t>前段復規定</w:t>
            </w:r>
            <w:proofErr w:type="gramEnd"/>
            <w:r w:rsidRPr="007D1935">
              <w:rPr>
                <w:rFonts w:ascii="標楷體" w:eastAsia="標楷體" w:hAnsi="標楷體" w:cs="Arial"/>
                <w:color w:val="000000"/>
                <w:kern w:val="0"/>
                <w:sz w:val="28"/>
                <w:szCs w:val="28"/>
              </w:rPr>
              <w:t>：「受要求調閱文件之機關，除依法律或其他正當理由得拒絕外，應於五日內提供之。」立法院要求提供參考資料權及文件調閱權，係輔助立法院行使憲法職權之權力，故必須基於與議決法律案、預算案或人事同意權案等憲法上職權之特定議案有重大關聯者，始得為之。為判斷文件調閱權之行使是否與立法院職權之行使有重大關聯，上開立法院職權行使法第四十五條第一項所稱特定議案，其目的及</w:t>
            </w:r>
            <w:proofErr w:type="gramStart"/>
            <w:r w:rsidRPr="007D1935">
              <w:rPr>
                <w:rFonts w:ascii="標楷體" w:eastAsia="標楷體" w:hAnsi="標楷體" w:cs="Arial"/>
                <w:color w:val="000000"/>
                <w:kern w:val="0"/>
                <w:sz w:val="28"/>
                <w:szCs w:val="28"/>
              </w:rPr>
              <w:t>範圍均應明</w:t>
            </w:r>
            <w:r w:rsidRPr="007D1935">
              <w:rPr>
                <w:rFonts w:ascii="標楷體" w:eastAsia="標楷體" w:hAnsi="標楷體" w:cs="Arial"/>
                <w:color w:val="000000"/>
                <w:kern w:val="0"/>
                <w:sz w:val="28"/>
                <w:szCs w:val="28"/>
              </w:rPr>
              <w:lastRenderedPageBreak/>
              <w:t>確</w:t>
            </w:r>
            <w:proofErr w:type="gramEnd"/>
            <w:r w:rsidRPr="007D1935">
              <w:rPr>
                <w:rFonts w:ascii="標楷體" w:eastAsia="標楷體" w:hAnsi="標楷體" w:cs="Arial"/>
                <w:color w:val="000000"/>
                <w:kern w:val="0"/>
                <w:sz w:val="28"/>
                <w:szCs w:val="28"/>
              </w:rPr>
              <w:t>。</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按檢察機關之偵查卷證與偵查追訴犯罪有重要關係，有其特殊性與重要性。正在進行犯罪偵查中之案件，其偵查內容倘若外</w:t>
            </w:r>
            <w:proofErr w:type="gramStart"/>
            <w:r w:rsidRPr="007D1935">
              <w:rPr>
                <w:rFonts w:ascii="標楷體" w:eastAsia="標楷體" w:hAnsi="標楷體" w:cs="Arial"/>
                <w:color w:val="000000"/>
                <w:kern w:val="0"/>
                <w:sz w:val="28"/>
                <w:szCs w:val="28"/>
              </w:rPr>
              <w:t>洩</w:t>
            </w:r>
            <w:proofErr w:type="gramEnd"/>
            <w:r w:rsidRPr="007D1935">
              <w:rPr>
                <w:rFonts w:ascii="標楷體" w:eastAsia="標楷體" w:hAnsi="標楷體" w:cs="Arial"/>
                <w:color w:val="000000"/>
                <w:kern w:val="0"/>
                <w:sz w:val="28"/>
                <w:szCs w:val="28"/>
              </w:rPr>
              <w:t>，將使嫌疑犯串證或逃匿，而妨礙偵查之成效，影響社會治安，基於權力分立與制衡原則及憲法保障檢察機關獨立行使職權，立法院自不得調閱偵查中之相關卷證。至於偵查終結後，經不起訴處分確定或未經起訴而以其他方式結案（例如檢察實務上之簽結）之案件，既已終結偵查程序及運作，如立法院因審查目的與</w:t>
            </w:r>
            <w:proofErr w:type="gramStart"/>
            <w:r w:rsidRPr="007D1935">
              <w:rPr>
                <w:rFonts w:ascii="標楷體" w:eastAsia="標楷體" w:hAnsi="標楷體" w:cs="Arial"/>
                <w:color w:val="000000"/>
                <w:kern w:val="0"/>
                <w:sz w:val="28"/>
                <w:szCs w:val="28"/>
              </w:rPr>
              <w:t>範圍均屬明確</w:t>
            </w:r>
            <w:proofErr w:type="gramEnd"/>
            <w:r w:rsidRPr="007D1935">
              <w:rPr>
                <w:rFonts w:ascii="標楷體" w:eastAsia="標楷體" w:hAnsi="標楷體" w:cs="Arial"/>
                <w:color w:val="000000"/>
                <w:kern w:val="0"/>
                <w:sz w:val="28"/>
                <w:szCs w:val="28"/>
              </w:rPr>
              <w:t>、且與其憲法上職權有重大關聯之特定議案所必要，又非屬法律所禁止，並依法定組織及程序調閱者，因尚無實質妨礙偵查權行使之虞，自得於經其院會決議調閱上述已偵查</w:t>
            </w:r>
            <w:proofErr w:type="gramStart"/>
            <w:r w:rsidRPr="007D1935">
              <w:rPr>
                <w:rFonts w:ascii="標楷體" w:eastAsia="標楷體" w:hAnsi="標楷體" w:cs="Arial"/>
                <w:color w:val="000000"/>
                <w:kern w:val="0"/>
                <w:sz w:val="28"/>
                <w:szCs w:val="28"/>
              </w:rPr>
              <w:t>終結之卷證</w:t>
            </w:r>
            <w:proofErr w:type="gramEnd"/>
            <w:r w:rsidRPr="007D1935">
              <w:rPr>
                <w:rFonts w:ascii="標楷體" w:eastAsia="標楷體" w:hAnsi="標楷體" w:cs="Arial"/>
                <w:color w:val="000000"/>
                <w:kern w:val="0"/>
                <w:sz w:val="28"/>
                <w:szCs w:val="28"/>
              </w:rPr>
              <w:t>。另個案雖已偵查終結經不起訴處分確定或未經起訴而以其他方式結案，</w:t>
            </w:r>
            <w:proofErr w:type="gramStart"/>
            <w:r w:rsidRPr="007D1935">
              <w:rPr>
                <w:rFonts w:ascii="標楷體" w:eastAsia="標楷體" w:hAnsi="標楷體" w:cs="Arial"/>
                <w:color w:val="000000"/>
                <w:kern w:val="0"/>
                <w:sz w:val="28"/>
                <w:szCs w:val="28"/>
              </w:rPr>
              <w:t>惟卷內</w:t>
            </w:r>
            <w:proofErr w:type="gramEnd"/>
            <w:r w:rsidRPr="007D1935">
              <w:rPr>
                <w:rFonts w:ascii="標楷體" w:eastAsia="標楷體" w:hAnsi="標楷體" w:cs="Arial"/>
                <w:color w:val="000000"/>
                <w:kern w:val="0"/>
                <w:sz w:val="28"/>
                <w:szCs w:val="28"/>
              </w:rPr>
              <w:t>證據資料如與檢察官續查同一被告或他被告另案犯罪相關者，倘因</w:t>
            </w:r>
            <w:proofErr w:type="gramStart"/>
            <w:r w:rsidRPr="007D1935">
              <w:rPr>
                <w:rFonts w:ascii="標楷體" w:eastAsia="標楷體" w:hAnsi="標楷體" w:cs="Arial"/>
                <w:color w:val="000000"/>
                <w:kern w:val="0"/>
                <w:sz w:val="28"/>
                <w:szCs w:val="28"/>
              </w:rPr>
              <w:t>調閱而洩漏</w:t>
            </w:r>
            <w:proofErr w:type="gramEnd"/>
            <w:r w:rsidRPr="007D1935">
              <w:rPr>
                <w:rFonts w:ascii="標楷體" w:eastAsia="標楷體" w:hAnsi="標楷體" w:cs="Arial"/>
                <w:color w:val="000000"/>
                <w:kern w:val="0"/>
                <w:sz w:val="28"/>
                <w:szCs w:val="28"/>
              </w:rPr>
              <w:t>，將有妨害另案偵查追訴之虞，為實現檢察官獨立行使職權追訴犯罪，以落實國家刑罰權，檢察機關得延</w:t>
            </w:r>
            <w:proofErr w:type="gramStart"/>
            <w:r w:rsidRPr="007D1935">
              <w:rPr>
                <w:rFonts w:ascii="標楷體" w:eastAsia="標楷體" w:hAnsi="標楷體" w:cs="Arial"/>
                <w:color w:val="000000"/>
                <w:kern w:val="0"/>
                <w:sz w:val="28"/>
                <w:szCs w:val="28"/>
              </w:rPr>
              <w:t>至該另案</w:t>
            </w:r>
            <w:proofErr w:type="gramEnd"/>
            <w:r w:rsidRPr="007D1935">
              <w:rPr>
                <w:rFonts w:ascii="標楷體" w:eastAsia="標楷體" w:hAnsi="標楷體" w:cs="Arial"/>
                <w:color w:val="000000"/>
                <w:kern w:val="0"/>
                <w:sz w:val="28"/>
                <w:szCs w:val="28"/>
              </w:rPr>
              <w:t>偵查終結提起公訴、或不起訴處分確定或未經起訴而以其他方式結案後，再行提供調</w:t>
            </w:r>
            <w:proofErr w:type="gramStart"/>
            <w:r w:rsidRPr="007D1935">
              <w:rPr>
                <w:rFonts w:ascii="標楷體" w:eastAsia="標楷體" w:hAnsi="標楷體" w:cs="Arial"/>
                <w:color w:val="000000"/>
                <w:kern w:val="0"/>
                <w:sz w:val="28"/>
                <w:szCs w:val="28"/>
              </w:rPr>
              <w:t>閱之卷證</w:t>
            </w:r>
            <w:proofErr w:type="gramEnd"/>
            <w:r w:rsidRPr="007D1935">
              <w:rPr>
                <w:rFonts w:ascii="標楷體" w:eastAsia="標楷體" w:hAnsi="標楷體" w:cs="Arial"/>
                <w:color w:val="000000"/>
                <w:kern w:val="0"/>
                <w:sz w:val="28"/>
                <w:szCs w:val="28"/>
              </w:rPr>
              <w:t>資料。至調閱與偵查卷宗文件原本內容相符之影</w:t>
            </w:r>
            <w:r w:rsidRPr="007D1935">
              <w:rPr>
                <w:rFonts w:ascii="標楷體" w:eastAsia="標楷體" w:hAnsi="標楷體" w:cs="Arial"/>
                <w:color w:val="000000"/>
                <w:kern w:val="0"/>
                <w:sz w:val="28"/>
                <w:szCs w:val="28"/>
              </w:rPr>
              <w:lastRenderedPageBreak/>
              <w:t>本，</w:t>
            </w:r>
            <w:proofErr w:type="gramStart"/>
            <w:r w:rsidRPr="007D1935">
              <w:rPr>
                <w:rFonts w:ascii="標楷體" w:eastAsia="標楷體" w:hAnsi="標楷體" w:cs="Arial"/>
                <w:color w:val="000000"/>
                <w:kern w:val="0"/>
                <w:sz w:val="28"/>
                <w:szCs w:val="28"/>
              </w:rPr>
              <w:t>因影本</w:t>
            </w:r>
            <w:proofErr w:type="gramEnd"/>
            <w:r w:rsidRPr="007D1935">
              <w:rPr>
                <w:rFonts w:ascii="標楷體" w:eastAsia="標楷體" w:hAnsi="標楷體" w:cs="Arial"/>
                <w:color w:val="000000"/>
                <w:kern w:val="0"/>
                <w:sz w:val="28"/>
                <w:szCs w:val="28"/>
              </w:rPr>
              <w:t>所表彰文書之內容與原本相同，依前述意旨，亦應經立法院院會決議。本院釋字第三二五號解釋應予補充。另立法院行使文件調閱權，如未符合憲法或法律上之要求，自構成受調閱機關得予拒絕之正當理由。</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立法院行使憲法上職權，向檢察機關調閱偵查卷證之文件原本或影本，由於偵查卷證之內容或含有國家機密、個人隱私、工商秘密及犯罪事證等事項，</w:t>
            </w:r>
            <w:proofErr w:type="gramStart"/>
            <w:r w:rsidRPr="007D1935">
              <w:rPr>
                <w:rFonts w:ascii="標楷體" w:eastAsia="標楷體" w:hAnsi="標楷體" w:cs="Arial"/>
                <w:color w:val="000000"/>
                <w:kern w:val="0"/>
                <w:sz w:val="28"/>
                <w:szCs w:val="28"/>
              </w:rPr>
              <w:t>攸</w:t>
            </w:r>
            <w:proofErr w:type="gramEnd"/>
            <w:r w:rsidRPr="007D1935">
              <w:rPr>
                <w:rFonts w:ascii="標楷體" w:eastAsia="標楷體" w:hAnsi="標楷體" w:cs="Arial"/>
                <w:color w:val="000000"/>
                <w:kern w:val="0"/>
                <w:sz w:val="28"/>
                <w:szCs w:val="28"/>
              </w:rPr>
              <w:t>關國家利益及人民權利，是立法院及其委員因此知悉之資訊，其使用自應限於行使憲法上職權所必要，並須注意維護關係人之權益（如名譽、隱私、營業秘密等），對依法應予保密之事項亦應善盡保密之義務；且不得就個案偵查之過程、不起訴處分或未經起訴而以其他方式結案之結論及內容，為與行使憲法上職權無關之評論或決議，始符合權力分立、相互制衡並相互尊重之憲政原理，乃屬當然。 </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立法院與監察院職權不同，各有所司。立法院之文件調閱權，以調閱文件所得資訊作為行使立法職權之資料；而監察院之調查權，則係行使彈劾、糾舉、糾正等監察職權之手段，二者之性質、功能及</w:t>
            </w:r>
            <w:proofErr w:type="gramStart"/>
            <w:r w:rsidRPr="007D1935">
              <w:rPr>
                <w:rFonts w:ascii="標楷體" w:eastAsia="標楷體" w:hAnsi="標楷體" w:cs="Arial"/>
                <w:color w:val="000000"/>
                <w:kern w:val="0"/>
                <w:sz w:val="28"/>
                <w:szCs w:val="28"/>
              </w:rPr>
              <w:t>目的均屬有</w:t>
            </w:r>
            <w:proofErr w:type="gramEnd"/>
            <w:r w:rsidRPr="007D1935">
              <w:rPr>
                <w:rFonts w:ascii="標楷體" w:eastAsia="標楷體" w:hAnsi="標楷體" w:cs="Arial"/>
                <w:color w:val="000000"/>
                <w:kern w:val="0"/>
                <w:sz w:val="28"/>
                <w:szCs w:val="28"/>
              </w:rPr>
              <w:t>別，並無重疊</w:t>
            </w:r>
            <w:proofErr w:type="gramStart"/>
            <w:r w:rsidRPr="007D1935">
              <w:rPr>
                <w:rFonts w:ascii="標楷體" w:eastAsia="標楷體" w:hAnsi="標楷體" w:cs="Arial"/>
                <w:color w:val="000000"/>
                <w:kern w:val="0"/>
                <w:sz w:val="28"/>
                <w:szCs w:val="28"/>
              </w:rPr>
              <w:t>扞</w:t>
            </w:r>
            <w:proofErr w:type="gramEnd"/>
            <w:r w:rsidRPr="007D1935">
              <w:rPr>
                <w:rFonts w:ascii="標楷體" w:eastAsia="標楷體" w:hAnsi="標楷體" w:cs="Arial"/>
                <w:color w:val="000000"/>
                <w:kern w:val="0"/>
                <w:sz w:val="28"/>
                <w:szCs w:val="28"/>
              </w:rPr>
              <w:t>格之處。是立法院行使文件調閱權，自無侵犯監察院調查權之</w:t>
            </w:r>
            <w:r w:rsidRPr="007D1935">
              <w:rPr>
                <w:rFonts w:ascii="標楷體" w:eastAsia="標楷體" w:hAnsi="標楷體" w:cs="Arial"/>
                <w:color w:val="000000"/>
                <w:kern w:val="0"/>
                <w:sz w:val="28"/>
                <w:szCs w:val="28"/>
              </w:rPr>
              <w:lastRenderedPageBreak/>
              <w:t>問題，檢察機關自</w:t>
            </w:r>
            <w:proofErr w:type="gramStart"/>
            <w:r w:rsidRPr="007D1935">
              <w:rPr>
                <w:rFonts w:ascii="標楷體" w:eastAsia="標楷體" w:hAnsi="標楷體" w:cs="Arial"/>
                <w:color w:val="000000"/>
                <w:kern w:val="0"/>
                <w:sz w:val="28"/>
                <w:szCs w:val="28"/>
              </w:rPr>
              <w:t>不得執此拒絕</w:t>
            </w:r>
            <w:proofErr w:type="gramEnd"/>
            <w:r w:rsidRPr="007D1935">
              <w:rPr>
                <w:rFonts w:ascii="標楷體" w:eastAsia="標楷體" w:hAnsi="標楷體" w:cs="Arial"/>
                <w:color w:val="000000"/>
                <w:kern w:val="0"/>
                <w:sz w:val="28"/>
                <w:szCs w:val="28"/>
              </w:rPr>
              <w:t>調</w:t>
            </w:r>
            <w:proofErr w:type="gramStart"/>
            <w:r w:rsidRPr="007D1935">
              <w:rPr>
                <w:rFonts w:ascii="標楷體" w:eastAsia="標楷體" w:hAnsi="標楷體" w:cs="Arial"/>
                <w:color w:val="000000"/>
                <w:kern w:val="0"/>
                <w:sz w:val="28"/>
                <w:szCs w:val="28"/>
              </w:rPr>
              <w:t>閱</w:t>
            </w:r>
            <w:proofErr w:type="gramEnd"/>
            <w:r w:rsidRPr="007D1935">
              <w:rPr>
                <w:rFonts w:ascii="標楷體" w:eastAsia="標楷體" w:hAnsi="標楷體" w:cs="Arial"/>
                <w:color w:val="000000"/>
                <w:kern w:val="0"/>
                <w:sz w:val="28"/>
                <w:szCs w:val="28"/>
              </w:rPr>
              <w:t>。 </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立法院行使文件調閱權，如與受調閱之機關發生諸如：所調閱之事項是否屬於國家機關獨立行使職權受憲法保障之範疇、是否基於與立法院憲法上職權之特定議案有重大關聯、是否屬於法律所禁止調閱之範圍、是否依法定組織及程序調閱、以及拒絕調閱是否有正當理由等爭議時，立法院與受調閱之機關，</w:t>
            </w:r>
            <w:proofErr w:type="gramStart"/>
            <w:r w:rsidRPr="007D1935">
              <w:rPr>
                <w:rFonts w:ascii="標楷體" w:eastAsia="標楷體" w:hAnsi="標楷體" w:cs="Arial"/>
                <w:color w:val="000000"/>
                <w:kern w:val="0"/>
                <w:sz w:val="28"/>
                <w:szCs w:val="28"/>
              </w:rPr>
              <w:t>宜循協商</w:t>
            </w:r>
            <w:proofErr w:type="gramEnd"/>
            <w:r w:rsidRPr="007D1935">
              <w:rPr>
                <w:rFonts w:ascii="標楷體" w:eastAsia="標楷體" w:hAnsi="標楷體" w:cs="Arial"/>
                <w:color w:val="000000"/>
                <w:kern w:val="0"/>
                <w:sz w:val="28"/>
                <w:szCs w:val="28"/>
              </w:rPr>
              <w:t>途徑合理解決，或以法律明定相關要件與程序，由司法機關審理解決之。相關機關應儘速建立解決機關爭議之法律機制，</w:t>
            </w:r>
            <w:proofErr w:type="gramStart"/>
            <w:r w:rsidRPr="007D1935">
              <w:rPr>
                <w:rFonts w:ascii="標楷體" w:eastAsia="標楷體" w:hAnsi="標楷體" w:cs="Arial"/>
                <w:color w:val="000000"/>
                <w:kern w:val="0"/>
                <w:sz w:val="28"/>
                <w:szCs w:val="28"/>
              </w:rPr>
              <w:t>併</w:t>
            </w:r>
            <w:proofErr w:type="gramEnd"/>
            <w:r w:rsidRPr="007D1935">
              <w:rPr>
                <w:rFonts w:ascii="標楷體" w:eastAsia="標楷體" w:hAnsi="標楷體" w:cs="Arial"/>
                <w:color w:val="000000"/>
                <w:kern w:val="0"/>
                <w:sz w:val="28"/>
                <w:szCs w:val="28"/>
              </w:rPr>
              <w:t>此指明。 </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        聲請人指摘司法及法制委員會決議通過之「監聽調閱專案小組運作要點」（下稱運作要點）第十一點、第十二點之內容，逾越立法院職權行使法第四十五條之範圍，牴觸憲法第六十三條及本院釋字第三二五號等解釋，聲請解釋。經查該運作要點僅係司法及法制委員會為行使立法院職權行使法第四十五條之文件調閱權，就如何調閱</w:t>
            </w:r>
            <w:proofErr w:type="gramStart"/>
            <w:r w:rsidRPr="007D1935">
              <w:rPr>
                <w:rFonts w:ascii="標楷體" w:eastAsia="標楷體" w:hAnsi="標楷體" w:cs="Arial"/>
                <w:color w:val="000000"/>
                <w:kern w:val="0"/>
                <w:sz w:val="28"/>
                <w:szCs w:val="28"/>
              </w:rPr>
              <w:t>一００</w:t>
            </w:r>
            <w:proofErr w:type="gramEnd"/>
            <w:r w:rsidRPr="007D1935">
              <w:rPr>
                <w:rFonts w:ascii="標楷體" w:eastAsia="標楷體" w:hAnsi="標楷體" w:cs="Arial"/>
                <w:color w:val="000000"/>
                <w:kern w:val="0"/>
                <w:sz w:val="28"/>
                <w:szCs w:val="28"/>
              </w:rPr>
              <w:t>年度特他字第六一號偵查卷證之目的而自行訂定，</w:t>
            </w:r>
            <w:proofErr w:type="gramStart"/>
            <w:r w:rsidRPr="007D1935">
              <w:rPr>
                <w:rFonts w:ascii="標楷體" w:eastAsia="標楷體" w:hAnsi="標楷體" w:cs="Arial"/>
                <w:color w:val="000000"/>
                <w:kern w:val="0"/>
                <w:sz w:val="28"/>
                <w:szCs w:val="28"/>
              </w:rPr>
              <w:t>俾</w:t>
            </w:r>
            <w:proofErr w:type="gramEnd"/>
            <w:r w:rsidRPr="007D1935">
              <w:rPr>
                <w:rFonts w:ascii="標楷體" w:eastAsia="標楷體" w:hAnsi="標楷體" w:cs="Arial"/>
                <w:color w:val="000000"/>
                <w:kern w:val="0"/>
                <w:sz w:val="28"/>
                <w:szCs w:val="28"/>
              </w:rPr>
              <w:t>作為該監聽調閱專案小組內部議事運作之作業準則（立法院中華民國一０三年五月七日台立院司字第一０三四三００二八０號函參照）。是該運作要點性質上乃該委員會之內</w:t>
            </w:r>
            <w:proofErr w:type="gramStart"/>
            <w:r w:rsidRPr="007D1935">
              <w:rPr>
                <w:rFonts w:ascii="標楷體" w:eastAsia="標楷體" w:hAnsi="標楷體" w:cs="Arial"/>
                <w:color w:val="000000"/>
                <w:kern w:val="0"/>
                <w:sz w:val="28"/>
                <w:szCs w:val="28"/>
              </w:rPr>
              <w:t>規</w:t>
            </w:r>
            <w:proofErr w:type="gramEnd"/>
            <w:r w:rsidRPr="007D1935">
              <w:rPr>
                <w:rFonts w:ascii="標楷體" w:eastAsia="標楷體" w:hAnsi="標楷體" w:cs="Arial"/>
                <w:color w:val="000000"/>
                <w:kern w:val="0"/>
                <w:sz w:val="28"/>
                <w:szCs w:val="28"/>
              </w:rPr>
              <w:t>，用以協助</w:t>
            </w:r>
            <w:proofErr w:type="gramStart"/>
            <w:r w:rsidRPr="007D1935">
              <w:rPr>
                <w:rFonts w:ascii="標楷體" w:eastAsia="標楷體" w:hAnsi="標楷體" w:cs="Arial"/>
                <w:color w:val="000000"/>
                <w:kern w:val="0"/>
                <w:sz w:val="28"/>
                <w:szCs w:val="28"/>
              </w:rPr>
              <w:t>所</w:t>
            </w:r>
            <w:r w:rsidRPr="007D1935">
              <w:rPr>
                <w:rFonts w:ascii="標楷體" w:eastAsia="標楷體" w:hAnsi="標楷體" w:cs="Arial"/>
                <w:color w:val="000000"/>
                <w:kern w:val="0"/>
                <w:sz w:val="28"/>
                <w:szCs w:val="28"/>
              </w:rPr>
              <w:lastRenderedPageBreak/>
              <w:t>設調閱</w:t>
            </w:r>
            <w:proofErr w:type="gramEnd"/>
            <w:r w:rsidRPr="007D1935">
              <w:rPr>
                <w:rFonts w:ascii="標楷體" w:eastAsia="標楷體" w:hAnsi="標楷體" w:cs="Arial"/>
                <w:color w:val="000000"/>
                <w:kern w:val="0"/>
                <w:sz w:val="28"/>
                <w:szCs w:val="28"/>
              </w:rPr>
              <w:t>專案小組運作而訂定，要屬該委員會內部議事運作之事項，尚不生法律或命令牴觸憲法之問題。此部分聲請，核與司法院大法官審理案件法第五條第一項第一款規定不符，依同條第三項規定，應不受理。聲請意旨另</w:t>
            </w:r>
            <w:proofErr w:type="gramStart"/>
            <w:r w:rsidRPr="007D1935">
              <w:rPr>
                <w:rFonts w:ascii="標楷體" w:eastAsia="標楷體" w:hAnsi="標楷體" w:cs="Arial"/>
                <w:color w:val="000000"/>
                <w:kern w:val="0"/>
                <w:sz w:val="28"/>
                <w:szCs w:val="28"/>
              </w:rPr>
              <w:t>以</w:t>
            </w:r>
            <w:proofErr w:type="gramEnd"/>
            <w:r w:rsidRPr="007D1935">
              <w:rPr>
                <w:rFonts w:ascii="標楷體" w:eastAsia="標楷體" w:hAnsi="標楷體" w:cs="Arial"/>
                <w:color w:val="000000"/>
                <w:kern w:val="0"/>
                <w:sz w:val="28"/>
                <w:szCs w:val="28"/>
              </w:rPr>
              <w:t>，司法及法制委員會依立法院職權行使法第四十五條第一</w:t>
            </w:r>
            <w:proofErr w:type="gramStart"/>
            <w:r w:rsidRPr="007D1935">
              <w:rPr>
                <w:rFonts w:ascii="標楷體" w:eastAsia="標楷體" w:hAnsi="標楷體" w:cs="Arial"/>
                <w:color w:val="000000"/>
                <w:kern w:val="0"/>
                <w:sz w:val="28"/>
                <w:szCs w:val="28"/>
              </w:rPr>
              <w:t>項向聲請</w:t>
            </w:r>
            <w:proofErr w:type="gramEnd"/>
            <w:r w:rsidRPr="007D1935">
              <w:rPr>
                <w:rFonts w:ascii="標楷體" w:eastAsia="標楷體" w:hAnsi="標楷體" w:cs="Arial"/>
                <w:color w:val="000000"/>
                <w:kern w:val="0"/>
                <w:sz w:val="28"/>
                <w:szCs w:val="28"/>
              </w:rPr>
              <w:t>人調閱偵查卷證，</w:t>
            </w:r>
            <w:proofErr w:type="gramStart"/>
            <w:r w:rsidRPr="007D1935">
              <w:rPr>
                <w:rFonts w:ascii="標楷體" w:eastAsia="標楷體" w:hAnsi="標楷體" w:cs="Arial"/>
                <w:color w:val="000000"/>
                <w:kern w:val="0"/>
                <w:sz w:val="28"/>
                <w:szCs w:val="28"/>
              </w:rPr>
              <w:t>惟聲請</w:t>
            </w:r>
            <w:proofErr w:type="gramEnd"/>
            <w:r w:rsidRPr="007D1935">
              <w:rPr>
                <w:rFonts w:ascii="標楷體" w:eastAsia="標楷體" w:hAnsi="標楷體" w:cs="Arial"/>
                <w:color w:val="000000"/>
                <w:kern w:val="0"/>
                <w:sz w:val="28"/>
                <w:szCs w:val="28"/>
              </w:rPr>
              <w:t>人依司法院釋字第五八五號、第六三三號解釋意旨及政府資訊公開法等法律規定，並無提供給閱之義務；再依法院組織法第六十六條第十項規定，檢察總長除年度預算案及法律案外，無須至立法院列席備</w:t>
            </w:r>
            <w:proofErr w:type="gramStart"/>
            <w:r w:rsidRPr="007D1935">
              <w:rPr>
                <w:rFonts w:ascii="標楷體" w:eastAsia="標楷體" w:hAnsi="標楷體" w:cs="Arial"/>
                <w:color w:val="000000"/>
                <w:kern w:val="0"/>
                <w:sz w:val="28"/>
                <w:szCs w:val="28"/>
              </w:rPr>
              <w:t>詢</w:t>
            </w:r>
            <w:proofErr w:type="gramEnd"/>
            <w:r w:rsidRPr="007D1935">
              <w:rPr>
                <w:rFonts w:ascii="標楷體" w:eastAsia="標楷體" w:hAnsi="標楷體" w:cs="Arial"/>
                <w:color w:val="000000"/>
                <w:kern w:val="0"/>
                <w:sz w:val="28"/>
                <w:szCs w:val="28"/>
              </w:rPr>
              <w:t>，此與運作要點第十一點規定調閱專案小組會議召開時，得邀請被調閱文件之機關首長含檢察總長率同有關人員列席說明之見解，亦屬有異。為此，聲請統一解釋云云。按司法院大法官審理案件法第七條第一項第一款本文規定：「中央或地方機關，就其職權上適用法律或命令所持見解，與本機關或他機關適用同一法律或命令時所已表示之見解</w:t>
            </w:r>
            <w:proofErr w:type="gramStart"/>
            <w:r w:rsidRPr="007D1935">
              <w:rPr>
                <w:rFonts w:ascii="標楷體" w:eastAsia="標楷體" w:hAnsi="標楷體" w:cs="Arial"/>
                <w:color w:val="000000"/>
                <w:kern w:val="0"/>
                <w:sz w:val="28"/>
                <w:szCs w:val="28"/>
              </w:rPr>
              <w:t>有異者</w:t>
            </w:r>
            <w:proofErr w:type="gramEnd"/>
            <w:r w:rsidRPr="007D1935">
              <w:rPr>
                <w:rFonts w:ascii="標楷體" w:eastAsia="標楷體" w:hAnsi="標楷體" w:cs="Arial"/>
                <w:color w:val="000000"/>
                <w:kern w:val="0"/>
                <w:sz w:val="28"/>
                <w:szCs w:val="28"/>
              </w:rPr>
              <w:t>」得聲請統一解釋。</w:t>
            </w:r>
            <w:proofErr w:type="gramStart"/>
            <w:r w:rsidRPr="007D1935">
              <w:rPr>
                <w:rFonts w:ascii="標楷體" w:eastAsia="標楷體" w:hAnsi="標楷體" w:cs="Arial"/>
                <w:color w:val="000000"/>
                <w:kern w:val="0"/>
                <w:sz w:val="28"/>
                <w:szCs w:val="28"/>
              </w:rPr>
              <w:t>核聲請</w:t>
            </w:r>
            <w:proofErr w:type="gramEnd"/>
            <w:r w:rsidRPr="007D1935">
              <w:rPr>
                <w:rFonts w:ascii="標楷體" w:eastAsia="標楷體" w:hAnsi="標楷體" w:cs="Arial"/>
                <w:color w:val="000000"/>
                <w:kern w:val="0"/>
                <w:sz w:val="28"/>
                <w:szCs w:val="28"/>
              </w:rPr>
              <w:t>人所陳，並未敘明其與他機關對同一法律或命令所已表示之見解有異。是此部分統一解釋之聲請，核與司法院大法官審理案件法第七條第一項第一款之規定不合，依同條第三項規定，亦應不受理。 </w:t>
            </w:r>
          </w:p>
          <w:p w:rsidR="007D1935" w:rsidRPr="007D1935" w:rsidRDefault="007D1935" w:rsidP="007D1935">
            <w:pPr>
              <w:widowControl/>
              <w:spacing w:before="100" w:after="100" w:line="320" w:lineRule="atLeast"/>
              <w:ind w:left="200" w:right="200"/>
              <w:jc w:val="right"/>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lastRenderedPageBreak/>
              <w:t>大法官會議主席 大法官 賴浩敏</w:t>
            </w:r>
          </w:p>
          <w:p w:rsidR="007D1935" w:rsidRPr="007D1935" w:rsidRDefault="007D1935" w:rsidP="007D1935">
            <w:pPr>
              <w:widowControl/>
              <w:spacing w:before="100" w:after="100" w:line="320" w:lineRule="atLeast"/>
              <w:ind w:left="200" w:right="200"/>
              <w:jc w:val="right"/>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大法官 蘇永欽 林錫堯 池啟明 李震山</w:t>
            </w:r>
          </w:p>
          <w:p w:rsidR="007D1935" w:rsidRPr="007D1935" w:rsidRDefault="007D1935" w:rsidP="007D1935">
            <w:pPr>
              <w:widowControl/>
              <w:spacing w:before="100" w:after="100" w:line="320" w:lineRule="atLeast"/>
              <w:ind w:left="200" w:right="200"/>
              <w:jc w:val="right"/>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蔡清遊 黃茂榮 陳敏 葉百修</w:t>
            </w:r>
          </w:p>
          <w:p w:rsidR="007D1935" w:rsidRPr="007D1935" w:rsidRDefault="007D1935" w:rsidP="007D1935">
            <w:pPr>
              <w:widowControl/>
              <w:spacing w:before="100" w:after="100" w:line="320" w:lineRule="atLeast"/>
              <w:ind w:left="200" w:right="200"/>
              <w:jc w:val="right"/>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陳春生 陳新民 陳碧玉 黃璽君</w:t>
            </w:r>
          </w:p>
          <w:p w:rsidR="007D1935" w:rsidRPr="007D1935" w:rsidRDefault="007D1935" w:rsidP="007D1935">
            <w:pPr>
              <w:widowControl/>
              <w:spacing w:before="100" w:after="100" w:line="320" w:lineRule="atLeast"/>
              <w:ind w:left="200" w:right="200"/>
              <w:jc w:val="right"/>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羅昌發 湯德宗</w:t>
            </w:r>
          </w:p>
        </w:tc>
      </w:tr>
      <w:tr w:rsidR="007D1935" w:rsidRPr="007D1935" w:rsidTr="007D1935">
        <w:tc>
          <w:tcPr>
            <w:tcW w:w="950" w:type="pct"/>
            <w:tcBorders>
              <w:top w:val="single" w:sz="8" w:space="0" w:color="D2C8C4"/>
              <w:left w:val="single" w:sz="8" w:space="0" w:color="D2C8C4"/>
              <w:bottom w:val="single" w:sz="8" w:space="0" w:color="D2C8C4"/>
              <w:right w:val="single" w:sz="8" w:space="0" w:color="D2C8C4"/>
            </w:tcBorders>
            <w:shd w:val="clear" w:color="auto" w:fill="B49F92"/>
            <w:tcMar>
              <w:top w:w="80" w:type="dxa"/>
              <w:left w:w="0" w:type="dxa"/>
              <w:bottom w:w="0" w:type="dxa"/>
              <w:right w:w="0" w:type="dxa"/>
            </w:tcMar>
            <w:hideMark/>
          </w:tcPr>
          <w:p w:rsidR="007D1935" w:rsidRPr="007D1935" w:rsidRDefault="007D1935" w:rsidP="007D1935">
            <w:pPr>
              <w:widowControl/>
              <w:jc w:val="center"/>
              <w:rPr>
                <w:rFonts w:ascii="標楷體" w:eastAsia="標楷體" w:hAnsi="標楷體" w:cs="Arial"/>
                <w:b/>
                <w:bCs/>
                <w:color w:val="FFFFFF"/>
                <w:spacing w:val="40"/>
                <w:kern w:val="0"/>
                <w:sz w:val="28"/>
                <w:szCs w:val="28"/>
              </w:rPr>
            </w:pPr>
            <w:r w:rsidRPr="007D1935">
              <w:rPr>
                <w:rFonts w:ascii="標楷體" w:eastAsia="標楷體" w:hAnsi="標楷體" w:cs="Arial"/>
                <w:b/>
                <w:bCs/>
                <w:color w:val="FFFFFF"/>
                <w:spacing w:val="40"/>
                <w:kern w:val="0"/>
                <w:sz w:val="28"/>
                <w:szCs w:val="28"/>
              </w:rPr>
              <w:lastRenderedPageBreak/>
              <w:t>事實</w:t>
            </w:r>
          </w:p>
        </w:tc>
        <w:tc>
          <w:tcPr>
            <w:tcW w:w="0" w:type="auto"/>
            <w:tcBorders>
              <w:top w:val="single" w:sz="8" w:space="0" w:color="D2C8C4"/>
              <w:left w:val="single" w:sz="8" w:space="0" w:color="D2C8C4"/>
              <w:bottom w:val="single" w:sz="8" w:space="0" w:color="D2C8C4"/>
              <w:right w:val="single" w:sz="8" w:space="0" w:color="D2C8C4"/>
            </w:tcBorders>
            <w:shd w:val="clear" w:color="auto" w:fill="F8F8F8"/>
            <w:tcMar>
              <w:top w:w="0" w:type="dxa"/>
              <w:left w:w="80" w:type="dxa"/>
              <w:bottom w:w="0" w:type="dxa"/>
              <w:right w:w="0" w:type="dxa"/>
            </w:tcMar>
            <w:vAlign w:val="center"/>
            <w:hideMark/>
          </w:tcPr>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釋字第729號解釋  事實摘要(大法官書記處整理提供)</w:t>
            </w:r>
          </w:p>
          <w:p w:rsidR="007D1935" w:rsidRPr="007D1935" w:rsidRDefault="007D1935" w:rsidP="007D1935">
            <w:pPr>
              <w:widowControl/>
              <w:spacing w:before="100" w:after="100" w:line="320" w:lineRule="atLeast"/>
              <w:ind w:left="200" w:right="200"/>
              <w:rPr>
                <w:rFonts w:ascii="標楷體" w:eastAsia="標楷體" w:hAnsi="標楷體" w:cs="Arial"/>
                <w:color w:val="000000"/>
                <w:kern w:val="0"/>
                <w:sz w:val="28"/>
                <w:szCs w:val="28"/>
              </w:rPr>
            </w:pPr>
            <w:r w:rsidRPr="007D1935">
              <w:rPr>
                <w:rFonts w:ascii="標楷體" w:eastAsia="標楷體" w:hAnsi="標楷體" w:cs="Arial"/>
                <w:color w:val="000000"/>
                <w:kern w:val="0"/>
                <w:sz w:val="28"/>
                <w:szCs w:val="28"/>
              </w:rPr>
              <w:t>102年11月間立法院司法及法制委員會（下稱司法及法制委員會）為審查通訊保障及監察法部分條文修正草案等法律案，依立法院職權行使法第45條規定，</w:t>
            </w:r>
            <w:proofErr w:type="gramStart"/>
            <w:r w:rsidRPr="007D1935">
              <w:rPr>
                <w:rFonts w:ascii="標楷體" w:eastAsia="標楷體" w:hAnsi="標楷體" w:cs="Arial"/>
                <w:color w:val="000000"/>
                <w:kern w:val="0"/>
                <w:sz w:val="28"/>
                <w:szCs w:val="28"/>
              </w:rPr>
              <w:t>向聲請</w:t>
            </w:r>
            <w:proofErr w:type="gramEnd"/>
            <w:r w:rsidRPr="007D1935">
              <w:rPr>
                <w:rFonts w:ascii="標楷體" w:eastAsia="標楷體" w:hAnsi="標楷體" w:cs="Arial"/>
                <w:color w:val="000000"/>
                <w:kern w:val="0"/>
                <w:sz w:val="28"/>
                <w:szCs w:val="28"/>
              </w:rPr>
              <w:t>人最高法院檢察署調閱該署</w:t>
            </w:r>
            <w:proofErr w:type="gramStart"/>
            <w:r w:rsidRPr="007D1935">
              <w:rPr>
                <w:rFonts w:ascii="標楷體" w:eastAsia="標楷體" w:hAnsi="標楷體" w:cs="Arial"/>
                <w:color w:val="000000"/>
                <w:kern w:val="0"/>
                <w:sz w:val="28"/>
                <w:szCs w:val="28"/>
              </w:rPr>
              <w:t>100</w:t>
            </w:r>
            <w:proofErr w:type="gramEnd"/>
            <w:r w:rsidRPr="007D1935">
              <w:rPr>
                <w:rFonts w:ascii="標楷體" w:eastAsia="標楷體" w:hAnsi="標楷體" w:cs="Arial"/>
                <w:color w:val="000000"/>
                <w:kern w:val="0"/>
                <w:sz w:val="28"/>
                <w:szCs w:val="28"/>
              </w:rPr>
              <w:t>年度特他字第61號偵查卷證之通訊監察聲請書、筆錄、監聽譯文、公文等</w:t>
            </w:r>
            <w:proofErr w:type="gramStart"/>
            <w:r w:rsidRPr="007D1935">
              <w:rPr>
                <w:rFonts w:ascii="標楷體" w:eastAsia="標楷體" w:hAnsi="標楷體" w:cs="Arial"/>
                <w:color w:val="000000"/>
                <w:kern w:val="0"/>
                <w:sz w:val="28"/>
                <w:szCs w:val="28"/>
              </w:rPr>
              <w:t>卷證文書影</w:t>
            </w:r>
            <w:proofErr w:type="gramEnd"/>
            <w:r w:rsidRPr="007D1935">
              <w:rPr>
                <w:rFonts w:ascii="標楷體" w:eastAsia="標楷體" w:hAnsi="標楷體" w:cs="Arial"/>
                <w:color w:val="000000"/>
                <w:kern w:val="0"/>
                <w:sz w:val="28"/>
                <w:szCs w:val="28"/>
              </w:rPr>
              <w:t>本及監聽光碟片。聲請人</w:t>
            </w:r>
            <w:proofErr w:type="gramStart"/>
            <w:r w:rsidRPr="007D1935">
              <w:rPr>
                <w:rFonts w:ascii="標楷體" w:eastAsia="標楷體" w:hAnsi="標楷體" w:cs="Arial"/>
                <w:color w:val="000000"/>
                <w:kern w:val="0"/>
                <w:sz w:val="28"/>
                <w:szCs w:val="28"/>
              </w:rPr>
              <w:t>認依釋</w:t>
            </w:r>
            <w:proofErr w:type="gramEnd"/>
            <w:r w:rsidRPr="007D1935">
              <w:rPr>
                <w:rFonts w:ascii="標楷體" w:eastAsia="標楷體" w:hAnsi="標楷體" w:cs="Arial"/>
                <w:color w:val="000000"/>
                <w:kern w:val="0"/>
                <w:sz w:val="28"/>
                <w:szCs w:val="28"/>
              </w:rPr>
              <w:t>字第325號、第585號解釋意旨，檢察官之偵查係對外獨立行使職權，應受憲法保障，且偵查卷證係偵查行為之一部，為偵查不公開之事項，非立法院所得調閱之範圍。即令案件偵查終結後，若檢察官有違法、不當情事，亦應由監察院調查。立法院僅能在制度、預算、法律等事項對檢察機關進行通案監督，無介入個案調閱偵查卷證之餘地，拒絕提供調</w:t>
            </w:r>
            <w:proofErr w:type="gramStart"/>
            <w:r w:rsidRPr="007D1935">
              <w:rPr>
                <w:rFonts w:ascii="標楷體" w:eastAsia="標楷體" w:hAnsi="標楷體" w:cs="Arial"/>
                <w:color w:val="000000"/>
                <w:kern w:val="0"/>
                <w:sz w:val="28"/>
                <w:szCs w:val="28"/>
              </w:rPr>
              <w:t>閱之卷證</w:t>
            </w:r>
            <w:proofErr w:type="gramEnd"/>
            <w:r w:rsidRPr="007D1935">
              <w:rPr>
                <w:rFonts w:ascii="標楷體" w:eastAsia="標楷體" w:hAnsi="標楷體" w:cs="Arial"/>
                <w:color w:val="000000"/>
                <w:kern w:val="0"/>
                <w:sz w:val="28"/>
                <w:szCs w:val="28"/>
              </w:rPr>
              <w:t>。司法及法制</w:t>
            </w:r>
            <w:proofErr w:type="gramStart"/>
            <w:r w:rsidRPr="007D1935">
              <w:rPr>
                <w:rFonts w:ascii="標楷體" w:eastAsia="標楷體" w:hAnsi="標楷體" w:cs="Arial"/>
                <w:color w:val="000000"/>
                <w:kern w:val="0"/>
                <w:sz w:val="28"/>
                <w:szCs w:val="28"/>
              </w:rPr>
              <w:t>委員會乃認檢察</w:t>
            </w:r>
            <w:proofErr w:type="gramEnd"/>
            <w:r w:rsidRPr="007D1935">
              <w:rPr>
                <w:rFonts w:ascii="標楷體" w:eastAsia="標楷體" w:hAnsi="標楷體" w:cs="Arial"/>
                <w:color w:val="000000"/>
                <w:kern w:val="0"/>
                <w:sz w:val="28"/>
                <w:szCs w:val="28"/>
              </w:rPr>
              <w:t>總長迴避</w:t>
            </w:r>
            <w:r w:rsidRPr="007D1935">
              <w:rPr>
                <w:rFonts w:ascii="標楷體" w:eastAsia="標楷體" w:hAnsi="標楷體" w:cs="Arial"/>
                <w:color w:val="000000"/>
                <w:kern w:val="0"/>
                <w:sz w:val="28"/>
                <w:szCs w:val="28"/>
              </w:rPr>
              <w:lastRenderedPageBreak/>
              <w:t>監督、藐視國會，而函送監察院調查。聲請人</w:t>
            </w:r>
            <w:proofErr w:type="gramStart"/>
            <w:r w:rsidRPr="007D1935">
              <w:rPr>
                <w:rFonts w:ascii="標楷體" w:eastAsia="標楷體" w:hAnsi="標楷體" w:cs="Arial"/>
                <w:color w:val="000000"/>
                <w:kern w:val="0"/>
                <w:sz w:val="28"/>
                <w:szCs w:val="28"/>
              </w:rPr>
              <w:t>爰</w:t>
            </w:r>
            <w:proofErr w:type="gramEnd"/>
            <w:r w:rsidRPr="007D1935">
              <w:rPr>
                <w:rFonts w:ascii="標楷體" w:eastAsia="標楷體" w:hAnsi="標楷體" w:cs="Arial"/>
                <w:color w:val="000000"/>
                <w:kern w:val="0"/>
                <w:sz w:val="28"/>
                <w:szCs w:val="28"/>
              </w:rPr>
              <w:t>主張本於行使偵查職權而與立法院調閱文件之職權發生適用憲法爭議，報請上級機關法務部層轉行政院，聲請解釋憲法暨統一解釋。</w:t>
            </w:r>
          </w:p>
        </w:tc>
      </w:tr>
    </w:tbl>
    <w:p w:rsidR="00115902" w:rsidRPr="007D1935" w:rsidRDefault="00115902">
      <w:pPr>
        <w:rPr>
          <w:rFonts w:ascii="標楷體" w:eastAsia="標楷體" w:hAnsi="標楷體"/>
          <w:sz w:val="28"/>
          <w:szCs w:val="28"/>
        </w:rPr>
      </w:pPr>
    </w:p>
    <w:sectPr w:rsidR="00115902" w:rsidRPr="007D1935" w:rsidSect="007D1935">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18" w:rsidRDefault="00F62418" w:rsidP="007D1935">
      <w:r>
        <w:separator/>
      </w:r>
    </w:p>
  </w:endnote>
  <w:endnote w:type="continuationSeparator" w:id="0">
    <w:p w:rsidR="00F62418" w:rsidRDefault="00F62418" w:rsidP="007D1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839"/>
      <w:docPartObj>
        <w:docPartGallery w:val="Page Numbers (Bottom of Page)"/>
        <w:docPartUnique/>
      </w:docPartObj>
    </w:sdtPr>
    <w:sdtContent>
      <w:p w:rsidR="007D1935" w:rsidRDefault="007D1935">
        <w:pPr>
          <w:pStyle w:val="a5"/>
          <w:jc w:val="center"/>
        </w:pPr>
        <w:fldSimple w:instr=" PAGE   \* MERGEFORMAT ">
          <w:r w:rsidRPr="007D1935">
            <w:rPr>
              <w:noProof/>
              <w:lang w:val="zh-TW"/>
            </w:rPr>
            <w:t>1</w:t>
          </w:r>
        </w:fldSimple>
      </w:p>
    </w:sdtContent>
  </w:sdt>
  <w:p w:rsidR="007D1935" w:rsidRDefault="007D19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18" w:rsidRDefault="00F62418" w:rsidP="007D1935">
      <w:r>
        <w:separator/>
      </w:r>
    </w:p>
  </w:footnote>
  <w:footnote w:type="continuationSeparator" w:id="0">
    <w:p w:rsidR="00F62418" w:rsidRDefault="00F62418" w:rsidP="007D1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935"/>
    <w:rsid w:val="00115902"/>
    <w:rsid w:val="007D1935"/>
    <w:rsid w:val="00F624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935"/>
    <w:pPr>
      <w:tabs>
        <w:tab w:val="center" w:pos="4153"/>
        <w:tab w:val="right" w:pos="8306"/>
      </w:tabs>
      <w:snapToGrid w:val="0"/>
    </w:pPr>
    <w:rPr>
      <w:sz w:val="20"/>
      <w:szCs w:val="20"/>
    </w:rPr>
  </w:style>
  <w:style w:type="character" w:customStyle="1" w:styleId="a4">
    <w:name w:val="頁首 字元"/>
    <w:basedOn w:val="a0"/>
    <w:link w:val="a3"/>
    <w:uiPriority w:val="99"/>
    <w:semiHidden/>
    <w:rsid w:val="007D1935"/>
    <w:rPr>
      <w:sz w:val="20"/>
      <w:szCs w:val="20"/>
    </w:rPr>
  </w:style>
  <w:style w:type="paragraph" w:styleId="a5">
    <w:name w:val="footer"/>
    <w:basedOn w:val="a"/>
    <w:link w:val="a6"/>
    <w:uiPriority w:val="99"/>
    <w:unhideWhenUsed/>
    <w:rsid w:val="007D1935"/>
    <w:pPr>
      <w:tabs>
        <w:tab w:val="center" w:pos="4153"/>
        <w:tab w:val="right" w:pos="8306"/>
      </w:tabs>
      <w:snapToGrid w:val="0"/>
    </w:pPr>
    <w:rPr>
      <w:sz w:val="20"/>
      <w:szCs w:val="20"/>
    </w:rPr>
  </w:style>
  <w:style w:type="character" w:customStyle="1" w:styleId="a6">
    <w:name w:val="頁尾 字元"/>
    <w:basedOn w:val="a0"/>
    <w:link w:val="a5"/>
    <w:uiPriority w:val="99"/>
    <w:rsid w:val="007D1935"/>
    <w:rPr>
      <w:sz w:val="20"/>
      <w:szCs w:val="20"/>
    </w:rPr>
  </w:style>
</w:styles>
</file>

<file path=word/webSettings.xml><?xml version="1.0" encoding="utf-8"?>
<w:webSettings xmlns:r="http://schemas.openxmlformats.org/officeDocument/2006/relationships" xmlns:w="http://schemas.openxmlformats.org/wordprocessingml/2006/main">
  <w:divs>
    <w:div w:id="2076510619">
      <w:bodyDiv w:val="1"/>
      <w:marLeft w:val="0"/>
      <w:marRight w:val="0"/>
      <w:marTop w:val="0"/>
      <w:marBottom w:val="0"/>
      <w:divBdr>
        <w:top w:val="none" w:sz="0" w:space="0" w:color="auto"/>
        <w:left w:val="none" w:sz="0" w:space="0" w:color="auto"/>
        <w:bottom w:val="none" w:sz="0" w:space="0" w:color="auto"/>
        <w:right w:val="none" w:sz="0" w:space="0" w:color="auto"/>
      </w:divBdr>
      <w:divsChild>
        <w:div w:id="1211772847">
          <w:marLeft w:val="0"/>
          <w:marRight w:val="0"/>
          <w:marTop w:val="0"/>
          <w:marBottom w:val="0"/>
          <w:divBdr>
            <w:top w:val="none" w:sz="0" w:space="0" w:color="auto"/>
            <w:left w:val="none" w:sz="0" w:space="0" w:color="auto"/>
            <w:bottom w:val="none" w:sz="0" w:space="0" w:color="auto"/>
            <w:right w:val="none" w:sz="0" w:space="0" w:color="auto"/>
          </w:divBdr>
        </w:div>
        <w:div w:id="1745563422">
          <w:marLeft w:val="0"/>
          <w:marRight w:val="0"/>
          <w:marTop w:val="0"/>
          <w:marBottom w:val="0"/>
          <w:divBdr>
            <w:top w:val="none" w:sz="0" w:space="0" w:color="auto"/>
            <w:left w:val="none" w:sz="0" w:space="0" w:color="auto"/>
            <w:bottom w:val="none" w:sz="0" w:space="0" w:color="auto"/>
            <w:right w:val="none" w:sz="0" w:space="0" w:color="auto"/>
          </w:divBdr>
        </w:div>
        <w:div w:id="573007627">
          <w:marLeft w:val="0"/>
          <w:marRight w:val="0"/>
          <w:marTop w:val="0"/>
          <w:marBottom w:val="0"/>
          <w:divBdr>
            <w:top w:val="none" w:sz="0" w:space="0" w:color="auto"/>
            <w:left w:val="none" w:sz="0" w:space="0" w:color="auto"/>
            <w:bottom w:val="none" w:sz="0" w:space="0" w:color="auto"/>
            <w:right w:val="none" w:sz="0" w:space="0" w:color="auto"/>
          </w:divBdr>
        </w:div>
        <w:div w:id="965508544">
          <w:marLeft w:val="0"/>
          <w:marRight w:val="0"/>
          <w:marTop w:val="0"/>
          <w:marBottom w:val="0"/>
          <w:divBdr>
            <w:top w:val="none" w:sz="0" w:space="0" w:color="auto"/>
            <w:left w:val="none" w:sz="0" w:space="0" w:color="auto"/>
            <w:bottom w:val="none" w:sz="0" w:space="0" w:color="auto"/>
            <w:right w:val="none" w:sz="0" w:space="0" w:color="auto"/>
          </w:divBdr>
        </w:div>
        <w:div w:id="1422021800">
          <w:marLeft w:val="0"/>
          <w:marRight w:val="0"/>
          <w:marTop w:val="0"/>
          <w:marBottom w:val="0"/>
          <w:divBdr>
            <w:top w:val="none" w:sz="0" w:space="0" w:color="auto"/>
            <w:left w:val="none" w:sz="0" w:space="0" w:color="auto"/>
            <w:bottom w:val="none" w:sz="0" w:space="0" w:color="auto"/>
            <w:right w:val="none" w:sz="0" w:space="0" w:color="auto"/>
          </w:divBdr>
        </w:div>
        <w:div w:id="1511797563">
          <w:marLeft w:val="0"/>
          <w:marRight w:val="0"/>
          <w:marTop w:val="0"/>
          <w:marBottom w:val="0"/>
          <w:divBdr>
            <w:top w:val="none" w:sz="0" w:space="0" w:color="auto"/>
            <w:left w:val="none" w:sz="0" w:space="0" w:color="auto"/>
            <w:bottom w:val="none" w:sz="0" w:space="0" w:color="auto"/>
            <w:right w:val="none" w:sz="0" w:space="0" w:color="auto"/>
          </w:divBdr>
        </w:div>
        <w:div w:id="2101679673">
          <w:marLeft w:val="0"/>
          <w:marRight w:val="0"/>
          <w:marTop w:val="0"/>
          <w:marBottom w:val="0"/>
          <w:divBdr>
            <w:top w:val="none" w:sz="0" w:space="0" w:color="auto"/>
            <w:left w:val="none" w:sz="0" w:space="0" w:color="auto"/>
            <w:bottom w:val="none" w:sz="0" w:space="0" w:color="auto"/>
            <w:right w:val="none" w:sz="0" w:space="0" w:color="auto"/>
          </w:divBdr>
        </w:div>
        <w:div w:id="657273201">
          <w:marLeft w:val="0"/>
          <w:marRight w:val="0"/>
          <w:marTop w:val="0"/>
          <w:marBottom w:val="0"/>
          <w:divBdr>
            <w:top w:val="none" w:sz="0" w:space="0" w:color="auto"/>
            <w:left w:val="none" w:sz="0" w:space="0" w:color="auto"/>
            <w:bottom w:val="none" w:sz="0" w:space="0" w:color="auto"/>
            <w:right w:val="none" w:sz="0" w:space="0" w:color="auto"/>
          </w:divBdr>
        </w:div>
        <w:div w:id="1197768414">
          <w:marLeft w:val="0"/>
          <w:marRight w:val="0"/>
          <w:marTop w:val="0"/>
          <w:marBottom w:val="0"/>
          <w:divBdr>
            <w:top w:val="none" w:sz="0" w:space="0" w:color="auto"/>
            <w:left w:val="none" w:sz="0" w:space="0" w:color="auto"/>
            <w:bottom w:val="none" w:sz="0" w:space="0" w:color="auto"/>
            <w:right w:val="none" w:sz="0" w:space="0" w:color="auto"/>
          </w:divBdr>
        </w:div>
        <w:div w:id="815417290">
          <w:marLeft w:val="0"/>
          <w:marRight w:val="0"/>
          <w:marTop w:val="0"/>
          <w:marBottom w:val="0"/>
          <w:divBdr>
            <w:top w:val="none" w:sz="0" w:space="0" w:color="auto"/>
            <w:left w:val="none" w:sz="0" w:space="0" w:color="auto"/>
            <w:bottom w:val="none" w:sz="0" w:space="0" w:color="auto"/>
            <w:right w:val="none" w:sz="0" w:space="0" w:color="auto"/>
          </w:divBdr>
        </w:div>
        <w:div w:id="905605709">
          <w:marLeft w:val="0"/>
          <w:marRight w:val="0"/>
          <w:marTop w:val="0"/>
          <w:marBottom w:val="0"/>
          <w:divBdr>
            <w:top w:val="none" w:sz="0" w:space="0" w:color="auto"/>
            <w:left w:val="none" w:sz="0" w:space="0" w:color="auto"/>
            <w:bottom w:val="none" w:sz="0" w:space="0" w:color="auto"/>
            <w:right w:val="none" w:sz="0" w:space="0" w:color="auto"/>
          </w:divBdr>
        </w:div>
        <w:div w:id="646133910">
          <w:marLeft w:val="0"/>
          <w:marRight w:val="0"/>
          <w:marTop w:val="0"/>
          <w:marBottom w:val="0"/>
          <w:divBdr>
            <w:top w:val="none" w:sz="0" w:space="0" w:color="auto"/>
            <w:left w:val="none" w:sz="0" w:space="0" w:color="auto"/>
            <w:bottom w:val="none" w:sz="0" w:space="0" w:color="auto"/>
            <w:right w:val="none" w:sz="0" w:space="0" w:color="auto"/>
          </w:divBdr>
        </w:div>
        <w:div w:id="1684283352">
          <w:marLeft w:val="0"/>
          <w:marRight w:val="0"/>
          <w:marTop w:val="0"/>
          <w:marBottom w:val="0"/>
          <w:divBdr>
            <w:top w:val="none" w:sz="0" w:space="0" w:color="auto"/>
            <w:left w:val="none" w:sz="0" w:space="0" w:color="auto"/>
            <w:bottom w:val="none" w:sz="0" w:space="0" w:color="auto"/>
            <w:right w:val="none" w:sz="0" w:space="0" w:color="auto"/>
          </w:divBdr>
        </w:div>
        <w:div w:id="619191512">
          <w:marLeft w:val="0"/>
          <w:marRight w:val="0"/>
          <w:marTop w:val="0"/>
          <w:marBottom w:val="0"/>
          <w:divBdr>
            <w:top w:val="none" w:sz="0" w:space="0" w:color="auto"/>
            <w:left w:val="none" w:sz="0" w:space="0" w:color="auto"/>
            <w:bottom w:val="none" w:sz="0" w:space="0" w:color="auto"/>
            <w:right w:val="none" w:sz="0" w:space="0" w:color="auto"/>
          </w:divBdr>
        </w:div>
        <w:div w:id="1544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577</Words>
  <Characters>3290</Characters>
  <Application>Microsoft Office Word</Application>
  <DocSecurity>0</DocSecurity>
  <Lines>27</Lines>
  <Paragraphs>7</Paragraphs>
  <ScaleCrop>false</ScaleCrop>
  <Company>HOME</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2015-05-05T14:47:00Z</dcterms:created>
  <dcterms:modified xsi:type="dcterms:W3CDTF">2015-05-05T14:51:00Z</dcterms:modified>
</cp:coreProperties>
</file>