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B2" w:rsidRDefault="003930B2" w:rsidP="003930B2">
      <w:pPr>
        <w:autoSpaceDE w:val="0"/>
        <w:autoSpaceDN w:val="0"/>
        <w:adjustRightInd w:val="0"/>
        <w:jc w:val="center"/>
        <w:rPr>
          <w:rFonts w:ascii="MS Gothic" w:eastAsia="MS Gothic" w:hAnsi="MS Gothic" w:cs="華康行楷體W5(P)"/>
          <w:b/>
          <w:color w:val="800000"/>
          <w:sz w:val="90"/>
          <w:szCs w:val="90"/>
        </w:rPr>
      </w:pPr>
      <w:r w:rsidRPr="003930B2">
        <w:rPr>
          <w:rFonts w:ascii="MS Gothic" w:eastAsia="MS Gothic" w:hAnsi="MS Gothic" w:cs="華康行楷體W5(P)" w:hint="eastAsia"/>
          <w:b/>
          <w:color w:val="800000"/>
          <w:sz w:val="90"/>
          <w:szCs w:val="90"/>
        </w:rPr>
        <w:t>後壁區公所11</w:t>
      </w:r>
      <w:r w:rsidR="009A3F84" w:rsidRPr="009A3F84">
        <w:rPr>
          <w:rFonts w:ascii="MS Gothic" w:eastAsia="MS Gothic" w:hAnsi="MS Gothic" w:cs="華康行楷體W5(P)" w:hint="eastAsia"/>
          <w:b/>
          <w:color w:val="800000"/>
          <w:sz w:val="90"/>
          <w:szCs w:val="90"/>
        </w:rPr>
        <w:t>2</w:t>
      </w:r>
      <w:r w:rsidRPr="003930B2">
        <w:rPr>
          <w:rFonts w:ascii="MS Gothic" w:eastAsia="MS Gothic" w:hAnsi="MS Gothic" w:cs="華康行楷體W5(P)" w:hint="eastAsia"/>
          <w:b/>
          <w:color w:val="800000"/>
          <w:sz w:val="90"/>
          <w:szCs w:val="90"/>
        </w:rPr>
        <w:t>年</w:t>
      </w:r>
    </w:p>
    <w:p w:rsidR="003930B2" w:rsidRDefault="003930B2" w:rsidP="003930B2">
      <w:pPr>
        <w:autoSpaceDE w:val="0"/>
        <w:autoSpaceDN w:val="0"/>
        <w:adjustRightInd w:val="0"/>
        <w:jc w:val="center"/>
        <w:rPr>
          <w:rFonts w:ascii="微軟正黑體" w:eastAsia="微軟正黑體" w:hAnsi="微軟正黑體" w:cs="微軟正黑體"/>
          <w:b/>
          <w:color w:val="800000"/>
          <w:sz w:val="90"/>
          <w:szCs w:val="90"/>
        </w:rPr>
      </w:pPr>
      <w:r w:rsidRPr="003930B2">
        <w:rPr>
          <w:rFonts w:ascii="MS Gothic" w:eastAsia="MS Gothic" w:hAnsi="MS Gothic" w:cs="華康行楷體W5(P)" w:hint="eastAsia"/>
          <w:b/>
          <w:color w:val="800000"/>
          <w:sz w:val="90"/>
          <w:szCs w:val="90"/>
        </w:rPr>
        <w:t>廉政防貪指引</w:t>
      </w:r>
      <w:r>
        <w:rPr>
          <w:rFonts w:ascii="微軟正黑體" w:eastAsia="微軟正黑體" w:hAnsi="微軟正黑體" w:cs="微軟正黑體" w:hint="eastAsia"/>
          <w:b/>
          <w:color w:val="800000"/>
          <w:sz w:val="90"/>
          <w:szCs w:val="90"/>
        </w:rPr>
        <w:t>手冊</w:t>
      </w:r>
    </w:p>
    <w:p w:rsidR="003930B2" w:rsidRDefault="00E92D2D" w:rsidP="003930B2">
      <w:pPr>
        <w:autoSpaceDE w:val="0"/>
        <w:autoSpaceDN w:val="0"/>
        <w:adjustRightInd w:val="0"/>
        <w:jc w:val="center"/>
        <w:rPr>
          <w:rFonts w:ascii="微軟正黑體" w:eastAsia="微軟正黑體" w:hAnsi="微軟正黑體" w:cs="微軟正黑體"/>
          <w:b/>
          <w:color w:val="800000"/>
          <w:sz w:val="90"/>
          <w:szCs w:val="90"/>
        </w:rPr>
      </w:pPr>
      <w:r w:rsidRPr="00E92D2D">
        <w:rPr>
          <w:rFonts w:ascii="微軟正黑體" w:eastAsia="微軟正黑體" w:hAnsi="微軟正黑體" w:cs="微軟正黑體"/>
          <w:b/>
          <w:noProof/>
          <w:color w:val="800000"/>
          <w:sz w:val="90"/>
          <w:szCs w:val="90"/>
        </w:rPr>
        <w:drawing>
          <wp:inline distT="0" distB="0" distL="0" distR="0">
            <wp:extent cx="5274310" cy="4626960"/>
            <wp:effectExtent l="0" t="0" r="0" b="0"/>
            <wp:docPr id="1" name="圖片 1" descr="\\servernas\9.行政課\區徽\區徽\Houbi-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as\9.行政課\區徽\區徽\Houbi-Fl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4626960"/>
                    </a:xfrm>
                    <a:prstGeom prst="rect">
                      <a:avLst/>
                    </a:prstGeom>
                    <a:noFill/>
                    <a:ln>
                      <a:noFill/>
                    </a:ln>
                  </pic:spPr>
                </pic:pic>
              </a:graphicData>
            </a:graphic>
          </wp:inline>
        </w:drawing>
      </w:r>
    </w:p>
    <w:p w:rsidR="00B86321" w:rsidRDefault="00B86321" w:rsidP="003930B2">
      <w:pPr>
        <w:autoSpaceDE w:val="0"/>
        <w:autoSpaceDN w:val="0"/>
        <w:adjustRightInd w:val="0"/>
        <w:jc w:val="center"/>
        <w:rPr>
          <w:rFonts w:ascii="微軟正黑體" w:eastAsia="微軟正黑體" w:hAnsi="微軟正黑體" w:cs="微軟正黑體"/>
          <w:b/>
          <w:color w:val="800000"/>
          <w:sz w:val="90"/>
          <w:szCs w:val="90"/>
        </w:rPr>
      </w:pPr>
    </w:p>
    <w:p w:rsidR="00D864E8" w:rsidRDefault="00D864E8" w:rsidP="00D864E8">
      <w:pPr>
        <w:jc w:val="center"/>
        <w:rPr>
          <w:rFonts w:ascii="標楷體" w:eastAsia="標楷體" w:hAnsi="標楷體" w:cs="Times New Roman"/>
          <w:b/>
          <w:sz w:val="60"/>
          <w:szCs w:val="60"/>
        </w:rPr>
      </w:pPr>
    </w:p>
    <w:p w:rsidR="00D864E8" w:rsidRPr="00D864E8" w:rsidRDefault="00D864E8" w:rsidP="00D864E8">
      <w:pPr>
        <w:jc w:val="center"/>
        <w:rPr>
          <w:rFonts w:ascii="標楷體" w:eastAsia="標楷體" w:hAnsi="標楷體" w:cs="Times New Roman"/>
          <w:b/>
          <w:sz w:val="60"/>
          <w:szCs w:val="60"/>
        </w:rPr>
      </w:pPr>
      <w:r w:rsidRPr="00D864E8">
        <w:rPr>
          <w:rFonts w:ascii="標楷體" w:eastAsia="標楷體" w:hAnsi="標楷體" w:cs="Times New Roman" w:hint="eastAsia"/>
          <w:b/>
          <w:sz w:val="60"/>
          <w:szCs w:val="60"/>
        </w:rPr>
        <w:lastRenderedPageBreak/>
        <w:t>目  錄</w:t>
      </w:r>
    </w:p>
    <w:p w:rsidR="00D864E8" w:rsidRPr="00D864E8" w:rsidRDefault="00D864E8" w:rsidP="00D864E8">
      <w:pPr>
        <w:numPr>
          <w:ilvl w:val="0"/>
          <w:numId w:val="1"/>
        </w:numPr>
        <w:spacing w:beforeLines="100" w:before="360" w:line="360" w:lineRule="auto"/>
        <w:ind w:left="1080" w:rightChars="-120" w:right="-288"/>
        <w:rPr>
          <w:rFonts w:ascii="標楷體" w:eastAsia="標楷體" w:hAnsi="標楷體" w:cs="Times New Roman"/>
          <w:b/>
          <w:sz w:val="50"/>
          <w:szCs w:val="50"/>
        </w:rPr>
      </w:pPr>
      <w:r w:rsidRPr="00D864E8">
        <w:rPr>
          <w:rFonts w:ascii="標楷體" w:eastAsia="標楷體" w:hAnsi="標楷體" w:cs="Times New Roman" w:hint="eastAsia"/>
          <w:b/>
          <w:sz w:val="50"/>
          <w:szCs w:val="50"/>
        </w:rPr>
        <w:t>前言</w:t>
      </w:r>
      <w:r w:rsidR="00026725">
        <w:rPr>
          <w:rFonts w:ascii="標楷體" w:eastAsia="標楷體" w:hAnsi="標楷體" w:cs="Times New Roman" w:hint="eastAsia"/>
          <w:b/>
          <w:sz w:val="50"/>
          <w:szCs w:val="50"/>
        </w:rPr>
        <w:t>-----------------------2</w:t>
      </w:r>
      <w:r w:rsidRPr="00D864E8">
        <w:rPr>
          <w:rFonts w:ascii="標楷體" w:eastAsia="標楷體" w:hAnsi="標楷體" w:cs="Times New Roman" w:hint="eastAsia"/>
          <w:b/>
          <w:sz w:val="40"/>
          <w:szCs w:val="40"/>
        </w:rPr>
        <w:t xml:space="preserve"> </w:t>
      </w:r>
    </w:p>
    <w:p w:rsidR="00D864E8" w:rsidRPr="00D864E8" w:rsidRDefault="00D864E8" w:rsidP="00D864E8">
      <w:pPr>
        <w:numPr>
          <w:ilvl w:val="0"/>
          <w:numId w:val="1"/>
        </w:numPr>
        <w:spacing w:beforeLines="100" w:before="360" w:line="360" w:lineRule="auto"/>
        <w:ind w:left="1080" w:rightChars="-120" w:right="-288"/>
        <w:rPr>
          <w:rFonts w:ascii="標楷體" w:eastAsia="標楷體" w:hAnsi="標楷體" w:cs="Times New Roman"/>
          <w:b/>
          <w:sz w:val="50"/>
          <w:szCs w:val="50"/>
        </w:rPr>
      </w:pPr>
      <w:r w:rsidRPr="00D864E8">
        <w:rPr>
          <w:rFonts w:ascii="標楷體" w:eastAsia="標楷體" w:hAnsi="標楷體" w:cs="Times New Roman" w:hint="eastAsia"/>
          <w:b/>
          <w:sz w:val="50"/>
          <w:szCs w:val="50"/>
        </w:rPr>
        <w:t>案例類型：</w:t>
      </w:r>
      <w:r w:rsidRPr="00D864E8">
        <w:rPr>
          <w:rFonts w:ascii="標楷體" w:eastAsia="標楷體" w:hAnsi="標楷體" w:cs="Times New Roman" w:hint="eastAsia"/>
          <w:b/>
          <w:sz w:val="36"/>
          <w:szCs w:val="36"/>
        </w:rPr>
        <w:t xml:space="preserve"> </w:t>
      </w:r>
      <w:r w:rsidRPr="00D864E8">
        <w:rPr>
          <w:rFonts w:ascii="標楷體" w:eastAsia="標楷體" w:hAnsi="標楷體" w:cs="Times New Roman" w:hint="eastAsia"/>
          <w:b/>
          <w:sz w:val="50"/>
          <w:szCs w:val="50"/>
        </w:rPr>
        <w:t xml:space="preserve">   </w:t>
      </w:r>
      <w:r w:rsidRPr="00D864E8">
        <w:rPr>
          <w:rFonts w:ascii="標楷體" w:eastAsia="標楷體" w:hAnsi="標楷體" w:cs="Times New Roman" w:hint="eastAsia"/>
          <w:b/>
          <w:sz w:val="8"/>
          <w:szCs w:val="8"/>
        </w:rPr>
        <w:t xml:space="preserve"> </w:t>
      </w:r>
    </w:p>
    <w:p w:rsidR="00D864E8" w:rsidRPr="00D864E8" w:rsidRDefault="009A3F84" w:rsidP="00D864E8">
      <w:pPr>
        <w:numPr>
          <w:ilvl w:val="1"/>
          <w:numId w:val="1"/>
        </w:numPr>
        <w:spacing w:beforeLines="100" w:before="360" w:line="360" w:lineRule="auto"/>
        <w:ind w:left="1134" w:rightChars="-120" w:right="-288" w:hanging="1134"/>
        <w:rPr>
          <w:rFonts w:ascii="標楷體" w:eastAsia="標楷體" w:hAnsi="標楷體" w:cs="Times New Roman"/>
          <w:b/>
          <w:sz w:val="40"/>
          <w:szCs w:val="40"/>
        </w:rPr>
      </w:pPr>
      <w:r w:rsidRPr="009A3F84">
        <w:rPr>
          <w:rFonts w:ascii="標楷體" w:eastAsia="標楷體" w:hAnsi="Times New Roman" w:cs="標楷體" w:hint="eastAsia"/>
          <w:b/>
          <w:bCs/>
          <w:sz w:val="40"/>
          <w:szCs w:val="40"/>
        </w:rPr>
        <w:t>採購人員收受回扣案</w:t>
      </w:r>
      <w:r w:rsidR="00D864E8" w:rsidRPr="00D864E8">
        <w:rPr>
          <w:rFonts w:ascii="標楷體" w:eastAsia="標楷體" w:hAnsi="標楷體" w:cs="Times New Roman" w:hint="eastAsia"/>
          <w:b/>
          <w:sz w:val="40"/>
          <w:szCs w:val="40"/>
        </w:rPr>
        <w:t>-----</w:t>
      </w:r>
      <w:r>
        <w:rPr>
          <w:rFonts w:ascii="標楷體" w:eastAsia="標楷體" w:hAnsi="標楷體" w:cs="Times New Roman" w:hint="eastAsia"/>
          <w:b/>
          <w:sz w:val="40"/>
          <w:szCs w:val="40"/>
        </w:rPr>
        <w:t>-----------</w:t>
      </w:r>
      <w:r w:rsidR="00DC1DB9">
        <w:rPr>
          <w:rFonts w:ascii="標楷體" w:eastAsia="標楷體" w:hAnsi="標楷體" w:cs="Times New Roman" w:hint="eastAsia"/>
          <w:b/>
          <w:sz w:val="40"/>
          <w:szCs w:val="40"/>
        </w:rPr>
        <w:t>4</w:t>
      </w:r>
    </w:p>
    <w:p w:rsidR="00D864E8" w:rsidRDefault="006D5DBA" w:rsidP="00D864E8">
      <w:pPr>
        <w:numPr>
          <w:ilvl w:val="1"/>
          <w:numId w:val="1"/>
        </w:numPr>
        <w:spacing w:beforeLines="100" w:before="360" w:line="360" w:lineRule="auto"/>
        <w:ind w:left="1134" w:rightChars="-120" w:right="-288" w:hanging="1134"/>
        <w:rPr>
          <w:rFonts w:ascii="標楷體" w:eastAsia="標楷體" w:hAnsi="標楷體" w:cs="Times New Roman"/>
          <w:b/>
          <w:sz w:val="40"/>
          <w:szCs w:val="40"/>
        </w:rPr>
      </w:pPr>
      <w:r w:rsidRPr="006D5DBA">
        <w:rPr>
          <w:rFonts w:ascii="標楷體" w:eastAsia="標楷體" w:hAnsi="標楷體" w:cs="Times New Roman" w:hint="eastAsia"/>
          <w:b/>
          <w:sz w:val="40"/>
          <w:szCs w:val="40"/>
        </w:rPr>
        <w:t>工程採購驗收紀錄登載不實</w:t>
      </w:r>
      <w:r>
        <w:rPr>
          <w:rFonts w:ascii="標楷體" w:eastAsia="標楷體" w:hAnsi="標楷體" w:cs="Times New Roman" w:hint="eastAsia"/>
          <w:b/>
          <w:sz w:val="40"/>
          <w:szCs w:val="40"/>
        </w:rPr>
        <w:t>--------</w:t>
      </w:r>
      <w:r>
        <w:rPr>
          <w:rFonts w:ascii="標楷體" w:eastAsia="標楷體" w:hAnsi="標楷體" w:cs="Times New Roman"/>
          <w:b/>
          <w:sz w:val="40"/>
          <w:szCs w:val="40"/>
        </w:rPr>
        <w:t>—</w:t>
      </w:r>
      <w:r w:rsidR="00026725">
        <w:rPr>
          <w:rFonts w:ascii="標楷體" w:eastAsia="標楷體" w:hAnsi="標楷體" w:cs="Times New Roman" w:hint="eastAsia"/>
          <w:b/>
          <w:sz w:val="40"/>
          <w:szCs w:val="40"/>
        </w:rPr>
        <w:t>8</w:t>
      </w:r>
    </w:p>
    <w:p w:rsidR="006D5DBA" w:rsidRPr="00D864E8" w:rsidRDefault="006D5DBA" w:rsidP="00D864E8">
      <w:pPr>
        <w:numPr>
          <w:ilvl w:val="1"/>
          <w:numId w:val="1"/>
        </w:numPr>
        <w:spacing w:beforeLines="100" w:before="360" w:line="360" w:lineRule="auto"/>
        <w:ind w:left="1134" w:rightChars="-120" w:right="-288" w:hanging="1134"/>
        <w:rPr>
          <w:rFonts w:ascii="標楷體" w:eastAsia="標楷體" w:hAnsi="標楷體" w:cs="Times New Roman"/>
          <w:b/>
          <w:sz w:val="40"/>
          <w:szCs w:val="40"/>
        </w:rPr>
      </w:pPr>
      <w:r w:rsidRPr="006D5DBA">
        <w:rPr>
          <w:rFonts w:ascii="標楷體" w:eastAsia="標楷體" w:hAnsi="標楷體" w:cs="Times New Roman" w:hint="eastAsia"/>
          <w:b/>
          <w:sz w:val="40"/>
          <w:szCs w:val="40"/>
        </w:rPr>
        <w:t>預防過失洩密與落實門禁管理</w:t>
      </w:r>
      <w:r>
        <w:rPr>
          <w:rFonts w:ascii="標楷體" w:eastAsia="標楷體" w:hAnsi="標楷體" w:cs="Times New Roman" w:hint="eastAsia"/>
          <w:b/>
          <w:sz w:val="40"/>
          <w:szCs w:val="40"/>
        </w:rPr>
        <w:t>--------11</w:t>
      </w:r>
    </w:p>
    <w:p w:rsidR="003930B2" w:rsidRDefault="003930B2" w:rsidP="003930B2">
      <w:pPr>
        <w:autoSpaceDE w:val="0"/>
        <w:autoSpaceDN w:val="0"/>
        <w:adjustRightInd w:val="0"/>
        <w:jc w:val="center"/>
        <w:rPr>
          <w:rFonts w:ascii="微軟正黑體" w:eastAsia="微軟正黑體" w:hAnsi="微軟正黑體" w:cs="微軟正黑體"/>
          <w:b/>
          <w:color w:val="800000"/>
          <w:sz w:val="90"/>
          <w:szCs w:val="90"/>
        </w:rPr>
      </w:pPr>
    </w:p>
    <w:p w:rsidR="00B61884" w:rsidRDefault="00B61884" w:rsidP="003930B2">
      <w:pPr>
        <w:autoSpaceDE w:val="0"/>
        <w:autoSpaceDN w:val="0"/>
        <w:adjustRightInd w:val="0"/>
        <w:jc w:val="center"/>
        <w:rPr>
          <w:rFonts w:ascii="微軟正黑體" w:eastAsia="微軟正黑體" w:hAnsi="微軟正黑體" w:cs="微軟正黑體"/>
          <w:b/>
          <w:color w:val="800000"/>
          <w:sz w:val="90"/>
          <w:szCs w:val="90"/>
        </w:rPr>
      </w:pPr>
    </w:p>
    <w:p w:rsidR="00026725" w:rsidRPr="00026725" w:rsidRDefault="00026725" w:rsidP="003930B2">
      <w:pPr>
        <w:autoSpaceDE w:val="0"/>
        <w:autoSpaceDN w:val="0"/>
        <w:adjustRightInd w:val="0"/>
        <w:jc w:val="center"/>
        <w:rPr>
          <w:rFonts w:ascii="微軟正黑體" w:eastAsia="微軟正黑體" w:hAnsi="微軟正黑體" w:cs="微軟正黑體"/>
          <w:b/>
          <w:color w:val="800000"/>
          <w:sz w:val="32"/>
          <w:szCs w:val="32"/>
        </w:rPr>
      </w:pPr>
    </w:p>
    <w:p w:rsidR="00B61884" w:rsidRDefault="00B61884" w:rsidP="003930B2">
      <w:pPr>
        <w:autoSpaceDE w:val="0"/>
        <w:autoSpaceDN w:val="0"/>
        <w:adjustRightInd w:val="0"/>
        <w:jc w:val="center"/>
        <w:rPr>
          <w:rFonts w:ascii="微軟正黑體" w:eastAsia="微軟正黑體" w:hAnsi="微軟正黑體" w:cs="微軟正黑體"/>
          <w:b/>
          <w:color w:val="800000"/>
          <w:sz w:val="90"/>
          <w:szCs w:val="90"/>
        </w:rPr>
      </w:pPr>
    </w:p>
    <w:p w:rsidR="006D5DBA" w:rsidRPr="006D5DBA" w:rsidRDefault="006D5DBA" w:rsidP="003930B2">
      <w:pPr>
        <w:autoSpaceDE w:val="0"/>
        <w:autoSpaceDN w:val="0"/>
        <w:adjustRightInd w:val="0"/>
        <w:jc w:val="center"/>
        <w:rPr>
          <w:rFonts w:ascii="微軟正黑體" w:eastAsia="微軟正黑體" w:hAnsi="微軟正黑體" w:cs="微軟正黑體" w:hint="eastAsia"/>
          <w:b/>
          <w:color w:val="800000"/>
          <w:sz w:val="28"/>
          <w:szCs w:val="28"/>
        </w:rPr>
      </w:pPr>
    </w:p>
    <w:p w:rsidR="00B61884" w:rsidRPr="00B61884" w:rsidRDefault="00B61884" w:rsidP="00B61884">
      <w:pPr>
        <w:jc w:val="center"/>
        <w:rPr>
          <w:rFonts w:ascii="標楷體" w:eastAsia="標楷體" w:hAnsi="標楷體" w:cs="Times New Roman"/>
          <w:b/>
          <w:sz w:val="60"/>
          <w:szCs w:val="60"/>
        </w:rPr>
      </w:pPr>
      <w:r w:rsidRPr="00B61884">
        <w:rPr>
          <w:rFonts w:ascii="標楷體" w:eastAsia="標楷體" w:hAnsi="標楷體" w:cs="Times New Roman" w:hint="eastAsia"/>
          <w:b/>
          <w:sz w:val="60"/>
          <w:szCs w:val="60"/>
        </w:rPr>
        <w:t>前言</w:t>
      </w:r>
    </w:p>
    <w:p w:rsidR="00B61884" w:rsidRPr="00B61884" w:rsidRDefault="00B61884" w:rsidP="00B61884">
      <w:pPr>
        <w:spacing w:line="480" w:lineRule="exact"/>
        <w:ind w:leftChars="59" w:left="142"/>
        <w:jc w:val="both"/>
        <w:rPr>
          <w:rFonts w:ascii="標楷體" w:eastAsia="標楷體" w:hAnsi="標楷體" w:cs="Times New Roman"/>
          <w:sz w:val="32"/>
          <w:szCs w:val="32"/>
        </w:rPr>
      </w:pPr>
      <w:r w:rsidRPr="00B61884">
        <w:rPr>
          <w:rFonts w:ascii="標楷體" w:eastAsia="標楷體" w:hAnsi="標楷體" w:cs="Times New Roman" w:hint="eastAsia"/>
          <w:sz w:val="32"/>
          <w:szCs w:val="32"/>
        </w:rPr>
        <w:t>2015年9月25日的釋字732號解釋，是林錫堯、池啟明、蔡清遊及李震山四位前大法官作成的最後一號解釋。李震山大法官在這號解釋出具了一份協同意見書，最後一個標題是：曲終－「任性者」的獨白。抒發了他八年來的感觸(略以)：「本件解釋是本席忝列釋憲成員八年任期內，所參與作成的最後一號解釋（自釋字第六三四號解釋以降），爾後自可揮別與自己的言語、文字、理念艱辛搏鬥的歲月。此時此刻，願借旅居紐西蘭已故的華語詩人顧城 (1956-1993) 所寫『我是一個任性的孩子』詩中的幾句，表達本席參與違憲審查一直以來所抱持的心境：</w:t>
      </w:r>
      <w:r w:rsidRPr="00B61884">
        <w:rPr>
          <w:rFonts w:ascii="MS Gothic" w:eastAsia="MS Gothic" w:hAnsi="MS Gothic" w:cs="MS Gothic" w:hint="eastAsia"/>
          <w:sz w:val="32"/>
          <w:szCs w:val="32"/>
        </w:rPr>
        <w:t xml:space="preserve"> ​​</w:t>
      </w:r>
    </w:p>
    <w:p w:rsidR="00B61884" w:rsidRPr="00B61884" w:rsidRDefault="00B61884" w:rsidP="00B61884">
      <w:pPr>
        <w:spacing w:line="480" w:lineRule="exact"/>
        <w:ind w:leftChars="59" w:left="142"/>
        <w:rPr>
          <w:rFonts w:ascii="標楷體" w:eastAsia="標楷體" w:hAnsi="標楷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『我是一個任性的孩子</w:t>
      </w:r>
    </w:p>
    <w:p w:rsidR="00B61884" w:rsidRPr="00B61884" w:rsidRDefault="00B61884" w:rsidP="00B61884">
      <w:pPr>
        <w:spacing w:line="480" w:lineRule="exact"/>
        <w:ind w:leftChars="59" w:left="142"/>
        <w:rPr>
          <w:rFonts w:ascii="標楷體" w:eastAsia="標楷體" w:hAnsi="標楷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我想塗去一切不幸</w:t>
      </w:r>
    </w:p>
    <w:p w:rsidR="00B61884" w:rsidRPr="00B61884" w:rsidRDefault="00B61884" w:rsidP="00B61884">
      <w:pPr>
        <w:spacing w:line="480" w:lineRule="exact"/>
        <w:ind w:leftChars="59" w:left="142"/>
        <w:rPr>
          <w:rFonts w:ascii="標楷體" w:eastAsia="標楷體" w:hAnsi="標楷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我想在大地上</w:t>
      </w:r>
    </w:p>
    <w:p w:rsidR="00B61884" w:rsidRPr="00B61884" w:rsidRDefault="00B61884" w:rsidP="00B61884">
      <w:pPr>
        <w:spacing w:line="480" w:lineRule="exact"/>
        <w:ind w:leftChars="59" w:left="142"/>
        <w:rPr>
          <w:rFonts w:ascii="標楷體" w:eastAsia="標楷體" w:hAnsi="標楷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畫滿窗子</w:t>
      </w:r>
    </w:p>
    <w:p w:rsidR="00B61884" w:rsidRPr="00B61884" w:rsidRDefault="00B61884" w:rsidP="00B61884">
      <w:pPr>
        <w:spacing w:line="480" w:lineRule="exact"/>
        <w:ind w:leftChars="59" w:left="142"/>
        <w:rPr>
          <w:rFonts w:ascii="標楷體" w:eastAsia="標楷體" w:hAnsi="標楷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讓所有習慣黑暗的眼睛</w:t>
      </w:r>
    </w:p>
    <w:p w:rsidR="00B61884" w:rsidRDefault="00B61884" w:rsidP="00B61884">
      <w:pPr>
        <w:spacing w:line="480" w:lineRule="exact"/>
        <w:ind w:leftChars="59" w:left="142"/>
        <w:rPr>
          <w:rFonts w:ascii="新細明體" w:eastAsia="新細明體" w:hAnsi="新細明體" w:cs="Times New Roman"/>
          <w:sz w:val="32"/>
          <w:szCs w:val="32"/>
        </w:rPr>
      </w:pPr>
      <w:r w:rsidRPr="00B61884">
        <w:rPr>
          <w:rFonts w:ascii="MS Gothic" w:eastAsia="MS Gothic" w:hAnsi="MS Gothic" w:cs="MS Gothic" w:hint="eastAsia"/>
          <w:sz w:val="32"/>
          <w:szCs w:val="32"/>
        </w:rPr>
        <w:t>​​</w:t>
      </w:r>
      <w:r w:rsidRPr="00B61884">
        <w:rPr>
          <w:rFonts w:ascii="標楷體" w:eastAsia="標楷體" w:hAnsi="標楷體" w:cs="Times New Roman" w:hint="eastAsia"/>
          <w:sz w:val="32"/>
          <w:szCs w:val="32"/>
        </w:rPr>
        <w:t>都習慣光明』。</w:t>
      </w:r>
      <w:r>
        <w:rPr>
          <w:rFonts w:ascii="新細明體" w:eastAsia="新細明體" w:hAnsi="新細明體" w:cs="Times New Roman" w:hint="eastAsia"/>
          <w:sz w:val="32"/>
          <w:szCs w:val="32"/>
        </w:rPr>
        <w:t>」</w:t>
      </w:r>
      <w:r>
        <w:rPr>
          <w:rStyle w:val="a9"/>
          <w:rFonts w:ascii="新細明體" w:eastAsia="新細明體" w:hAnsi="新細明體" w:cs="Times New Roman"/>
          <w:sz w:val="32"/>
          <w:szCs w:val="32"/>
        </w:rPr>
        <w:footnoteReference w:id="1"/>
      </w:r>
    </w:p>
    <w:p w:rsidR="006F28CD" w:rsidRDefault="006F28CD" w:rsidP="00B61884">
      <w:pPr>
        <w:spacing w:line="480" w:lineRule="exact"/>
        <w:ind w:leftChars="59" w:left="142"/>
        <w:rPr>
          <w:rFonts w:ascii="標楷體" w:eastAsia="標楷體" w:hAnsi="標楷體" w:cs="Times New Roman"/>
          <w:sz w:val="32"/>
          <w:szCs w:val="32"/>
        </w:rPr>
      </w:pPr>
    </w:p>
    <w:p w:rsidR="00B61884" w:rsidRDefault="00B61884" w:rsidP="006F28CD">
      <w:pPr>
        <w:autoSpaceDE w:val="0"/>
        <w:autoSpaceDN w:val="0"/>
        <w:adjustRightInd w:val="0"/>
        <w:spacing w:line="480" w:lineRule="exact"/>
        <w:jc w:val="both"/>
        <w:rPr>
          <w:rFonts w:ascii="標楷體" w:eastAsia="標楷體" w:hAnsi="標楷體" w:cs="Times New Roman"/>
          <w:sz w:val="32"/>
          <w:szCs w:val="32"/>
        </w:rPr>
      </w:pPr>
      <w:r w:rsidRPr="00B61884">
        <w:rPr>
          <w:rFonts w:ascii="標楷體" w:eastAsia="標楷體" w:hAnsi="標楷體" w:cs="Times New Roman" w:hint="eastAsia"/>
          <w:sz w:val="32"/>
          <w:szCs w:val="32"/>
        </w:rPr>
        <w:t>而「讓所有習慣黑暗的眼睛都習慣光明」或許</w:t>
      </w:r>
      <w:r w:rsidR="00B33011">
        <w:rPr>
          <w:rFonts w:ascii="標楷體" w:eastAsia="標楷體" w:hAnsi="標楷體" w:cs="Times New Roman" w:hint="eastAsia"/>
          <w:sz w:val="32"/>
          <w:szCs w:val="32"/>
        </w:rPr>
        <w:t>也</w:t>
      </w:r>
      <w:r w:rsidRPr="00B61884">
        <w:rPr>
          <w:rFonts w:ascii="標楷體" w:eastAsia="標楷體" w:hAnsi="標楷體" w:cs="Times New Roman" w:hint="eastAsia"/>
          <w:sz w:val="32"/>
          <w:szCs w:val="32"/>
        </w:rPr>
        <w:t>是廉政防貪指引的初衷。</w:t>
      </w:r>
      <w:r>
        <w:rPr>
          <w:rFonts w:ascii="標楷體" w:eastAsia="標楷體" w:hAnsi="標楷體" w:cs="Times New Roman" w:hint="eastAsia"/>
          <w:sz w:val="32"/>
          <w:szCs w:val="32"/>
        </w:rPr>
        <w:t>希望藉由</w:t>
      </w:r>
      <w:r w:rsidRPr="00B61884">
        <w:rPr>
          <w:rFonts w:ascii="標楷體" w:eastAsia="標楷體" w:hAnsi="標楷體" w:cs="Times New Roman" w:hint="eastAsia"/>
          <w:sz w:val="32"/>
          <w:szCs w:val="32"/>
        </w:rPr>
        <w:t>召開廉政防貪指引座談會</w:t>
      </w:r>
      <w:r>
        <w:rPr>
          <w:rFonts w:ascii="標楷體" w:eastAsia="標楷體" w:hAnsi="標楷體" w:cs="Times New Roman" w:hint="eastAsia"/>
          <w:sz w:val="32"/>
          <w:szCs w:val="32"/>
        </w:rPr>
        <w:t>提案討論，</w:t>
      </w:r>
      <w:r w:rsidRPr="00B61884">
        <w:rPr>
          <w:rFonts w:ascii="標楷體" w:eastAsia="標楷體" w:hAnsi="標楷體" w:cs="Times New Roman" w:hint="eastAsia"/>
          <w:sz w:val="32"/>
          <w:szCs w:val="32"/>
        </w:rPr>
        <w:t>與會人員深度參與，彼此腦力激盪，掌握機關廉政風險</w:t>
      </w:r>
      <w:r>
        <w:rPr>
          <w:rFonts w:ascii="標楷體" w:eastAsia="標楷體" w:hAnsi="標楷體" w:cs="Times New Roman" w:hint="eastAsia"/>
          <w:sz w:val="32"/>
          <w:szCs w:val="32"/>
        </w:rPr>
        <w:t>，</w:t>
      </w:r>
      <w:r w:rsidRPr="00B61884">
        <w:rPr>
          <w:rFonts w:ascii="標楷體" w:eastAsia="標楷體" w:hAnsi="標楷體" w:cs="Times New Roman" w:hint="eastAsia"/>
          <w:sz w:val="32"/>
          <w:szCs w:val="32"/>
        </w:rPr>
        <w:t>針對風險業務或問題找出更有</w:t>
      </w:r>
      <w:r>
        <w:rPr>
          <w:rFonts w:ascii="標楷體" w:eastAsia="標楷體" w:hAnsi="標楷體" w:cs="Times New Roman" w:hint="eastAsia"/>
          <w:sz w:val="32"/>
          <w:szCs w:val="32"/>
        </w:rPr>
        <w:t>效的抑制方法</w:t>
      </w:r>
      <w:r w:rsidRPr="00B61884">
        <w:rPr>
          <w:rFonts w:ascii="標楷體" w:eastAsia="標楷體" w:hAnsi="標楷體" w:cs="Times New Roman" w:hint="eastAsia"/>
          <w:sz w:val="32"/>
          <w:szCs w:val="32"/>
        </w:rPr>
        <w:t>，提出有效因應策略，並導入內、外部興革建議，協助完備機關各項行政措施和防弊機制。</w:t>
      </w:r>
      <w:r>
        <w:rPr>
          <w:rFonts w:ascii="標楷體" w:eastAsia="標楷體" w:hAnsi="標楷體" w:cs="Times New Roman" w:hint="eastAsia"/>
          <w:sz w:val="32"/>
          <w:szCs w:val="32"/>
        </w:rPr>
        <w:t>其後更</w:t>
      </w:r>
      <w:r w:rsidRPr="00B61884">
        <w:rPr>
          <w:rFonts w:ascii="標楷體" w:eastAsia="標楷體" w:hAnsi="標楷體" w:cs="Times New Roman" w:hint="eastAsia"/>
          <w:sz w:val="32"/>
          <w:szCs w:val="32"/>
        </w:rPr>
        <w:t>彙整座談會討論內容，編輯廉政防貪指引，供各機關執行業務有所遵循。</w:t>
      </w:r>
    </w:p>
    <w:p w:rsidR="006F28CD" w:rsidRDefault="006F28CD" w:rsidP="006F28CD">
      <w:pPr>
        <w:autoSpaceDE w:val="0"/>
        <w:autoSpaceDN w:val="0"/>
        <w:adjustRightInd w:val="0"/>
        <w:spacing w:line="480" w:lineRule="exact"/>
        <w:jc w:val="both"/>
        <w:rPr>
          <w:rFonts w:ascii="微軟正黑體" w:eastAsia="微軟正黑體" w:hAnsi="微軟正黑體" w:cs="微軟正黑體"/>
          <w:b/>
          <w:color w:val="800000"/>
          <w:sz w:val="32"/>
          <w:szCs w:val="32"/>
        </w:rPr>
      </w:pPr>
    </w:p>
    <w:p w:rsidR="00B61884" w:rsidRDefault="00B61884" w:rsidP="003930B2">
      <w:pPr>
        <w:autoSpaceDE w:val="0"/>
        <w:autoSpaceDN w:val="0"/>
        <w:adjustRightInd w:val="0"/>
        <w:jc w:val="center"/>
        <w:rPr>
          <w:rFonts w:ascii="標楷體" w:eastAsia="標楷體" w:hAnsi="標楷體" w:cs="Times New Roman"/>
          <w:b/>
          <w:sz w:val="36"/>
          <w:szCs w:val="36"/>
        </w:rPr>
      </w:pPr>
      <w:bookmarkStart w:id="0" w:name="_GoBack"/>
      <w:bookmarkEnd w:id="0"/>
      <w:r w:rsidRPr="006F28CD">
        <w:rPr>
          <w:rFonts w:ascii="標楷體" w:eastAsia="標楷體" w:hAnsi="標楷體" w:cs="Times New Roman" w:hint="eastAsia"/>
          <w:b/>
          <w:sz w:val="36"/>
          <w:szCs w:val="36"/>
        </w:rPr>
        <w:t>臺南市</w:t>
      </w:r>
      <w:r w:rsidR="006F28CD" w:rsidRPr="006F28CD">
        <w:rPr>
          <w:rFonts w:ascii="標楷體" w:eastAsia="標楷體" w:hAnsi="標楷體" w:cs="Times New Roman" w:hint="eastAsia"/>
          <w:b/>
          <w:sz w:val="36"/>
          <w:szCs w:val="36"/>
        </w:rPr>
        <w:t>後壁</w:t>
      </w:r>
      <w:r w:rsidRPr="006F28CD">
        <w:rPr>
          <w:rFonts w:ascii="標楷體" w:eastAsia="標楷體" w:hAnsi="標楷體" w:cs="Times New Roman" w:hint="eastAsia"/>
          <w:b/>
          <w:sz w:val="36"/>
          <w:szCs w:val="36"/>
        </w:rPr>
        <w:t>區公所11</w:t>
      </w:r>
      <w:r w:rsidR="00F578E8">
        <w:rPr>
          <w:rFonts w:ascii="標楷體" w:eastAsia="標楷體" w:hAnsi="標楷體" w:cs="Times New Roman" w:hint="eastAsia"/>
          <w:b/>
          <w:sz w:val="36"/>
          <w:szCs w:val="36"/>
        </w:rPr>
        <w:t>2</w:t>
      </w:r>
      <w:r w:rsidRPr="006F28CD">
        <w:rPr>
          <w:rFonts w:ascii="標楷體" w:eastAsia="標楷體" w:hAnsi="標楷體" w:cs="Times New Roman" w:hint="eastAsia"/>
          <w:b/>
          <w:sz w:val="36"/>
          <w:szCs w:val="36"/>
        </w:rPr>
        <w:t>年度廉政防貪指引弊端態樣</w:t>
      </w:r>
    </w:p>
    <w:p w:rsidR="006F28CD" w:rsidRDefault="006F28CD" w:rsidP="006F28CD">
      <w:pPr>
        <w:pStyle w:val="aa"/>
        <w:numPr>
          <w:ilvl w:val="0"/>
          <w:numId w:val="4"/>
        </w:numPr>
        <w:spacing w:line="480" w:lineRule="exact"/>
        <w:ind w:leftChars="0"/>
        <w:rPr>
          <w:rFonts w:ascii="標楷體" w:eastAsia="標楷體" w:hAnsi="標楷體" w:cs="標楷體"/>
          <w:color w:val="000000"/>
          <w:sz w:val="32"/>
          <w:szCs w:val="32"/>
        </w:rPr>
      </w:pPr>
      <w:r w:rsidRPr="006F28CD">
        <w:rPr>
          <w:rFonts w:ascii="標楷體" w:eastAsia="標楷體" w:hAnsi="標楷體" w:cs="標楷體" w:hint="eastAsia"/>
          <w:color w:val="000000"/>
          <w:sz w:val="32"/>
          <w:szCs w:val="32"/>
        </w:rPr>
        <w:t>案例類型</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9"/>
        <w:gridCol w:w="3675"/>
        <w:gridCol w:w="2278"/>
        <w:gridCol w:w="2416"/>
      </w:tblGrid>
      <w:tr w:rsidR="009A3F84" w:rsidRPr="009A3F84" w:rsidTr="00664757">
        <w:trPr>
          <w:trHeight w:val="952"/>
          <w:jc w:val="center"/>
        </w:trPr>
        <w:tc>
          <w:tcPr>
            <w:tcW w:w="9438" w:type="dxa"/>
            <w:gridSpan w:val="4"/>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b/>
                <w:sz w:val="32"/>
                <w:szCs w:val="32"/>
                <w:lang w:eastAsia="zh-HK"/>
              </w:rPr>
              <w:t>臺南市</w:t>
            </w:r>
            <w:r w:rsidRPr="009A3F84">
              <w:rPr>
                <w:rFonts w:ascii="標楷體" w:eastAsia="標楷體" w:hAnsi="標楷體" w:cs="標楷體" w:hint="eastAsia"/>
                <w:b/>
                <w:sz w:val="32"/>
                <w:szCs w:val="32"/>
              </w:rPr>
              <w:t>後壁</w:t>
            </w:r>
            <w:r w:rsidRPr="009A3F84">
              <w:rPr>
                <w:rFonts w:ascii="標楷體" w:eastAsia="標楷體" w:hAnsi="標楷體" w:cs="標楷體" w:hint="eastAsia"/>
                <w:b/>
                <w:sz w:val="32"/>
                <w:szCs w:val="32"/>
                <w:lang w:eastAsia="zh-HK"/>
              </w:rPr>
              <w:t>區公所112年廉政防貪指引座談會提案單</w:t>
            </w:r>
          </w:p>
        </w:tc>
      </w:tr>
      <w:tr w:rsidR="009A3F84" w:rsidRPr="009A3F84" w:rsidTr="00664757">
        <w:trPr>
          <w:trHeight w:val="824"/>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項</w:t>
            </w:r>
            <w:r w:rsidRPr="009A3F84">
              <w:rPr>
                <w:rFonts w:ascii="標楷體" w:eastAsia="標楷體" w:hAnsi="標楷體" w:cs="標楷體"/>
                <w:color w:val="000000"/>
                <w:sz w:val="32"/>
                <w:szCs w:val="32"/>
              </w:rPr>
              <w:t xml:space="preserve"> </w:t>
            </w:r>
            <w:r w:rsidRPr="009A3F84">
              <w:rPr>
                <w:rFonts w:ascii="標楷體" w:eastAsia="標楷體" w:hAnsi="標楷體" w:cs="標楷體" w:hint="eastAsia"/>
                <w:color w:val="000000"/>
                <w:sz w:val="32"/>
                <w:szCs w:val="32"/>
              </w:rPr>
              <w:t>次</w:t>
            </w:r>
          </w:p>
        </w:tc>
        <w:tc>
          <w:tcPr>
            <w:tcW w:w="3675"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第</w:t>
            </w:r>
            <w:r w:rsidRPr="009A3F84">
              <w:rPr>
                <w:rFonts w:ascii="標楷體" w:eastAsia="標楷體" w:hAnsi="標楷體" w:cs="標楷體"/>
                <w:color w:val="000000"/>
                <w:sz w:val="32"/>
                <w:szCs w:val="32"/>
              </w:rPr>
              <w:t>1</w:t>
            </w:r>
            <w:r w:rsidRPr="009A3F84">
              <w:rPr>
                <w:rFonts w:ascii="標楷體" w:eastAsia="標楷體" w:hAnsi="標楷體" w:cs="標楷體" w:hint="eastAsia"/>
                <w:color w:val="000000"/>
                <w:sz w:val="32"/>
                <w:szCs w:val="32"/>
              </w:rPr>
              <w:t>案</w:t>
            </w:r>
          </w:p>
        </w:tc>
        <w:tc>
          <w:tcPr>
            <w:tcW w:w="2278"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提案單位</w:t>
            </w:r>
          </w:p>
        </w:tc>
        <w:tc>
          <w:tcPr>
            <w:tcW w:w="2416" w:type="dxa"/>
            <w:vAlign w:val="center"/>
          </w:tcPr>
          <w:p w:rsidR="009A3F84" w:rsidRPr="009A3F84" w:rsidRDefault="009A3F84" w:rsidP="009A3F84">
            <w:pPr>
              <w:tabs>
                <w:tab w:val="center" w:pos="4153"/>
                <w:tab w:val="right" w:pos="8306"/>
              </w:tabs>
              <w:snapToGrid w:val="0"/>
              <w:spacing w:after="120"/>
              <w:ind w:left="480"/>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lang w:eastAsia="zh-HK"/>
              </w:rPr>
              <w:t>政風室</w:t>
            </w:r>
          </w:p>
        </w:tc>
      </w:tr>
      <w:tr w:rsidR="009A3F84" w:rsidRPr="009A3F84" w:rsidTr="00664757">
        <w:trPr>
          <w:trHeight w:val="1110"/>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類型</w:t>
            </w:r>
          </w:p>
        </w:tc>
        <w:tc>
          <w:tcPr>
            <w:tcW w:w="8369" w:type="dxa"/>
            <w:gridSpan w:val="3"/>
            <w:vAlign w:val="center"/>
          </w:tcPr>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hint="eastAsia"/>
                <w:sz w:val="32"/>
                <w:szCs w:val="32"/>
              </w:rPr>
              <w:t>採購人員收受回扣案</w:t>
            </w:r>
          </w:p>
        </w:tc>
      </w:tr>
      <w:tr w:rsidR="009A3F84" w:rsidRPr="009A3F84" w:rsidTr="00664757">
        <w:trPr>
          <w:trHeight w:val="1110"/>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實務見解</w:t>
            </w:r>
          </w:p>
        </w:tc>
        <w:tc>
          <w:tcPr>
            <w:tcW w:w="8369" w:type="dxa"/>
            <w:gridSpan w:val="3"/>
            <w:vAlign w:val="center"/>
          </w:tcPr>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sz w:val="32"/>
                <w:szCs w:val="32"/>
              </w:rPr>
              <w:t>彰化地方法院105年度訴字第253號判決、</w:t>
            </w:r>
          </w:p>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sz w:val="32"/>
                <w:szCs w:val="32"/>
              </w:rPr>
              <w:t>臺灣高等法院臺中分院106年度上訴字第1973號判決。</w:t>
            </w:r>
          </w:p>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hint="eastAsia"/>
                <w:sz w:val="32"/>
                <w:szCs w:val="32"/>
              </w:rPr>
              <w:t>臺灣花蓮地方法院 107 年訴字第 95 號刑事判決。</w:t>
            </w:r>
          </w:p>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hint="eastAsia"/>
                <w:sz w:val="32"/>
                <w:szCs w:val="32"/>
              </w:rPr>
              <w:t>最高法院110年度台上字第4874號刑事判決</w:t>
            </w:r>
          </w:p>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hint="eastAsia"/>
                <w:sz w:val="32"/>
                <w:szCs w:val="32"/>
              </w:rPr>
              <w:t>最高法院109年度台上字第2511號刑事判決</w:t>
            </w:r>
          </w:p>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hint="eastAsia"/>
                <w:sz w:val="32"/>
                <w:szCs w:val="32"/>
              </w:rPr>
              <w:t>最高法院109年度台上字第4457號刑事判決</w:t>
            </w:r>
          </w:p>
        </w:tc>
      </w:tr>
      <w:tr w:rsidR="009A3F84" w:rsidRPr="009A3F84" w:rsidTr="00664757">
        <w:trPr>
          <w:trHeight w:val="703"/>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案例說</w:t>
            </w:r>
          </w:p>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明</w:t>
            </w:r>
          </w:p>
        </w:tc>
        <w:tc>
          <w:tcPr>
            <w:tcW w:w="8369" w:type="dxa"/>
            <w:gridSpan w:val="3"/>
          </w:tcPr>
          <w:p w:rsidR="009A3F84" w:rsidRPr="009A3F84" w:rsidRDefault="009A3F84" w:rsidP="009A3F84">
            <w:pPr>
              <w:adjustRightInd w:val="0"/>
              <w:snapToGrid w:val="0"/>
              <w:spacing w:line="500" w:lineRule="exact"/>
              <w:jc w:val="both"/>
              <w:rPr>
                <w:rFonts w:ascii="標楷體" w:eastAsia="標楷體" w:hAnsi="標楷體" w:cs="Times New Roman"/>
                <w:sz w:val="32"/>
                <w:szCs w:val="32"/>
              </w:rPr>
            </w:pPr>
            <w:r w:rsidRPr="009A3F84">
              <w:rPr>
                <w:rFonts w:ascii="標楷體" w:eastAsia="標楷體" w:hAnsi="標楷體" w:cs="Times New Roman" w:hint="eastAsia"/>
                <w:sz w:val="32"/>
                <w:szCs w:val="32"/>
              </w:rPr>
              <w:t>案例一</w:t>
            </w:r>
          </w:p>
          <w:p w:rsidR="009A3F84" w:rsidRPr="009A3F84" w:rsidRDefault="009A3F84" w:rsidP="009A3F84">
            <w:pPr>
              <w:adjustRightInd w:val="0"/>
              <w:snapToGrid w:val="0"/>
              <w:spacing w:line="500" w:lineRule="exact"/>
              <w:jc w:val="both"/>
              <w:rPr>
                <w:rFonts w:ascii="標楷體" w:eastAsia="標楷體" w:hAnsi="標楷體" w:cs="Times New Roman"/>
                <w:sz w:val="32"/>
                <w:szCs w:val="32"/>
              </w:rPr>
            </w:pPr>
            <w:r w:rsidRPr="009A3F84">
              <w:rPr>
                <w:rFonts w:ascii="標楷體" w:eastAsia="標楷體" w:hAnsi="標楷體" w:cs="Times New Roman" w:hint="eastAsia"/>
                <w:sz w:val="32"/>
                <w:szCs w:val="32"/>
              </w:rPr>
              <w:t>A校以共同供應契約辦理「書櫃與桌椅訂製採購」案，A校校長甲主動詢問B 廠商負責人乙有無承攬該採購案之意願，並要求乙提供陪標廠商名單，乙遂找與C廠商負責人丙、D廠商負責人丁與E廠商負責人戊協意共同參與報價，並要求C、D、E公司報價需高於B公司，乙將4家公司名單交予A校校長甲，俟該校總務處事務組長己依規定將符合本採購案件之共同供應契約廠商名單簽請校長甲勾選合格廠商進行比價程序時，甲即照乙提供之名單勾選B、C、D、E等廠商，其後B廠商順利以最低報價得標，驗收時主驗人庚除了無實際丈量書櫃與桌椅之尺寸是否與契約相符即予以驗收合格外，戊更故意編列不實之額外項目共達9萬餘元，涉嫌圖利施作廠商乙，並配合廠商乙製作不實驗收紀錄，涉嫌貪污治罪條例圖利罪嫌。乙事後將採購案金額15%約293萬元作為給予A校校長甲與主驗人庚之回扣</w:t>
            </w:r>
            <w:r w:rsidRPr="009A3F84">
              <w:rPr>
                <w:rFonts w:ascii="新細明體" w:eastAsia="新細明體" w:hAnsi="新細明體" w:cs="Times New Roman" w:hint="eastAsia"/>
                <w:sz w:val="32"/>
                <w:szCs w:val="32"/>
              </w:rPr>
              <w:t>。</w:t>
            </w:r>
            <w:r w:rsidRPr="009A3F84">
              <w:rPr>
                <w:rFonts w:ascii="標楷體" w:eastAsia="標楷體" w:hAnsi="標楷體" w:cs="Times New Roman" w:hint="eastAsia"/>
                <w:sz w:val="32"/>
                <w:szCs w:val="32"/>
              </w:rPr>
              <w:t>甲</w:t>
            </w:r>
            <w:r w:rsidRPr="009A3F84">
              <w:rPr>
                <w:rFonts w:ascii="新細明體" w:eastAsia="新細明體" w:hAnsi="新細明體" w:cs="Times New Roman" w:hint="eastAsia"/>
                <w:sz w:val="32"/>
                <w:szCs w:val="32"/>
              </w:rPr>
              <w:t>、</w:t>
            </w:r>
            <w:r w:rsidRPr="009A3F84">
              <w:rPr>
                <w:rFonts w:ascii="標楷體" w:eastAsia="標楷體" w:hAnsi="標楷體" w:cs="Times New Roman" w:hint="eastAsia"/>
                <w:sz w:val="32"/>
                <w:szCs w:val="32"/>
              </w:rPr>
              <w:t>庚經一審法院判處貪污治罪條例第4條第1項第3款購辦公用物品收取回扣罪，遭處有期徒刑16年，褫奪公權5年、犯罪所得新臺幣293萬元沒收。</w:t>
            </w:r>
          </w:p>
        </w:tc>
      </w:tr>
      <w:tr w:rsidR="009A3F84" w:rsidRPr="009A3F84" w:rsidTr="00664757">
        <w:trPr>
          <w:trHeight w:val="693"/>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風險評估</w:t>
            </w:r>
          </w:p>
        </w:tc>
        <w:tc>
          <w:tcPr>
            <w:tcW w:w="8369" w:type="dxa"/>
            <w:gridSpan w:val="3"/>
            <w:vAlign w:val="center"/>
          </w:tcPr>
          <w:p w:rsidR="009A3F84" w:rsidRPr="009A3F84" w:rsidRDefault="009A3F84" w:rsidP="009A3F84">
            <w:pPr>
              <w:numPr>
                <w:ilvl w:val="0"/>
                <w:numId w:val="2"/>
              </w:numPr>
              <w:spacing w:line="520" w:lineRule="exact"/>
              <w:ind w:rightChars="50" w:right="120"/>
              <w:rPr>
                <w:rFonts w:ascii="標楷體" w:eastAsia="標楷體" w:hAnsi="標楷體" w:cs="標楷體"/>
                <w:color w:val="000000"/>
                <w:sz w:val="32"/>
                <w:szCs w:val="32"/>
              </w:rPr>
            </w:pPr>
            <w:r w:rsidRPr="009A3F84">
              <w:rPr>
                <w:rFonts w:ascii="標楷體" w:eastAsia="標楷體" w:hAnsi="標楷體" w:cs="標楷體"/>
                <w:color w:val="000000"/>
                <w:sz w:val="32"/>
                <w:szCs w:val="32"/>
              </w:rPr>
              <w:t>校長</w:t>
            </w:r>
            <w:r w:rsidRPr="009A3F84">
              <w:rPr>
                <w:rFonts w:ascii="標楷體" w:eastAsia="標楷體" w:hAnsi="標楷體" w:cs="標楷體" w:hint="eastAsia"/>
                <w:color w:val="000000"/>
                <w:sz w:val="32"/>
                <w:szCs w:val="32"/>
              </w:rPr>
              <w:t>甲與採購業務主驗人庚</w:t>
            </w:r>
            <w:r w:rsidRPr="009A3F84">
              <w:rPr>
                <w:rFonts w:ascii="標楷體" w:eastAsia="標楷體" w:hAnsi="標楷體" w:cs="標楷體"/>
                <w:color w:val="000000"/>
                <w:sz w:val="32"/>
                <w:szCs w:val="32"/>
              </w:rPr>
              <w:t>具有公務員身分：</w:t>
            </w:r>
          </w:p>
          <w:p w:rsidR="009A3F84" w:rsidRPr="009A3F84" w:rsidRDefault="009A3F84" w:rsidP="009A3F84">
            <w:pPr>
              <w:spacing w:line="520" w:lineRule="exact"/>
              <w:ind w:leftChars="301" w:left="722" w:rightChars="50" w:right="120" w:firstLine="1"/>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甲身為校長</w:t>
            </w:r>
            <w:r w:rsidRPr="009A3F84">
              <w:rPr>
                <w:rFonts w:ascii="新細明體" w:eastAsia="新細明體" w:hAnsi="新細明體" w:cs="標楷體" w:hint="eastAsia"/>
                <w:color w:val="000000"/>
                <w:sz w:val="32"/>
                <w:szCs w:val="32"/>
              </w:rPr>
              <w:t>、</w:t>
            </w:r>
            <w:r w:rsidRPr="009A3F84">
              <w:rPr>
                <w:rFonts w:ascii="標楷體" w:eastAsia="標楷體" w:hAnsi="標楷體" w:cs="標楷體" w:hint="eastAsia"/>
                <w:color w:val="000000"/>
                <w:sz w:val="32"/>
                <w:szCs w:val="32"/>
              </w:rPr>
              <w:t>庚承辦採購業務，</w:t>
            </w:r>
            <w:r w:rsidRPr="009A3F84">
              <w:rPr>
                <w:rFonts w:ascii="標楷體" w:eastAsia="標楷體" w:hAnsi="標楷體" w:cs="標楷體"/>
                <w:color w:val="000000"/>
                <w:sz w:val="32"/>
                <w:szCs w:val="32"/>
              </w:rPr>
              <w:t>兼具公務員身分，為人師長，本應謹言慎行，奉公守法，竟利用校長</w:t>
            </w:r>
            <w:r w:rsidRPr="009A3F84">
              <w:rPr>
                <w:rFonts w:ascii="標楷體" w:eastAsia="標楷體" w:hAnsi="標楷體" w:cs="標楷體" w:hint="eastAsia"/>
                <w:color w:val="000000"/>
                <w:sz w:val="32"/>
                <w:szCs w:val="32"/>
              </w:rPr>
              <w:t>與承辦採購業務人員</w:t>
            </w:r>
            <w:r w:rsidRPr="009A3F84">
              <w:rPr>
                <w:rFonts w:ascii="標楷體" w:eastAsia="標楷體" w:hAnsi="標楷體" w:cs="標楷體"/>
                <w:color w:val="000000"/>
                <w:sz w:val="32"/>
                <w:szCs w:val="32"/>
              </w:rPr>
              <w:t>之身分，圖利廠商並收取扣，破壞公務體系及政府採購法維護公</w:t>
            </w:r>
            <w:r w:rsidRPr="009A3F84">
              <w:rPr>
                <w:rFonts w:ascii="標楷體" w:eastAsia="標楷體" w:hAnsi="標楷體" w:cs="標楷體" w:hint="eastAsia"/>
                <w:color w:val="000000"/>
                <w:sz w:val="32"/>
                <w:szCs w:val="32"/>
              </w:rPr>
              <w:t>平</w:t>
            </w:r>
            <w:r w:rsidRPr="009A3F84">
              <w:rPr>
                <w:rFonts w:ascii="標楷體" w:eastAsia="標楷體" w:hAnsi="標楷體" w:cs="標楷體"/>
                <w:color w:val="000000"/>
                <w:sz w:val="32"/>
                <w:szCs w:val="32"/>
              </w:rPr>
              <w:t>競爭之精神，嚴重影響教育人員形象。</w:t>
            </w:r>
          </w:p>
          <w:p w:rsidR="009A3F84" w:rsidRPr="009A3F84" w:rsidRDefault="009A3F84" w:rsidP="009A3F84">
            <w:pPr>
              <w:numPr>
                <w:ilvl w:val="0"/>
                <w:numId w:val="2"/>
              </w:numPr>
              <w:spacing w:line="520" w:lineRule="exact"/>
              <w:ind w:rightChars="50" w:right="120"/>
              <w:rPr>
                <w:rFonts w:ascii="標楷體" w:eastAsia="標楷體" w:hAnsi="標楷體" w:cs="標楷體"/>
                <w:color w:val="000000"/>
                <w:sz w:val="32"/>
                <w:szCs w:val="32"/>
              </w:rPr>
            </w:pPr>
            <w:r w:rsidRPr="009A3F84">
              <w:rPr>
                <w:rFonts w:ascii="標楷體" w:eastAsia="標楷體" w:hAnsi="標楷體" w:cs="標楷體"/>
                <w:color w:val="000000"/>
                <w:sz w:val="32"/>
                <w:szCs w:val="32"/>
              </w:rPr>
              <w:t>收受回扣行為觸犯貪污治罪條例：</w:t>
            </w:r>
          </w:p>
          <w:p w:rsidR="009A3F84" w:rsidRPr="009A3F84" w:rsidRDefault="009A3F84" w:rsidP="009A3F84">
            <w:pPr>
              <w:spacing w:line="520" w:lineRule="exact"/>
              <w:ind w:leftChars="301" w:left="722" w:rightChars="50" w:right="120" w:firstLine="1"/>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共同供應契約可發揮集中採購之功效，減少各機關重複辦理採購作業，迅速取得所需辦公用品或服務，本案校長</w:t>
            </w:r>
            <w:r w:rsidRPr="009A3F84">
              <w:rPr>
                <w:rFonts w:ascii="標楷體" w:eastAsia="標楷體" w:hAnsi="標楷體" w:cs="標楷體" w:hint="eastAsia"/>
                <w:color w:val="000000"/>
                <w:sz w:val="32"/>
                <w:szCs w:val="32"/>
              </w:rPr>
              <w:t>與承辦採購業務行政人員</w:t>
            </w:r>
            <w:r w:rsidRPr="009A3F84">
              <w:rPr>
                <w:rFonts w:ascii="標楷體" w:eastAsia="標楷體" w:hAnsi="標楷體" w:cs="標楷體"/>
                <w:color w:val="000000"/>
                <w:sz w:val="32"/>
                <w:szCs w:val="32"/>
              </w:rPr>
              <w:t>卻利用共同供應契約使特定廠商得標，從而收取回扣之行為，已觸犯「貪污治罪條例」之刑事犯罪，回扣所得也被沒收</w:t>
            </w:r>
            <w:r w:rsidRPr="009A3F84">
              <w:rPr>
                <w:rFonts w:ascii="標楷體" w:eastAsia="標楷體" w:hAnsi="標楷體" w:cs="標楷體" w:hint="eastAsia"/>
                <w:color w:val="000000"/>
                <w:sz w:val="32"/>
                <w:szCs w:val="32"/>
              </w:rPr>
              <w:t>。</w:t>
            </w:r>
          </w:p>
          <w:p w:rsidR="009A3F84" w:rsidRPr="009A3F84" w:rsidRDefault="009A3F84" w:rsidP="009A3F84">
            <w:pPr>
              <w:numPr>
                <w:ilvl w:val="0"/>
                <w:numId w:val="2"/>
              </w:numPr>
              <w:spacing w:line="520" w:lineRule="exact"/>
              <w:ind w:rightChars="50" w:right="120"/>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未落實驗收機制</w:t>
            </w:r>
            <w:r w:rsidRPr="009A3F84">
              <w:rPr>
                <w:rFonts w:ascii="標楷體" w:eastAsia="標楷體" w:hAnsi="標楷體" w:cs="標楷體"/>
                <w:color w:val="000000"/>
                <w:sz w:val="32"/>
                <w:szCs w:val="32"/>
              </w:rPr>
              <w:t>：</w:t>
            </w:r>
          </w:p>
          <w:p w:rsidR="009A3F84" w:rsidRPr="009A3F84" w:rsidRDefault="009A3F84" w:rsidP="009A3F84">
            <w:pPr>
              <w:spacing w:line="520" w:lineRule="exact"/>
              <w:ind w:leftChars="301" w:left="722" w:rightChars="50" w:right="120" w:firstLine="1"/>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依政府採購法第2條規定，舉凡工程之定作、財物之買受、定製、承租及勞務之委任或僱傭等，皆須符合政府採購法之規定。故應依政府採購法第5章的驗收規定，落實進行驗收機制。本案庚員利用職務上辦理採購業務，未依據契約、貨樣比對交貨數量、尺寸、規格及品質等，並以廠商出具發票虛偽辦理驗收核銷等方式，藉機詐得財物。</w:t>
            </w:r>
          </w:p>
          <w:p w:rsidR="009A3F84" w:rsidRPr="009A3F84" w:rsidRDefault="009A3F84" w:rsidP="009A3F84">
            <w:pPr>
              <w:numPr>
                <w:ilvl w:val="0"/>
                <w:numId w:val="2"/>
              </w:numPr>
              <w:spacing w:line="520" w:lineRule="exact"/>
              <w:ind w:rightChars="50" w:right="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法紀觀念偏差：</w:t>
            </w:r>
          </w:p>
          <w:p w:rsidR="009A3F84" w:rsidRPr="009A3F84" w:rsidRDefault="009A3F84" w:rsidP="009A3F84">
            <w:pPr>
              <w:spacing w:line="520" w:lineRule="exact"/>
              <w:ind w:left="720" w:rightChars="50" w:right="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機關公務員與廠商交往之分際掌握不當，常是造成貪污犯罪的主因，如低度道德者、自我意志力薄弱者、對法律規範缺乏服從者、對機關與工作欠缺忠誠者、罪責感低者、貪得心理嚴重者等，多為貪瀆犯罪行為的高危險群。</w:t>
            </w:r>
          </w:p>
          <w:p w:rsidR="009A3F84" w:rsidRPr="009A3F84" w:rsidRDefault="009A3F84" w:rsidP="009A3F84">
            <w:pPr>
              <w:numPr>
                <w:ilvl w:val="0"/>
                <w:numId w:val="2"/>
              </w:numPr>
              <w:spacing w:line="520" w:lineRule="exact"/>
              <w:ind w:rightChars="50" w:right="120"/>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採購人員未謹守採購倫理等規定</w:t>
            </w:r>
            <w:r w:rsidRPr="009A3F84">
              <w:rPr>
                <w:rFonts w:ascii="標楷體" w:eastAsia="標楷體" w:hAnsi="標楷體" w:cs="標楷體" w:hint="eastAsia"/>
                <w:color w:val="000000"/>
                <w:sz w:val="32"/>
                <w:szCs w:val="32"/>
              </w:rPr>
              <w:t>：</w:t>
            </w:r>
          </w:p>
          <w:p w:rsidR="009A3F84" w:rsidRPr="009A3F84" w:rsidRDefault="009A3F84" w:rsidP="009A3F84">
            <w:pPr>
              <w:spacing w:line="520" w:lineRule="exact"/>
              <w:ind w:left="720" w:rightChars="50" w:right="120"/>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依現行政府機關辦理各類採購實務狀況，常見廠商有激烈競爭情形，亦常見集中於少數廠商所承作，或常見有廠商想方設法透過各種管道，期能在招標前獲得相關招 標資訊（例如規格、領標廠商、投標廠商、評選委員定名單、底價等），以增加得標成功率，甚有可能以提供不正利益引誘承辦人員之虞，公務機關辦理採購人員如不能堅守品操，謹慎依法辦理採購作業，及有可能觸法 而身陷牢獄之災，應予戒慎。</w:t>
            </w:r>
          </w:p>
        </w:tc>
      </w:tr>
      <w:tr w:rsidR="009A3F84" w:rsidRPr="009A3F84" w:rsidTr="00664757">
        <w:trPr>
          <w:trHeight w:val="1637"/>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防治措施</w:t>
            </w:r>
          </w:p>
        </w:tc>
        <w:tc>
          <w:tcPr>
            <w:tcW w:w="8369" w:type="dxa"/>
            <w:gridSpan w:val="3"/>
            <w:vAlign w:val="center"/>
          </w:tcPr>
          <w:p w:rsidR="009A3F84" w:rsidRPr="009A3F84" w:rsidRDefault="009A3F84" w:rsidP="009A3F84">
            <w:pPr>
              <w:tabs>
                <w:tab w:val="center" w:pos="4153"/>
                <w:tab w:val="right" w:pos="8306"/>
              </w:tabs>
              <w:snapToGrid w:val="0"/>
              <w:spacing w:after="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一、共同供應契約採購應注意事項：</w:t>
            </w:r>
          </w:p>
          <w:p w:rsidR="009A3F84" w:rsidRPr="009A3F84" w:rsidRDefault="009A3F84" w:rsidP="009A3F84">
            <w:pPr>
              <w:numPr>
                <w:ilvl w:val="0"/>
                <w:numId w:val="14"/>
              </w:numPr>
              <w:snapToGrid w:val="0"/>
              <w:spacing w:after="120"/>
              <w:ind w:left="663" w:hanging="663"/>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共同供應契約的招決標及訂約程序已由訂約機關完成，請購前先了解共約契約內容，經請購核定後下訂。</w:t>
            </w:r>
          </w:p>
          <w:p w:rsidR="009A3F84" w:rsidRPr="009A3F84" w:rsidRDefault="009A3F84" w:rsidP="009A3F84">
            <w:pPr>
              <w:numPr>
                <w:ilvl w:val="0"/>
                <w:numId w:val="14"/>
              </w:numPr>
              <w:snapToGrid w:val="0"/>
              <w:spacing w:after="120"/>
              <w:ind w:left="663" w:hanging="663"/>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增加額外項應與該請購品項相關，且不得據以讓廠商巧立名目任意哄抬加價；契約已規定廠商應供應之品項亦不得列為額外項，例如：契約價金已包含運費及配件費用，卻另以附加採購額外項支付該等費用。</w:t>
            </w:r>
          </w:p>
          <w:p w:rsidR="009A3F84" w:rsidRPr="009A3F84" w:rsidRDefault="009A3F84" w:rsidP="009A3F84">
            <w:pPr>
              <w:numPr>
                <w:ilvl w:val="0"/>
                <w:numId w:val="14"/>
              </w:numPr>
              <w:snapToGrid w:val="0"/>
              <w:spacing w:after="120"/>
              <w:ind w:left="663" w:hanging="663"/>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額外項廠牌、型號及數量宜填寫清楚，以免產生爭議。</w:t>
            </w:r>
          </w:p>
          <w:p w:rsidR="009A3F84" w:rsidRPr="009A3F84" w:rsidRDefault="009A3F84" w:rsidP="009A3F84">
            <w:pPr>
              <w:numPr>
                <w:ilvl w:val="0"/>
                <w:numId w:val="14"/>
              </w:numPr>
              <w:snapToGrid w:val="0"/>
              <w:spacing w:after="120"/>
              <w:ind w:left="663" w:hanging="663"/>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廠商送貨安裝時，請購單位應指派相關人員到場簽收及確認(廠牌、型號、數量、產地、出廠期限、規格與訂單契約規定)、符合規定後再進行後續安裝。</w:t>
            </w:r>
          </w:p>
          <w:p w:rsidR="009A3F84" w:rsidRPr="009A3F84" w:rsidRDefault="009A3F84" w:rsidP="009A3F84">
            <w:pPr>
              <w:numPr>
                <w:ilvl w:val="0"/>
                <w:numId w:val="14"/>
              </w:numPr>
              <w:snapToGrid w:val="0"/>
              <w:spacing w:after="120"/>
              <w:ind w:left="663" w:hanging="663"/>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依政府採購法施行細則§91，主驗人員主持驗收程序，抽查驗核廠商履約結果有無與契約、圖說或貨樣規定不符，並決定不符時之處置。</w:t>
            </w:r>
          </w:p>
          <w:p w:rsidR="009A3F84" w:rsidRPr="009A3F84" w:rsidRDefault="009A3F84" w:rsidP="009A3F84">
            <w:pPr>
              <w:numPr>
                <w:ilvl w:val="0"/>
                <w:numId w:val="14"/>
              </w:numPr>
              <w:snapToGrid w:val="0"/>
              <w:spacing w:after="120"/>
              <w:ind w:left="663" w:hanging="663"/>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驗收時請務依契約要求廠商提具相關文件，如出廠證明、保固書及商品驗證登錄證書等。</w:t>
            </w:r>
          </w:p>
          <w:p w:rsidR="009A3F84" w:rsidRPr="009A3F84" w:rsidRDefault="009A3F84" w:rsidP="009A3F84">
            <w:pPr>
              <w:tabs>
                <w:tab w:val="center" w:pos="4153"/>
                <w:tab w:val="right" w:pos="8306"/>
              </w:tabs>
              <w:snapToGrid w:val="0"/>
              <w:spacing w:after="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二</w:t>
            </w:r>
            <w:r w:rsidRPr="009A3F84">
              <w:rPr>
                <w:rFonts w:ascii="新細明體" w:eastAsia="新細明體" w:hAnsi="新細明體" w:cs="標楷體" w:hint="eastAsia"/>
                <w:color w:val="000000"/>
                <w:sz w:val="32"/>
                <w:szCs w:val="32"/>
              </w:rPr>
              <w:t>、</w:t>
            </w:r>
            <w:r w:rsidRPr="009A3F84">
              <w:rPr>
                <w:rFonts w:ascii="標楷體" w:eastAsia="標楷體" w:hAnsi="標楷體" w:cs="標楷體" w:hint="eastAsia"/>
                <w:color w:val="000000"/>
                <w:sz w:val="32"/>
                <w:szCs w:val="32"/>
              </w:rPr>
              <w:t>辦理訪價工作：</w:t>
            </w:r>
          </w:p>
          <w:p w:rsidR="009A3F84" w:rsidRPr="009A3F84" w:rsidRDefault="009A3F84" w:rsidP="009A3F84">
            <w:pPr>
              <w:tabs>
                <w:tab w:val="center" w:pos="4153"/>
                <w:tab w:val="right" w:pos="8306"/>
              </w:tabs>
              <w:snapToGrid w:val="0"/>
              <w:spacing w:after="120"/>
              <w:ind w:left="606"/>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承辦採購人員，應依政府採購法第6條精神，基於公共利益、採購效益或專業判斷辦理採購工作，如係大量訂購或特殊規格之採購，機關應落實訪價工作並得自行辦理採購，以獲得較共同供應契約更佳之競標效果。</w:t>
            </w:r>
          </w:p>
          <w:p w:rsidR="009A3F84" w:rsidRPr="009A3F84" w:rsidRDefault="009A3F84" w:rsidP="009A3F84">
            <w:pPr>
              <w:tabs>
                <w:tab w:val="center" w:pos="4153"/>
                <w:tab w:val="right" w:pos="8306"/>
              </w:tabs>
              <w:snapToGrid w:val="0"/>
              <w:spacing w:after="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三</w:t>
            </w:r>
            <w:r w:rsidRPr="009A3F84">
              <w:rPr>
                <w:rFonts w:ascii="新細明體" w:eastAsia="新細明體" w:hAnsi="新細明體" w:cs="標楷體" w:hint="eastAsia"/>
                <w:color w:val="000000"/>
                <w:sz w:val="32"/>
                <w:szCs w:val="32"/>
              </w:rPr>
              <w:t>、</w:t>
            </w:r>
            <w:r w:rsidRPr="009A3F84">
              <w:rPr>
                <w:rFonts w:ascii="標楷體" w:eastAsia="標楷體" w:hAnsi="標楷體" w:cs="標楷體"/>
                <w:color w:val="000000"/>
                <w:sz w:val="32"/>
                <w:szCs w:val="32"/>
              </w:rPr>
              <w:t xml:space="preserve">鼓勵同仁積極參與採購業務講習與教育訓練： </w:t>
            </w:r>
          </w:p>
          <w:p w:rsidR="009A3F84" w:rsidRPr="009A3F84" w:rsidRDefault="009A3F84" w:rsidP="009A3F84">
            <w:pPr>
              <w:tabs>
                <w:tab w:val="center" w:pos="4153"/>
                <w:tab w:val="right" w:pos="8306"/>
              </w:tabs>
              <w:snapToGrid w:val="0"/>
              <w:spacing w:after="120"/>
              <w:ind w:left="634" w:firstLineChars="4" w:firstLine="13"/>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採購法令繁多，同仁參與採購業務講習與教育訓練，得以瞭解採購契約、履約管理等規定，亦就實際執行層面 做經驗分享與傳承，可加強相關同仁辦理採購業務違規 違法判讀及處理能力。</w:t>
            </w:r>
          </w:p>
          <w:p w:rsidR="009A3F84" w:rsidRPr="009A3F84" w:rsidRDefault="009A3F84" w:rsidP="009A3F84">
            <w:pPr>
              <w:tabs>
                <w:tab w:val="center" w:pos="4153"/>
                <w:tab w:val="right" w:pos="8306"/>
              </w:tabs>
              <w:snapToGrid w:val="0"/>
              <w:spacing w:after="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四</w:t>
            </w:r>
            <w:r w:rsidRPr="009A3F84">
              <w:rPr>
                <w:rFonts w:ascii="新細明體" w:eastAsia="新細明體" w:hAnsi="新細明體" w:cs="標楷體" w:hint="eastAsia"/>
                <w:color w:val="000000"/>
                <w:sz w:val="32"/>
                <w:szCs w:val="32"/>
              </w:rPr>
              <w:t>、</w:t>
            </w:r>
            <w:r w:rsidRPr="009A3F84">
              <w:rPr>
                <w:rFonts w:ascii="標楷體" w:eastAsia="標楷體" w:hAnsi="標楷體" w:cs="標楷體" w:hint="eastAsia"/>
                <w:color w:val="000000"/>
                <w:sz w:val="32"/>
                <w:szCs w:val="32"/>
              </w:rPr>
              <w:t>承辦採購人員嚴禁與廠商不當接觸</w:t>
            </w:r>
          </w:p>
          <w:p w:rsidR="009A3F84" w:rsidRPr="009A3F84" w:rsidRDefault="009A3F84" w:rsidP="009A3F84">
            <w:pPr>
              <w:tabs>
                <w:tab w:val="center" w:pos="4153"/>
                <w:tab w:val="right" w:pos="8306"/>
              </w:tabs>
              <w:snapToGrid w:val="0"/>
              <w:spacing w:after="120"/>
              <w:ind w:left="620"/>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依公務人員廉政倫理規範第8 點規定，公務員不得與其職務有利害關係之相關人員為不當接觸。不當接觸係指公務員與職務有利害關係之相關人員私下接觸，特別是公務員與廠商之間未維持雙方應有之距離與分際，造成外界質疑與瓜田李下之聯想。故機關承辦採購案件人員應避免接受廠商提供過於頻密或奢華之款待或過度社交活動。</w:t>
            </w:r>
          </w:p>
          <w:p w:rsidR="009A3F84" w:rsidRPr="009A3F84" w:rsidRDefault="009A3F84" w:rsidP="009A3F84">
            <w:pPr>
              <w:tabs>
                <w:tab w:val="center" w:pos="4153"/>
                <w:tab w:val="right" w:pos="8306"/>
              </w:tabs>
              <w:snapToGrid w:val="0"/>
              <w:spacing w:after="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五</w:t>
            </w:r>
            <w:r w:rsidRPr="009A3F84">
              <w:rPr>
                <w:rFonts w:ascii="新細明體" w:eastAsia="新細明體" w:hAnsi="新細明體" w:cs="標楷體" w:hint="eastAsia"/>
                <w:color w:val="000000"/>
                <w:sz w:val="32"/>
                <w:szCs w:val="32"/>
              </w:rPr>
              <w:t>、</w:t>
            </w:r>
            <w:r w:rsidRPr="009A3F84">
              <w:rPr>
                <w:rFonts w:ascii="標楷體" w:eastAsia="標楷體" w:hAnsi="標楷體" w:cs="標楷體" w:hint="eastAsia"/>
                <w:color w:val="000000"/>
                <w:sz w:val="32"/>
                <w:szCs w:val="32"/>
              </w:rPr>
              <w:t>各級主管確實審查採購作業流程</w:t>
            </w:r>
          </w:p>
          <w:p w:rsidR="009A3F84" w:rsidRPr="009A3F84" w:rsidRDefault="009A3F84" w:rsidP="009A3F84">
            <w:pPr>
              <w:tabs>
                <w:tab w:val="center" w:pos="4153"/>
                <w:tab w:val="right" w:pos="8306"/>
              </w:tabs>
              <w:snapToGrid w:val="0"/>
              <w:spacing w:after="120"/>
              <w:ind w:left="634"/>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主管人員對於屬員簽辦之採購案件，均應詳加審查，並注意各項採購辦理之作業階段，適時督導作業進度，依規定完成採購作業</w:t>
            </w:r>
          </w:p>
          <w:p w:rsidR="009A3F84" w:rsidRPr="009A3F84" w:rsidRDefault="009A3F84" w:rsidP="009A3F84">
            <w:pPr>
              <w:tabs>
                <w:tab w:val="center" w:pos="4153"/>
                <w:tab w:val="right" w:pos="8306"/>
              </w:tabs>
              <w:snapToGrid w:val="0"/>
              <w:spacing w:after="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六</w:t>
            </w:r>
            <w:r w:rsidRPr="009A3F84">
              <w:rPr>
                <w:rFonts w:ascii="新細明體" w:eastAsia="新細明體" w:hAnsi="新細明體" w:cs="標楷體" w:hint="eastAsia"/>
                <w:color w:val="000000"/>
                <w:sz w:val="32"/>
                <w:szCs w:val="32"/>
              </w:rPr>
              <w:t>、</w:t>
            </w:r>
            <w:r w:rsidRPr="009A3F84">
              <w:rPr>
                <w:rFonts w:ascii="標楷體" w:eastAsia="標楷體" w:hAnsi="標楷體" w:cs="標楷體"/>
                <w:color w:val="000000"/>
                <w:sz w:val="32"/>
                <w:szCs w:val="32"/>
              </w:rPr>
              <w:t xml:space="preserve">舉辦廉能講習提升同仁法律素養 </w:t>
            </w:r>
          </w:p>
          <w:p w:rsidR="009A3F84" w:rsidRPr="009A3F84" w:rsidRDefault="009A3F84" w:rsidP="009A3F84">
            <w:pPr>
              <w:tabs>
                <w:tab w:val="center" w:pos="4153"/>
                <w:tab w:val="right" w:pos="8306"/>
              </w:tabs>
              <w:snapToGrid w:val="0"/>
              <w:spacing w:after="120"/>
              <w:ind w:left="634"/>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落實廉政倫理規範宣導及廉政法紀教育、健全法制及內控措施，導入標準作業程序及行政透明措施，以降低廉政風險。</w:t>
            </w:r>
            <w:r w:rsidRPr="009A3F84">
              <w:rPr>
                <w:rFonts w:ascii="標楷體" w:eastAsia="標楷體" w:hAnsi="標楷體" w:cs="標楷體" w:hint="eastAsia"/>
                <w:color w:val="000000"/>
                <w:sz w:val="32"/>
                <w:szCs w:val="32"/>
              </w:rPr>
              <w:t>另</w:t>
            </w:r>
            <w:r w:rsidRPr="009A3F84">
              <w:rPr>
                <w:rFonts w:ascii="標楷體" w:eastAsia="標楷體" w:hAnsi="標楷體" w:cs="標楷體"/>
                <w:color w:val="000000"/>
                <w:sz w:val="32"/>
                <w:szCs w:val="32"/>
              </w:rPr>
              <w:t>透過舉辦各種法紀講習，聘請專業法</w:t>
            </w:r>
            <w:r w:rsidRPr="009A3F84">
              <w:rPr>
                <w:rFonts w:ascii="標楷體" w:eastAsia="標楷體" w:hAnsi="標楷體" w:cs="標楷體" w:hint="eastAsia"/>
                <w:color w:val="000000"/>
                <w:sz w:val="32"/>
                <w:szCs w:val="32"/>
              </w:rPr>
              <w:t>令之</w:t>
            </w:r>
            <w:r w:rsidRPr="009A3F84">
              <w:rPr>
                <w:rFonts w:ascii="標楷體" w:eastAsia="標楷體" w:hAnsi="標楷體" w:cs="標楷體"/>
                <w:color w:val="000000"/>
                <w:sz w:val="32"/>
                <w:szCs w:val="32"/>
              </w:rPr>
              <w:t>講師，分享其在執行</w:t>
            </w:r>
            <w:r w:rsidRPr="009A3F84">
              <w:rPr>
                <w:rFonts w:ascii="標楷體" w:eastAsia="標楷體" w:hAnsi="標楷體" w:cs="標楷體" w:hint="eastAsia"/>
                <w:color w:val="000000"/>
                <w:sz w:val="32"/>
                <w:szCs w:val="32"/>
              </w:rPr>
              <w:t>業務上於法令上</w:t>
            </w:r>
            <w:r w:rsidRPr="009A3F84">
              <w:rPr>
                <w:rFonts w:ascii="標楷體" w:eastAsia="標楷體" w:hAnsi="標楷體" w:cs="標楷體"/>
                <w:color w:val="000000"/>
                <w:sz w:val="32"/>
                <w:szCs w:val="32"/>
              </w:rPr>
              <w:t>常見</w:t>
            </w:r>
            <w:r w:rsidRPr="009A3F84">
              <w:rPr>
                <w:rFonts w:ascii="標楷體" w:eastAsia="標楷體" w:hAnsi="標楷體" w:cs="標楷體" w:hint="eastAsia"/>
                <w:color w:val="000000"/>
                <w:sz w:val="32"/>
                <w:szCs w:val="32"/>
              </w:rPr>
              <w:t>之</w:t>
            </w:r>
            <w:r w:rsidRPr="009A3F84">
              <w:rPr>
                <w:rFonts w:ascii="標楷體" w:eastAsia="標楷體" w:hAnsi="標楷體" w:cs="標楷體"/>
                <w:color w:val="000000"/>
                <w:sz w:val="32"/>
                <w:szCs w:val="32"/>
              </w:rPr>
              <w:t>錯誤態樣，使同仁能有前車之鑑，避免發生相同錯誤。</w:t>
            </w:r>
          </w:p>
        </w:tc>
      </w:tr>
    </w:tbl>
    <w:p w:rsidR="009A3F84" w:rsidRPr="009A3F84" w:rsidRDefault="009A3F84" w:rsidP="009A3F84">
      <w:pPr>
        <w:spacing w:line="480" w:lineRule="exact"/>
        <w:rPr>
          <w:rFonts w:ascii="標楷體" w:eastAsia="標楷體" w:hAnsi="標楷體" w:cs="Times New Roman"/>
          <w:b/>
          <w:color w:val="000000"/>
          <w:sz w:val="32"/>
          <w:szCs w:val="32"/>
        </w:rPr>
      </w:pPr>
      <w:r w:rsidRPr="009A3F84">
        <w:rPr>
          <w:rFonts w:ascii="標楷體" w:eastAsia="標楷體" w:hAnsi="標楷體" w:cs="標楷體" w:hint="eastAsia"/>
          <w:color w:val="000000"/>
          <w:sz w:val="32"/>
          <w:szCs w:val="32"/>
        </w:rPr>
        <w:t>第二案</w:t>
      </w:r>
      <w:r w:rsidRPr="009A3F84">
        <w:rPr>
          <w:rFonts w:ascii="標楷體" w:eastAsia="標楷體" w:hAnsi="標楷體" w:cs="標楷體"/>
          <w:color w:val="000000"/>
          <w:sz w:val="32"/>
          <w:szCs w:val="32"/>
        </w:rPr>
        <w:t xml:space="preserve">  </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9"/>
        <w:gridCol w:w="3675"/>
        <w:gridCol w:w="2278"/>
        <w:gridCol w:w="2416"/>
      </w:tblGrid>
      <w:tr w:rsidR="009A3F84" w:rsidRPr="009A3F84" w:rsidTr="00664757">
        <w:trPr>
          <w:trHeight w:val="952"/>
          <w:jc w:val="center"/>
        </w:trPr>
        <w:tc>
          <w:tcPr>
            <w:tcW w:w="9438" w:type="dxa"/>
            <w:gridSpan w:val="4"/>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b/>
                <w:sz w:val="32"/>
                <w:szCs w:val="32"/>
                <w:lang w:eastAsia="zh-HK"/>
              </w:rPr>
              <w:t>臺南市後壁區公所112年廉政防貪指引座談會提案單</w:t>
            </w:r>
          </w:p>
        </w:tc>
      </w:tr>
      <w:tr w:rsidR="009A3F84" w:rsidRPr="009A3F84" w:rsidTr="00664757">
        <w:trPr>
          <w:trHeight w:val="824"/>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項</w:t>
            </w:r>
            <w:r w:rsidRPr="009A3F84">
              <w:rPr>
                <w:rFonts w:ascii="標楷體" w:eastAsia="標楷體" w:hAnsi="標楷體" w:cs="標楷體"/>
                <w:color w:val="000000"/>
                <w:sz w:val="32"/>
                <w:szCs w:val="32"/>
              </w:rPr>
              <w:t xml:space="preserve"> </w:t>
            </w:r>
            <w:r w:rsidRPr="009A3F84">
              <w:rPr>
                <w:rFonts w:ascii="標楷體" w:eastAsia="標楷體" w:hAnsi="標楷體" w:cs="標楷體" w:hint="eastAsia"/>
                <w:color w:val="000000"/>
                <w:sz w:val="32"/>
                <w:szCs w:val="32"/>
              </w:rPr>
              <w:t>次</w:t>
            </w:r>
          </w:p>
        </w:tc>
        <w:tc>
          <w:tcPr>
            <w:tcW w:w="3675"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第</w:t>
            </w:r>
            <w:r w:rsidRPr="009A3F84">
              <w:rPr>
                <w:rFonts w:ascii="標楷體" w:eastAsia="標楷體" w:hAnsi="標楷體" w:cs="標楷體"/>
                <w:color w:val="000000"/>
                <w:sz w:val="32"/>
                <w:szCs w:val="32"/>
              </w:rPr>
              <w:t>2</w:t>
            </w:r>
            <w:r w:rsidRPr="009A3F84">
              <w:rPr>
                <w:rFonts w:ascii="標楷體" w:eastAsia="標楷體" w:hAnsi="標楷體" w:cs="標楷體" w:hint="eastAsia"/>
                <w:color w:val="000000"/>
                <w:sz w:val="32"/>
                <w:szCs w:val="32"/>
              </w:rPr>
              <w:t>案</w:t>
            </w:r>
          </w:p>
        </w:tc>
        <w:tc>
          <w:tcPr>
            <w:tcW w:w="2278"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提案單位</w:t>
            </w:r>
          </w:p>
        </w:tc>
        <w:tc>
          <w:tcPr>
            <w:tcW w:w="2416" w:type="dxa"/>
            <w:vAlign w:val="center"/>
          </w:tcPr>
          <w:p w:rsidR="009A3F84" w:rsidRPr="009A3F84" w:rsidRDefault="009A3F84" w:rsidP="009A3F84">
            <w:pPr>
              <w:tabs>
                <w:tab w:val="center" w:pos="4153"/>
                <w:tab w:val="right" w:pos="8306"/>
              </w:tabs>
              <w:snapToGrid w:val="0"/>
              <w:spacing w:after="120"/>
              <w:ind w:left="480"/>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lang w:eastAsia="zh-HK"/>
              </w:rPr>
              <w:t>政風室</w:t>
            </w:r>
          </w:p>
        </w:tc>
      </w:tr>
      <w:tr w:rsidR="009A3F84" w:rsidRPr="009A3F84" w:rsidTr="00664757">
        <w:trPr>
          <w:trHeight w:val="1205"/>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類型</w:t>
            </w:r>
          </w:p>
        </w:tc>
        <w:tc>
          <w:tcPr>
            <w:tcW w:w="8369" w:type="dxa"/>
            <w:gridSpan w:val="3"/>
            <w:vAlign w:val="center"/>
          </w:tcPr>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hint="eastAsia"/>
                <w:sz w:val="32"/>
                <w:szCs w:val="32"/>
              </w:rPr>
              <w:t>工程採購驗收紀錄登載不實(驗收鑽心取樣其中試體瀝青厚度不足，未分別製作初驗、複驗紀錄，僅製作驗收日驗收合格之驗收紀錄)</w:t>
            </w:r>
          </w:p>
        </w:tc>
      </w:tr>
      <w:tr w:rsidR="009A3F84" w:rsidRPr="009A3F84" w:rsidTr="00664757">
        <w:trPr>
          <w:trHeight w:val="1205"/>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實務見解</w:t>
            </w:r>
          </w:p>
        </w:tc>
        <w:tc>
          <w:tcPr>
            <w:tcW w:w="8369" w:type="dxa"/>
            <w:gridSpan w:val="3"/>
            <w:vAlign w:val="center"/>
          </w:tcPr>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hint="eastAsia"/>
                <w:sz w:val="32"/>
                <w:szCs w:val="32"/>
              </w:rPr>
              <w:t>臺灣高等法院臺中分院106年度上訴字第1780號判決</w:t>
            </w:r>
          </w:p>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hint="eastAsia"/>
                <w:sz w:val="32"/>
                <w:szCs w:val="32"/>
              </w:rPr>
              <w:t>臺灣高等法院花蓮分院104年度原上訴字第27號判決</w:t>
            </w:r>
          </w:p>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hint="eastAsia"/>
                <w:sz w:val="32"/>
                <w:szCs w:val="32"/>
              </w:rPr>
              <w:t>臺灣高等法院108年重上更二字第20號刑事判決</w:t>
            </w:r>
          </w:p>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hint="eastAsia"/>
                <w:sz w:val="32"/>
                <w:szCs w:val="32"/>
              </w:rPr>
              <w:t>臺灣高等法院107年度原上訴字第128號刑事判決</w:t>
            </w:r>
          </w:p>
          <w:p w:rsidR="009A3F84" w:rsidRPr="009A3F84" w:rsidRDefault="009A3F84" w:rsidP="009A3F84">
            <w:pPr>
              <w:tabs>
                <w:tab w:val="center" w:pos="4153"/>
                <w:tab w:val="right" w:pos="8306"/>
              </w:tabs>
              <w:snapToGrid w:val="0"/>
              <w:spacing w:after="120"/>
              <w:jc w:val="both"/>
              <w:rPr>
                <w:rFonts w:ascii="標楷體" w:eastAsia="標楷體" w:hAnsi="標楷體" w:cs="標楷體"/>
                <w:sz w:val="32"/>
                <w:szCs w:val="32"/>
              </w:rPr>
            </w:pPr>
            <w:r w:rsidRPr="009A3F84">
              <w:rPr>
                <w:rFonts w:ascii="標楷體" w:eastAsia="標楷體" w:hAnsi="標楷體" w:cs="標楷體" w:hint="eastAsia"/>
                <w:sz w:val="32"/>
                <w:szCs w:val="32"/>
              </w:rPr>
              <w:t>臺灣高等法院90年度 上更(一) 字第982號刑事判決</w:t>
            </w:r>
          </w:p>
        </w:tc>
      </w:tr>
      <w:tr w:rsidR="009A3F84" w:rsidRPr="009A3F84" w:rsidTr="00664757">
        <w:trPr>
          <w:trHeight w:val="703"/>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案例說</w:t>
            </w:r>
          </w:p>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明</w:t>
            </w:r>
          </w:p>
        </w:tc>
        <w:tc>
          <w:tcPr>
            <w:tcW w:w="8369" w:type="dxa"/>
            <w:gridSpan w:val="3"/>
          </w:tcPr>
          <w:p w:rsidR="009A3F84" w:rsidRPr="009A3F84" w:rsidRDefault="009A3F84" w:rsidP="009A3F84">
            <w:pPr>
              <w:snapToGrid w:val="0"/>
              <w:spacing w:line="500" w:lineRule="exact"/>
              <w:jc w:val="both"/>
              <w:rPr>
                <w:rFonts w:ascii="標楷體" w:eastAsia="標楷體" w:hAnsi="標楷體" w:cs="Times New Roman"/>
                <w:sz w:val="32"/>
                <w:szCs w:val="32"/>
              </w:rPr>
            </w:pPr>
            <w:r w:rsidRPr="009A3F84">
              <w:rPr>
                <w:rFonts w:ascii="標楷體" w:eastAsia="標楷體" w:hAnsi="標楷體" w:cs="Times New Roman" w:hint="eastAsia"/>
                <w:sz w:val="32"/>
                <w:szCs w:val="32"/>
              </w:rPr>
              <w:t>A擔任某區公所社建課約僱技士，負責承辦該區小型工程、防汛水利工程等業務，甲廠商承攬道路及其附屬設施改善工程開口契約採購案驗收時，鑽心取樣其中試體瀝青厚度皆僅3.1公分，有違工程採購契約應鋪設5公分之瀝青混凝土規定，主驗人員B課長當場口頭要求廠商進行改善，施工廠商亦應允重新鋪設，並於改善完成後安排複驗，然驗收人員複驗時看到上次鑽心取樣不合格路面有新鋪柏油痕跡及從河岸邊可看到路面有加厚，再加上施工廠商提供改善施工照片，卻沒有堅持複驗時亦也要鑽心取樣當場測量，A竟辯稱未受過公務員訓練，不清楚驗收程序，進而未分別製作初驗、複驗紀錄，僅製作驗收日驗收合格之驗收紀錄，明顯有違於工程驗收程序，使人誤認上開道路及其附屬設施改善工程已於驗收日合格，將不實之事項登載於其職務上所掌之驗收紀錄公文書，足以生損害該區公所對於上揭工程案件驗收之正確性。</w:t>
            </w:r>
          </w:p>
        </w:tc>
      </w:tr>
      <w:tr w:rsidR="009A3F84" w:rsidRPr="009A3F84" w:rsidTr="00664757">
        <w:trPr>
          <w:trHeight w:val="1781"/>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風險評估</w:t>
            </w:r>
          </w:p>
        </w:tc>
        <w:tc>
          <w:tcPr>
            <w:tcW w:w="8369" w:type="dxa"/>
            <w:gridSpan w:val="3"/>
            <w:vAlign w:val="center"/>
          </w:tcPr>
          <w:p w:rsidR="009A3F84" w:rsidRPr="009A3F84" w:rsidRDefault="009A3F84" w:rsidP="009A3F84">
            <w:pPr>
              <w:numPr>
                <w:ilvl w:val="0"/>
                <w:numId w:val="5"/>
              </w:numPr>
              <w:spacing w:line="520" w:lineRule="exact"/>
              <w:ind w:rightChars="50" w:right="120"/>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承辦人員訓練不足便宜行事：</w:t>
            </w:r>
          </w:p>
          <w:p w:rsidR="009A3F84" w:rsidRPr="009A3F84" w:rsidRDefault="009A3F84" w:rsidP="009A3F84">
            <w:pPr>
              <w:spacing w:line="520" w:lineRule="exact"/>
              <w:ind w:left="724" w:rightChars="50" w:right="120"/>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承辦人缺乏實際執行業務經驗，訓練不足即單獨作業，因此對於相關履約表件資料製作操作細節等認知未臻完備，便宜一時卻罹法網。</w:t>
            </w:r>
          </w:p>
          <w:p w:rsidR="009A3F84" w:rsidRPr="009A3F84" w:rsidRDefault="009A3F84" w:rsidP="009A3F84">
            <w:pPr>
              <w:numPr>
                <w:ilvl w:val="0"/>
                <w:numId w:val="5"/>
              </w:numPr>
              <w:spacing w:line="520" w:lineRule="exact"/>
              <w:ind w:rightChars="50" w:right="120"/>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驗收未落實：</w:t>
            </w:r>
          </w:p>
          <w:p w:rsidR="009A3F84" w:rsidRPr="009A3F84" w:rsidRDefault="009A3F84" w:rsidP="009A3F84">
            <w:pPr>
              <w:spacing w:line="520" w:lineRule="exact"/>
              <w:ind w:left="696" w:rightChars="50" w:right="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案內廠商於重新鋪設後，複驗前就鑽心取樣測量厚度合格並拍照，驗收人員竟憑肉眼觀看及廠商所提供照片，並未於複驗日當場鑽心取樣測量厚度，即判定驗收通過，過度依賴承辦，致無從發現程序缺失。</w:t>
            </w:r>
          </w:p>
          <w:p w:rsidR="009A3F84" w:rsidRPr="009A3F84" w:rsidRDefault="009A3F84" w:rsidP="009A3F84">
            <w:pPr>
              <w:numPr>
                <w:ilvl w:val="0"/>
                <w:numId w:val="5"/>
              </w:numPr>
              <w:spacing w:line="520" w:lineRule="exact"/>
              <w:ind w:rightChars="50" w:right="120"/>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開口契約常態性風險：</w:t>
            </w:r>
          </w:p>
          <w:p w:rsidR="009A3F84" w:rsidRPr="009A3F84" w:rsidRDefault="009A3F84" w:rsidP="009A3F84">
            <w:pPr>
              <w:spacing w:line="520" w:lineRule="exact"/>
              <w:ind w:leftChars="295" w:left="708" w:rightChars="50" w:right="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開口契約的及時性、經濟性常使養護工程單位有生降低履約品質之風險，或以施工日報表、支出費用憑證、及施工照片等資料，作為請款之依據，承辦人員辦理文件匆忙倉促、驗收人員與單位主管常態性核章未加以審核。</w:t>
            </w:r>
          </w:p>
          <w:p w:rsidR="009A3F84" w:rsidRPr="009A3F84" w:rsidRDefault="009A3F84" w:rsidP="009A3F84">
            <w:pPr>
              <w:numPr>
                <w:ilvl w:val="0"/>
                <w:numId w:val="5"/>
              </w:numPr>
              <w:spacing w:line="520" w:lineRule="exact"/>
              <w:ind w:rightChars="50" w:right="120"/>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承辦與主驗人員固定：</w:t>
            </w:r>
          </w:p>
          <w:p w:rsidR="009A3F84" w:rsidRPr="009A3F84" w:rsidRDefault="009A3F84" w:rsidP="009A3F84">
            <w:pPr>
              <w:spacing w:line="520" w:lineRule="exact"/>
              <w:ind w:left="720" w:rightChars="50" w:right="120"/>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地方政府囿於人力因素，業務單位技士多僅為2至3人，並經常互被指派為工程案件之承辦人及主驗人，基於固定指派之情況下，工程承攬廠商極易掌握主驗人員習性，甚至投其所好衍生違反廉政倫理案件甚至違法之情形。</w:t>
            </w:r>
          </w:p>
        </w:tc>
      </w:tr>
      <w:tr w:rsidR="009A3F84" w:rsidRPr="009A3F84" w:rsidTr="00664757">
        <w:trPr>
          <w:trHeight w:val="1637"/>
          <w:jc w:val="center"/>
        </w:trPr>
        <w:tc>
          <w:tcPr>
            <w:tcW w:w="1069" w:type="dxa"/>
            <w:vAlign w:val="center"/>
          </w:tcPr>
          <w:p w:rsidR="009A3F84" w:rsidRPr="009A3F84" w:rsidRDefault="009A3F84" w:rsidP="009A3F84">
            <w:pPr>
              <w:tabs>
                <w:tab w:val="center" w:pos="4153"/>
                <w:tab w:val="right" w:pos="8306"/>
              </w:tabs>
              <w:snapToGrid w:val="0"/>
              <w:spacing w:after="120"/>
              <w:ind w:left="480"/>
              <w:jc w:val="center"/>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防治措施</w:t>
            </w:r>
          </w:p>
        </w:tc>
        <w:tc>
          <w:tcPr>
            <w:tcW w:w="8369" w:type="dxa"/>
            <w:gridSpan w:val="3"/>
            <w:vAlign w:val="center"/>
          </w:tcPr>
          <w:p w:rsidR="009A3F84" w:rsidRPr="009A3F84" w:rsidRDefault="009A3F84" w:rsidP="009A3F84">
            <w:pPr>
              <w:tabs>
                <w:tab w:val="center" w:pos="4153"/>
                <w:tab w:val="right" w:pos="8306"/>
              </w:tabs>
              <w:snapToGrid w:val="0"/>
              <w:spacing w:after="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一</w:t>
            </w:r>
            <w:r w:rsidRPr="009A3F84">
              <w:rPr>
                <w:rFonts w:ascii="新細明體" w:eastAsia="新細明體" w:hAnsi="新細明體" w:cs="標楷體" w:hint="eastAsia"/>
                <w:color w:val="000000"/>
                <w:sz w:val="32"/>
                <w:szCs w:val="32"/>
              </w:rPr>
              <w:t>、</w:t>
            </w:r>
            <w:r w:rsidRPr="009A3F84">
              <w:rPr>
                <w:rFonts w:ascii="標楷體" w:eastAsia="標楷體" w:hAnsi="標楷體" w:cs="標楷體" w:hint="eastAsia"/>
                <w:color w:val="000000"/>
                <w:sz w:val="32"/>
                <w:szCs w:val="32"/>
              </w:rPr>
              <w:t>核實辦理驗收把關工程品質，依約計罰逾期違約金:</w:t>
            </w:r>
          </w:p>
          <w:p w:rsidR="009A3F84" w:rsidRPr="009A3F84" w:rsidRDefault="009A3F84" w:rsidP="009A3F84">
            <w:pPr>
              <w:tabs>
                <w:tab w:val="center" w:pos="4153"/>
                <w:tab w:val="right" w:pos="8306"/>
              </w:tabs>
              <w:snapToGrid w:val="0"/>
              <w:spacing w:after="120"/>
              <w:ind w:left="634"/>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按政府採購法第72條第1項及其施行細則第97條規定意旨，廠商履約結果經機關驗收有瑕疵者，應在機關通知之指定期限內完成改善、拆除、重作、退貨或換貨，並再行辦理驗收。驗收缺失之複驗結果涉及違約金之計罰者，機關辦理驗收時，如有不合格應改善事項，應由主驗人員當場視實際需要決定改善所需時間，並以年、月、日方式記載於驗收紀錄，廠商改善完竣後報請機關再行辦理驗收。</w:t>
            </w:r>
          </w:p>
          <w:p w:rsidR="009A3F84" w:rsidRPr="009A3F84" w:rsidRDefault="009A3F84" w:rsidP="009A3F84">
            <w:pPr>
              <w:tabs>
                <w:tab w:val="center" w:pos="4153"/>
                <w:tab w:val="right" w:pos="8306"/>
              </w:tabs>
              <w:snapToGrid w:val="0"/>
              <w:spacing w:after="120"/>
              <w:ind w:left="634"/>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再行辦理驗收時，應就前次驗收紀錄所載明之瑕疵進行複驗，且宜由原主驗人員親至工地再驗，如複驗仍不合格，廠商應於機關指定之第2次改正期限內完成改善，並自第1次複驗完成之次日起計算至瑕疵改善完成通知送達機關之日止，計罰逾期違約金，如發現新瑕疵者，機關應再指定期限通知廠商改善，其瑕疵改善期間不計入逾期天數，於第2次改善期限屆滿之次日起辦理複驗，如廠商逾期仍未改善，機關得依契約約定辦理。</w:t>
            </w:r>
          </w:p>
          <w:p w:rsidR="009A3F84" w:rsidRPr="009A3F84" w:rsidRDefault="009A3F84" w:rsidP="009A3F84">
            <w:pPr>
              <w:tabs>
                <w:tab w:val="center" w:pos="4153"/>
                <w:tab w:val="right" w:pos="8306"/>
              </w:tabs>
              <w:snapToGrid w:val="0"/>
              <w:spacing w:after="120"/>
              <w:ind w:left="675" w:hangingChars="211" w:hanging="675"/>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二</w:t>
            </w:r>
            <w:r w:rsidRPr="009A3F84">
              <w:rPr>
                <w:rFonts w:ascii="新細明體" w:eastAsia="新細明體" w:hAnsi="新細明體" w:cs="標楷體" w:hint="eastAsia"/>
                <w:color w:val="000000"/>
                <w:sz w:val="32"/>
                <w:szCs w:val="32"/>
              </w:rPr>
              <w:t>、</w:t>
            </w:r>
            <w:r w:rsidRPr="009A3F84">
              <w:rPr>
                <w:rFonts w:ascii="標楷體" w:eastAsia="標楷體" w:hAnsi="標楷體" w:cs="標楷體" w:hint="eastAsia"/>
                <w:color w:val="000000"/>
                <w:sz w:val="32"/>
                <w:szCs w:val="32"/>
              </w:rPr>
              <w:t>製作曾多次「再行辦理驗收」之廠商清單，強化驗收審核機制︰</w:t>
            </w:r>
          </w:p>
          <w:p w:rsidR="009A3F84" w:rsidRPr="009A3F84" w:rsidRDefault="009A3F84" w:rsidP="009A3F84">
            <w:pPr>
              <w:tabs>
                <w:tab w:val="center" w:pos="4153"/>
                <w:tab w:val="right" w:pos="8306"/>
              </w:tabs>
              <w:snapToGrid w:val="0"/>
              <w:spacing w:after="120"/>
              <w:ind w:left="634"/>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為在有限行政量能上強化工程驗收品質，主辦機關得蒐集曾多次「再行辦理驗收」之廠商清單，對於該廠商加強督導次數，並於驗收時抽核契約文件、履約文件、竣工文件及檢（查、試）驗紀錄統計表，據以詳細核對工程 施作項目及數量是否符合契約、圖說或貨樣，如驗收時發現缺失需再行辦理驗收者，廠商依主驗人所定期限內完成改善後，須現場辦理再行驗收，不得僅以書面審核。</w:t>
            </w:r>
          </w:p>
          <w:p w:rsidR="009A3F84" w:rsidRPr="009A3F84" w:rsidRDefault="009A3F84" w:rsidP="009A3F84">
            <w:pPr>
              <w:tabs>
                <w:tab w:val="center" w:pos="4153"/>
                <w:tab w:val="right" w:pos="8306"/>
              </w:tabs>
              <w:snapToGrid w:val="0"/>
              <w:spacing w:after="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三</w:t>
            </w:r>
            <w:r w:rsidRPr="009A3F84">
              <w:rPr>
                <w:rFonts w:ascii="新細明體" w:eastAsia="新細明體" w:hAnsi="新細明體" w:cs="標楷體" w:hint="eastAsia"/>
                <w:color w:val="000000"/>
                <w:sz w:val="32"/>
                <w:szCs w:val="32"/>
              </w:rPr>
              <w:t>、</w:t>
            </w:r>
            <w:r w:rsidRPr="009A3F84">
              <w:rPr>
                <w:rFonts w:ascii="標楷體" w:eastAsia="標楷體" w:hAnsi="標楷體" w:cs="標楷體" w:hint="eastAsia"/>
                <w:color w:val="000000"/>
                <w:sz w:val="32"/>
                <w:szCs w:val="32"/>
              </w:rPr>
              <w:t>採購人員應依法令辦理採購:</w:t>
            </w:r>
          </w:p>
          <w:p w:rsidR="009A3F84" w:rsidRPr="009A3F84" w:rsidRDefault="009A3F84" w:rsidP="009A3F84">
            <w:pPr>
              <w:spacing w:line="520" w:lineRule="exact"/>
              <w:ind w:left="653" w:rightChars="50" w:right="120" w:hangingChars="204" w:hanging="653"/>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 xml:space="preserve">    驗收程序為整個採購作業末端階段亦為重要之環節，為確保工程如期如質，於廠商書面通知竣工後，機關應依據契約、圖說或貨樣核對竣工之項目及數量，以確定是否竣工。另針對履約階段,機關應負查核義務，而承辦人應親自製作文書或照片；後續驗收時，仍須逐一核對契約圖說，對於不符圖說約定之材料、尺寸、數量、強度等，應予拒絕，並限期改善。</w:t>
            </w:r>
          </w:p>
          <w:p w:rsidR="009A3F84" w:rsidRPr="009A3F84" w:rsidRDefault="009A3F84" w:rsidP="009A3F84">
            <w:pPr>
              <w:tabs>
                <w:tab w:val="center" w:pos="4153"/>
                <w:tab w:val="right" w:pos="8306"/>
              </w:tabs>
              <w:snapToGrid w:val="0"/>
              <w:spacing w:after="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四</w:t>
            </w:r>
            <w:r w:rsidRPr="009A3F84">
              <w:rPr>
                <w:rFonts w:ascii="新細明體" w:eastAsia="新細明體" w:hAnsi="新細明體" w:cs="標楷體" w:hint="eastAsia"/>
                <w:color w:val="000000"/>
                <w:sz w:val="32"/>
                <w:szCs w:val="32"/>
              </w:rPr>
              <w:t>、</w:t>
            </w:r>
            <w:r w:rsidRPr="009A3F84">
              <w:rPr>
                <w:rFonts w:ascii="標楷體" w:eastAsia="標楷體" w:hAnsi="標楷體" w:cs="標楷體"/>
                <w:color w:val="000000"/>
                <w:sz w:val="32"/>
                <w:szCs w:val="32"/>
              </w:rPr>
              <w:t xml:space="preserve">辦理採購法紀教育訓練： </w:t>
            </w:r>
          </w:p>
          <w:p w:rsidR="009A3F84" w:rsidRPr="009A3F84" w:rsidRDefault="009A3F84" w:rsidP="009A3F84">
            <w:pPr>
              <w:tabs>
                <w:tab w:val="center" w:pos="4153"/>
                <w:tab w:val="right" w:pos="8306"/>
              </w:tabs>
              <w:snapToGrid w:val="0"/>
              <w:spacing w:after="120"/>
              <w:ind w:left="720"/>
              <w:jc w:val="both"/>
              <w:rPr>
                <w:rFonts w:ascii="標楷體" w:eastAsia="標楷體" w:hAnsi="標楷體" w:cs="標楷體"/>
                <w:color w:val="000000"/>
                <w:sz w:val="32"/>
                <w:szCs w:val="32"/>
              </w:rPr>
            </w:pPr>
            <w:r w:rsidRPr="009A3F84">
              <w:rPr>
                <w:rFonts w:ascii="標楷體" w:eastAsia="標楷體" w:hAnsi="標楷體" w:cs="標楷體"/>
                <w:color w:val="000000"/>
                <w:sz w:val="32"/>
                <w:szCs w:val="32"/>
              </w:rPr>
              <w:t>建議機關適時辦理採購專業講習，並就機關發生違失或遭遇採購問題，洽講師研議講習主題，俾協助經辦採購人員加強認識 及熟稔相關政府採購法令，確保依法行政。</w:t>
            </w:r>
          </w:p>
          <w:p w:rsidR="009A3F84" w:rsidRPr="009A3F84" w:rsidRDefault="009A3F84" w:rsidP="009A3F84">
            <w:pPr>
              <w:tabs>
                <w:tab w:val="center" w:pos="4153"/>
                <w:tab w:val="right" w:pos="8306"/>
              </w:tabs>
              <w:snapToGrid w:val="0"/>
              <w:spacing w:after="1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五</w:t>
            </w:r>
            <w:r w:rsidRPr="009A3F84">
              <w:rPr>
                <w:rFonts w:ascii="新細明體" w:eastAsia="新細明體" w:hAnsi="新細明體" w:cs="標楷體" w:hint="eastAsia"/>
                <w:color w:val="000000"/>
                <w:sz w:val="32"/>
                <w:szCs w:val="32"/>
              </w:rPr>
              <w:t>、</w:t>
            </w:r>
            <w:r w:rsidRPr="009A3F84">
              <w:rPr>
                <w:rFonts w:ascii="標楷體" w:eastAsia="標楷體" w:hAnsi="標楷體" w:cs="標楷體" w:hint="eastAsia"/>
                <w:color w:val="000000"/>
                <w:sz w:val="32"/>
                <w:szCs w:val="32"/>
              </w:rPr>
              <w:t>落實開口契約履約管理：</w:t>
            </w:r>
          </w:p>
          <w:p w:rsidR="009A3F84" w:rsidRPr="009A3F84" w:rsidRDefault="009A3F84" w:rsidP="009A3F84">
            <w:pPr>
              <w:tabs>
                <w:tab w:val="center" w:pos="4153"/>
                <w:tab w:val="right" w:pos="8306"/>
              </w:tabs>
              <w:snapToGrid w:val="0"/>
              <w:spacing w:after="120"/>
              <w:ind w:left="720"/>
              <w:jc w:val="both"/>
              <w:rPr>
                <w:rFonts w:ascii="標楷體" w:eastAsia="標楷體" w:hAnsi="標楷體" w:cs="標楷體"/>
                <w:color w:val="000000"/>
                <w:sz w:val="32"/>
                <w:szCs w:val="32"/>
              </w:rPr>
            </w:pPr>
            <w:r w:rsidRPr="009A3F84">
              <w:rPr>
                <w:rFonts w:ascii="標楷體" w:eastAsia="標楷體" w:hAnsi="標楷體" w:cs="標楷體" w:hint="eastAsia"/>
                <w:color w:val="000000"/>
                <w:sz w:val="32"/>
                <w:szCs w:val="32"/>
              </w:rPr>
              <w:t>落實開口契約履約管理：要求廠商附具明確文件佐證，驗收時加以比對實地與圖說尺寸，照片明確顯示時間、地點、尺寸及範圍(前、中、後)，並於實地查驗量測，確認施作數量。</w:t>
            </w:r>
          </w:p>
        </w:tc>
      </w:tr>
    </w:tbl>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第三案</w:t>
      </w:r>
      <w:r w:rsidRPr="009A3F84">
        <w:rPr>
          <w:rFonts w:ascii="標楷體" w:eastAsia="標楷體" w:hAnsi="標楷體" w:cs="Times New Roman"/>
          <w:color w:val="000000"/>
          <w:sz w:val="32"/>
          <w:szCs w:val="32"/>
        </w:rPr>
        <w:t xml:space="preserve">  </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9"/>
        <w:gridCol w:w="3675"/>
        <w:gridCol w:w="2278"/>
        <w:gridCol w:w="2416"/>
      </w:tblGrid>
      <w:tr w:rsidR="009A3F84" w:rsidRPr="009A3F84" w:rsidTr="00664757">
        <w:trPr>
          <w:trHeight w:val="952"/>
          <w:jc w:val="center"/>
        </w:trPr>
        <w:tc>
          <w:tcPr>
            <w:tcW w:w="9438" w:type="dxa"/>
            <w:gridSpan w:val="4"/>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臺南市後壁區公所112年廉政防貪指引座談會提案單</w:t>
            </w:r>
          </w:p>
        </w:tc>
      </w:tr>
      <w:tr w:rsidR="009A3F84" w:rsidRPr="009A3F84" w:rsidTr="00664757">
        <w:trPr>
          <w:trHeight w:val="824"/>
          <w:jc w:val="center"/>
        </w:trPr>
        <w:tc>
          <w:tcPr>
            <w:tcW w:w="1069" w:type="dxa"/>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項</w:t>
            </w:r>
            <w:r w:rsidRPr="009A3F84">
              <w:rPr>
                <w:rFonts w:ascii="標楷體" w:eastAsia="標楷體" w:hAnsi="標楷體" w:cs="Times New Roman"/>
                <w:color w:val="000000"/>
                <w:sz w:val="32"/>
                <w:szCs w:val="32"/>
              </w:rPr>
              <w:t xml:space="preserve"> </w:t>
            </w:r>
            <w:r w:rsidRPr="009A3F84">
              <w:rPr>
                <w:rFonts w:ascii="標楷體" w:eastAsia="標楷體" w:hAnsi="標楷體" w:cs="Times New Roman" w:hint="eastAsia"/>
                <w:color w:val="000000"/>
                <w:sz w:val="32"/>
                <w:szCs w:val="32"/>
              </w:rPr>
              <w:t>次</w:t>
            </w:r>
          </w:p>
        </w:tc>
        <w:tc>
          <w:tcPr>
            <w:tcW w:w="3675" w:type="dxa"/>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第3案</w:t>
            </w:r>
          </w:p>
        </w:tc>
        <w:tc>
          <w:tcPr>
            <w:tcW w:w="2278" w:type="dxa"/>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提案單位</w:t>
            </w:r>
          </w:p>
        </w:tc>
        <w:tc>
          <w:tcPr>
            <w:tcW w:w="2416" w:type="dxa"/>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政風室</w:t>
            </w:r>
          </w:p>
        </w:tc>
      </w:tr>
      <w:tr w:rsidR="009A3F84" w:rsidRPr="009A3F84" w:rsidTr="00664757">
        <w:trPr>
          <w:trHeight w:val="1205"/>
          <w:jc w:val="center"/>
        </w:trPr>
        <w:tc>
          <w:tcPr>
            <w:tcW w:w="1069" w:type="dxa"/>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類型</w:t>
            </w:r>
          </w:p>
        </w:tc>
        <w:tc>
          <w:tcPr>
            <w:tcW w:w="8369" w:type="dxa"/>
            <w:gridSpan w:val="3"/>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預防過失洩密與落實門禁管理</w:t>
            </w:r>
          </w:p>
        </w:tc>
      </w:tr>
      <w:tr w:rsidR="009A3F84" w:rsidRPr="009A3F84" w:rsidTr="00664757">
        <w:trPr>
          <w:trHeight w:val="1205"/>
          <w:jc w:val="center"/>
        </w:trPr>
        <w:tc>
          <w:tcPr>
            <w:tcW w:w="1069" w:type="dxa"/>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實務見解</w:t>
            </w:r>
          </w:p>
        </w:tc>
        <w:tc>
          <w:tcPr>
            <w:tcW w:w="8369" w:type="dxa"/>
            <w:gridSpan w:val="3"/>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最高法院 107年度台上字第 842 號刑事判決</w:t>
            </w:r>
          </w:p>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公務員懲戒委員會89年度鑑字第9161號公懲議決書</w:t>
            </w:r>
          </w:p>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臺灣高等法院106年度上訴字第3302號刑事判決</w:t>
            </w:r>
          </w:p>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臺灣高等法院 107年度上訴字第2349 號刑事判決</w:t>
            </w:r>
          </w:p>
        </w:tc>
      </w:tr>
      <w:tr w:rsidR="009A3F84" w:rsidRPr="009A3F84" w:rsidTr="00664757">
        <w:trPr>
          <w:trHeight w:val="703"/>
          <w:jc w:val="center"/>
        </w:trPr>
        <w:tc>
          <w:tcPr>
            <w:tcW w:w="1069" w:type="dxa"/>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案例說</w:t>
            </w:r>
          </w:p>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明</w:t>
            </w:r>
          </w:p>
        </w:tc>
        <w:tc>
          <w:tcPr>
            <w:tcW w:w="8369" w:type="dxa"/>
            <w:gridSpan w:val="3"/>
          </w:tcPr>
          <w:p w:rsidR="009A3F84" w:rsidRPr="009A3F84" w:rsidRDefault="009A3F84" w:rsidP="009A3F84">
            <w:pPr>
              <w:numPr>
                <w:ilvl w:val="0"/>
                <w:numId w:val="15"/>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A市有市民意外發現B市甲機關的公文，以及當地部分居民的個人資料文件，竟被當作A市果菜市場的菜籃墊紙</w:t>
            </w:r>
            <w:r w:rsidRPr="009A3F84">
              <w:rPr>
                <w:rFonts w:ascii="標楷體" w:eastAsia="標楷體" w:hAnsi="標楷體" w:cs="Times New Roman"/>
                <w:color w:val="000000"/>
                <w:sz w:val="32"/>
                <w:szCs w:val="32"/>
                <w:vertAlign w:val="superscript"/>
              </w:rPr>
              <w:footnoteReference w:id="2"/>
            </w:r>
            <w:r w:rsidRPr="009A3F84">
              <w:rPr>
                <w:rFonts w:ascii="標楷體" w:eastAsia="標楷體" w:hAnsi="標楷體" w:cs="Times New Roman" w:hint="eastAsia"/>
                <w:color w:val="000000"/>
                <w:sz w:val="32"/>
                <w:szCs w:val="32"/>
              </w:rPr>
              <w:t>。</w:t>
            </w:r>
          </w:p>
          <w:p w:rsidR="009A3F84" w:rsidRPr="009A3F84" w:rsidRDefault="009A3F84" w:rsidP="009A3F84">
            <w:pPr>
              <w:numPr>
                <w:ilvl w:val="0"/>
                <w:numId w:val="15"/>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color w:val="000000"/>
                <w:sz w:val="32"/>
                <w:szCs w:val="32"/>
              </w:rPr>
              <w:t>C</w:t>
            </w:r>
            <w:r w:rsidRPr="009A3F84">
              <w:rPr>
                <w:rFonts w:ascii="標楷體" w:eastAsia="標楷體" w:hAnsi="標楷體" w:cs="Times New Roman" w:hint="eastAsia"/>
                <w:color w:val="000000"/>
                <w:sz w:val="32"/>
                <w:szCs w:val="32"/>
              </w:rPr>
              <w:t>市警</w:t>
            </w:r>
            <w:r w:rsidRPr="009A3F84">
              <w:rPr>
                <w:rFonts w:ascii="標楷體" w:eastAsia="標楷體" w:hAnsi="標楷體" w:cs="Times New Roman"/>
                <w:color w:val="000000"/>
                <w:sz w:val="32"/>
                <w:szCs w:val="32"/>
              </w:rPr>
              <w:t>D</w:t>
            </w:r>
            <w:r w:rsidRPr="009A3F84">
              <w:rPr>
                <w:rFonts w:ascii="標楷體" w:eastAsia="標楷體" w:hAnsi="標楷體" w:cs="Times New Roman" w:hint="eastAsia"/>
                <w:color w:val="000000"/>
                <w:sz w:val="32"/>
                <w:szCs w:val="32"/>
              </w:rPr>
              <w:t>分局</w:t>
            </w:r>
            <w:r w:rsidRPr="009A3F84">
              <w:rPr>
                <w:rFonts w:ascii="標楷體" w:eastAsia="標楷體" w:hAnsi="標楷體" w:cs="Times New Roman"/>
                <w:color w:val="000000"/>
                <w:sz w:val="32"/>
                <w:szCs w:val="32"/>
              </w:rPr>
              <w:t>E</w:t>
            </w:r>
            <w:r w:rsidRPr="009A3F84">
              <w:rPr>
                <w:rFonts w:ascii="標楷體" w:eastAsia="標楷體" w:hAnsi="標楷體" w:cs="Times New Roman" w:hint="eastAsia"/>
                <w:color w:val="000000"/>
                <w:sz w:val="32"/>
                <w:szCs w:val="32"/>
              </w:rPr>
              <w:t>分隊之警員，遭民眾爆料吃午餐配動畫「鬼滅之刃」，遭記過調職，1個月過後，媒體又流出一段民眾乙於</w:t>
            </w:r>
            <w:r w:rsidRPr="009A3F84">
              <w:rPr>
                <w:rFonts w:ascii="標楷體" w:eastAsia="標楷體" w:hAnsi="標楷體" w:cs="Times New Roman"/>
                <w:color w:val="000000"/>
                <w:sz w:val="32"/>
                <w:szCs w:val="32"/>
              </w:rPr>
              <w:t>E</w:t>
            </w:r>
            <w:r w:rsidRPr="009A3F84">
              <w:rPr>
                <w:rFonts w:ascii="標楷體" w:eastAsia="標楷體" w:hAnsi="標楷體" w:cs="Times New Roman" w:hint="eastAsia"/>
                <w:color w:val="000000"/>
                <w:sz w:val="32"/>
                <w:szCs w:val="32"/>
              </w:rPr>
              <w:t>分隊擅自翻閱警員丙桌上公文之影片，引發外界議論</w:t>
            </w:r>
            <w:r w:rsidRPr="009A3F84">
              <w:rPr>
                <w:rFonts w:ascii="標楷體" w:eastAsia="標楷體" w:hAnsi="標楷體" w:cs="Times New Roman"/>
                <w:color w:val="000000"/>
                <w:sz w:val="32"/>
                <w:szCs w:val="32"/>
                <w:vertAlign w:val="superscript"/>
              </w:rPr>
              <w:footnoteReference w:id="3"/>
            </w:r>
            <w:r w:rsidRPr="009A3F84">
              <w:rPr>
                <w:rFonts w:ascii="標楷體" w:eastAsia="標楷體" w:hAnsi="標楷體" w:cs="Times New Roman" w:hint="eastAsia"/>
                <w:color w:val="000000"/>
                <w:sz w:val="32"/>
                <w:szCs w:val="32"/>
              </w:rPr>
              <w:t>。</w:t>
            </w:r>
          </w:p>
          <w:p w:rsidR="009A3F84" w:rsidRPr="009A3F84" w:rsidRDefault="009A3F84" w:rsidP="009A3F84">
            <w:pPr>
              <w:numPr>
                <w:ilvl w:val="0"/>
                <w:numId w:val="15"/>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color w:val="000000"/>
                <w:sz w:val="32"/>
                <w:szCs w:val="32"/>
              </w:rPr>
              <w:t>某市發生刑事案件，員警</w:t>
            </w:r>
            <w:r w:rsidRPr="009A3F84">
              <w:rPr>
                <w:rFonts w:ascii="標楷體" w:eastAsia="標楷體" w:hAnsi="標楷體" w:cs="Times New Roman" w:hint="eastAsia"/>
                <w:color w:val="000000"/>
                <w:sz w:val="32"/>
                <w:szCs w:val="32"/>
              </w:rPr>
              <w:t>丁</w:t>
            </w:r>
            <w:r w:rsidRPr="009A3F84">
              <w:rPr>
                <w:rFonts w:ascii="標楷體" w:eastAsia="標楷體" w:hAnsi="標楷體" w:cs="Times New Roman"/>
                <w:color w:val="000000"/>
                <w:sz w:val="32"/>
                <w:szCs w:val="32"/>
              </w:rPr>
              <w:t>於取得案發過程之行車紀 錄器影像檔後，將上述影像檔轉貼於通訊軟體之公務 群組。惟該群組中之成員尚有其他分局人員</w:t>
            </w:r>
            <w:r w:rsidRPr="009A3F84">
              <w:rPr>
                <w:rFonts w:ascii="標楷體" w:eastAsia="標楷體" w:hAnsi="標楷體" w:cs="Times New Roman" w:hint="eastAsia"/>
                <w:color w:val="000000"/>
                <w:sz w:val="32"/>
                <w:szCs w:val="32"/>
              </w:rPr>
              <w:t>戊</w:t>
            </w:r>
            <w:r w:rsidRPr="009A3F84">
              <w:rPr>
                <w:rFonts w:ascii="標楷體" w:eastAsia="標楷體" w:hAnsi="標楷體" w:cs="Times New Roman"/>
                <w:color w:val="000000"/>
                <w:sz w:val="32"/>
                <w:szCs w:val="32"/>
              </w:rPr>
              <w:t>，</w:t>
            </w:r>
            <w:r w:rsidRPr="009A3F84">
              <w:rPr>
                <w:rFonts w:ascii="標楷體" w:eastAsia="標楷體" w:hAnsi="標楷體" w:cs="Times New Roman" w:hint="eastAsia"/>
                <w:color w:val="000000"/>
                <w:sz w:val="32"/>
                <w:szCs w:val="32"/>
              </w:rPr>
              <w:t>戊</w:t>
            </w:r>
            <w:r w:rsidRPr="009A3F84">
              <w:rPr>
                <w:rFonts w:ascii="標楷體" w:eastAsia="標楷體" w:hAnsi="標楷體" w:cs="Times New Roman"/>
                <w:color w:val="000000"/>
                <w:sz w:val="32"/>
                <w:szCs w:val="32"/>
              </w:rPr>
              <w:t>復 將上述影像分享轉貼與其他人，致前揭偵查中資訊外 流；違反刑事訴訟法第245條及偵查不公開作業辦法 相關規定。案經移送地方檢察署偵辦，核甲所為係犯刑法第132 條第2項之過失洩密罪，屬於刑事訴訟法第376條所列之案件，爰審酌甲自白犯行，深表悔悟，並參酌刑法第57條所列各款事項為職權不起訴處分。</w:t>
            </w:r>
          </w:p>
        </w:tc>
      </w:tr>
      <w:tr w:rsidR="009A3F84" w:rsidRPr="009A3F84" w:rsidTr="00664757">
        <w:trPr>
          <w:trHeight w:val="983"/>
          <w:jc w:val="center"/>
        </w:trPr>
        <w:tc>
          <w:tcPr>
            <w:tcW w:w="1069" w:type="dxa"/>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風險評估</w:t>
            </w:r>
          </w:p>
        </w:tc>
        <w:tc>
          <w:tcPr>
            <w:tcW w:w="8369" w:type="dxa"/>
            <w:gridSpan w:val="3"/>
            <w:vAlign w:val="center"/>
          </w:tcPr>
          <w:p w:rsidR="009A3F84" w:rsidRPr="009A3F84" w:rsidRDefault="009A3F84" w:rsidP="009A3F84">
            <w:pPr>
              <w:numPr>
                <w:ilvl w:val="0"/>
                <w:numId w:val="16"/>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洩漏情資人員將背負相關民、刑事及行政法律責任，亦可能導致機關負國賠風險。</w:t>
            </w:r>
          </w:p>
          <w:p w:rsidR="009A3F84" w:rsidRPr="009A3F84" w:rsidRDefault="009A3F84" w:rsidP="009A3F84">
            <w:pPr>
              <w:numPr>
                <w:ilvl w:val="0"/>
                <w:numId w:val="16"/>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涉犯法條：刑法第132條第2項</w:t>
            </w:r>
          </w:p>
          <w:p w:rsidR="009A3F84" w:rsidRPr="009A3F84" w:rsidRDefault="009A3F84" w:rsidP="009A3F84">
            <w:pPr>
              <w:spacing w:line="480" w:lineRule="exact"/>
              <w:ind w:left="720"/>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刑法第132條第1項規定，公務員洩漏或交付關於中華民國國防以外應秘密之文書、圖畫、消息或物品者，處3年以下有期徒刑。</w:t>
            </w:r>
          </w:p>
          <w:p w:rsidR="009A3F84" w:rsidRPr="009A3F84" w:rsidRDefault="009A3F84" w:rsidP="009A3F84">
            <w:pPr>
              <w:spacing w:line="480" w:lineRule="exact"/>
              <w:ind w:left="720"/>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刑法第132條第2項規定，因過失犯前項之罪者，處1年以下有期徒刑、拘役或3百元以下罰金。</w:t>
            </w:r>
          </w:p>
          <w:p w:rsidR="009A3F84" w:rsidRPr="009A3F84" w:rsidRDefault="009A3F84" w:rsidP="009A3F84">
            <w:pPr>
              <w:numPr>
                <w:ilvl w:val="0"/>
                <w:numId w:val="16"/>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color w:val="000000"/>
                <w:sz w:val="32"/>
                <w:szCs w:val="32"/>
              </w:rPr>
              <w:t>公務員負保密義務公務員的洩密行為不乏故意洩漏或由於未確實遵守保密規定，導致處理機密業務過程中 過失發生洩密事件，惟有時亦因承辦人員就 「現在」對於「應秘密事項(文件或消息)」 負「保密義務」之認識不足，導致洩密情事</w:t>
            </w:r>
            <w:r w:rsidRPr="009A3F84">
              <w:rPr>
                <w:rFonts w:ascii="標楷體" w:eastAsia="標楷體" w:hAnsi="標楷體" w:cs="Times New Roman" w:hint="eastAsia"/>
                <w:color w:val="000000"/>
                <w:sz w:val="32"/>
                <w:szCs w:val="32"/>
              </w:rPr>
              <w:t>發生。</w:t>
            </w:r>
          </w:p>
          <w:p w:rsidR="009A3F84" w:rsidRPr="009A3F84" w:rsidRDefault="009A3F84" w:rsidP="009A3F84">
            <w:pPr>
              <w:numPr>
                <w:ilvl w:val="0"/>
                <w:numId w:val="16"/>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「Line來Line去，Line出問題」</w:t>
            </w:r>
            <w:r w:rsidRPr="009A3F84">
              <w:rPr>
                <w:rFonts w:ascii="標楷體" w:eastAsia="標楷體" w:hAnsi="標楷體" w:cs="Times New Roman"/>
                <w:color w:val="000000"/>
                <w:sz w:val="32"/>
                <w:szCs w:val="32"/>
                <w:vertAlign w:val="superscript"/>
              </w:rPr>
              <w:footnoteReference w:id="4"/>
            </w:r>
          </w:p>
          <w:p w:rsidR="009A3F84" w:rsidRPr="009A3F84" w:rsidRDefault="009A3F84" w:rsidP="009A3F84">
            <w:pPr>
              <w:spacing w:line="480" w:lineRule="exact"/>
              <w:ind w:left="720"/>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東森新聞於 2018 年 11 月 29 日報導「手誤傳錯群組，潘姓員警被依過失洩密罪送辦，檢方給予緩起訴處分」，內容陳述 2017 年間偵辦擄人勒贖案的潘姓員警，原本要傳「偵辦進度報告」給負責調閱監視器的同事，卻誤傳到反年金改革的群組「台灣憤怒鳥」，該案檢方於 2018 年給予緩起訴處分，需繳交公庫 3 萬元。另外LINE 最常遇到的態樣，當屬詐騙集團竊取個資及財務等問題；此外 LINE 也成為假訊息散布平台。</w:t>
            </w:r>
          </w:p>
          <w:p w:rsidR="009A3F84" w:rsidRPr="009A3F84" w:rsidRDefault="009A3F84" w:rsidP="009A3F84">
            <w:pPr>
              <w:numPr>
                <w:ilvl w:val="0"/>
                <w:numId w:val="16"/>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LINE潛藏風險可約略將之分為「操作風險」及「軟體風險」，分述如下：</w:t>
            </w:r>
            <w:r w:rsidRPr="009A3F84">
              <w:rPr>
                <w:rFonts w:ascii="標楷體" w:eastAsia="標楷體" w:hAnsi="標楷體" w:cs="Times New Roman"/>
                <w:color w:val="000000"/>
                <w:sz w:val="32"/>
                <w:szCs w:val="32"/>
                <w:vertAlign w:val="superscript"/>
              </w:rPr>
              <w:footnoteReference w:id="5"/>
            </w:r>
          </w:p>
          <w:p w:rsidR="009A3F84" w:rsidRPr="009A3F84" w:rsidRDefault="009A3F84" w:rsidP="009A3F84">
            <w:pPr>
              <w:spacing w:line="480" w:lineRule="exact"/>
              <w:ind w:leftChars="158" w:left="379"/>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(一)操作風險</w:t>
            </w:r>
          </w:p>
          <w:p w:rsidR="009A3F84" w:rsidRPr="009A3F84" w:rsidRDefault="009A3F84" w:rsidP="009A3F84">
            <w:pPr>
              <w:spacing w:line="480" w:lineRule="exact"/>
              <w:ind w:leftChars="315" w:left="1086" w:hangingChars="103" w:hanging="330"/>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1.如前述案例所載，使用者於公務上可能同時與多群組人員聯繫，稍有不慎，易誤傳公務相關文件予不相干第三人，即使 LINE 具備「訊息回收」功能，也難得知第三人是否已知悉內容。</w:t>
            </w:r>
          </w:p>
          <w:p w:rsidR="009A3F84" w:rsidRPr="009A3F84" w:rsidRDefault="009A3F84" w:rsidP="009A3F84">
            <w:pPr>
              <w:spacing w:line="480" w:lineRule="exact"/>
              <w:ind w:leftChars="315" w:left="1086" w:hangingChars="103" w:hanging="330"/>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2.許多人使用 LINE 未了解軟體具備之功能，像是 LINE 聊天室的「相簿」、「儲存至 Keep」功能等，可將檔案上傳雲端，若不善用而隨意儲存在手機目錄、相簿內，一旦手機誤植木馬軟體等，手上資料恐遭外洩。</w:t>
            </w:r>
          </w:p>
          <w:p w:rsidR="009A3F84" w:rsidRPr="009A3F84" w:rsidRDefault="009A3F84" w:rsidP="009A3F84">
            <w:pPr>
              <w:spacing w:line="480" w:lineRule="exact"/>
              <w:ind w:leftChars="315" w:left="1086" w:hangingChars="103" w:hanging="330"/>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3.LINE若設定不當，允許陌生人加為好友，讓有心人士有可趁之機，偽冒熟識、家人，誘騙點選連結進行 APT（Advanced Persistent Threat）攻擊或交付資料等，均可能引發資安風險。</w:t>
            </w:r>
          </w:p>
          <w:p w:rsidR="009A3F84" w:rsidRPr="009A3F84" w:rsidRDefault="009A3F84" w:rsidP="009A3F84">
            <w:pPr>
              <w:spacing w:line="480" w:lineRule="exact"/>
              <w:ind w:leftChars="315" w:left="1086" w:hangingChars="103" w:hanging="330"/>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4.公務機關人員為求跨部會聯繫提升效率，往往建立許多群組，群組成員間彼此也未必熟識；又尚未在 LINE 群組裡指定管理者時，任何成員均可邀請他人進入該族群內；倘若誤加入非此公務相關人員，將滋生公務資料外洩疑慮。</w:t>
            </w:r>
          </w:p>
          <w:p w:rsidR="009A3F84" w:rsidRPr="009A3F84" w:rsidRDefault="009A3F84" w:rsidP="009A3F84">
            <w:pPr>
              <w:spacing w:line="480" w:lineRule="exact"/>
              <w:ind w:leftChars="158" w:left="379"/>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(二)軟體風險</w:t>
            </w:r>
          </w:p>
          <w:p w:rsidR="009A3F84" w:rsidRPr="009A3F84" w:rsidRDefault="009A3F84" w:rsidP="009A3F84">
            <w:pPr>
              <w:spacing w:line="480" w:lineRule="exact"/>
              <w:ind w:leftChars="300" w:left="1002" w:hangingChars="88" w:hanging="282"/>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1.LINE 可隨意轉貼及點選任何網址，若是該網址潛藏惡意代碼，手機極可能被植入惡意程式，導致機敏資訊遭竊。</w:t>
            </w:r>
          </w:p>
          <w:p w:rsidR="009A3F84" w:rsidRPr="009A3F84" w:rsidRDefault="009A3F84" w:rsidP="009A3F84">
            <w:pPr>
              <w:spacing w:line="480" w:lineRule="exact"/>
              <w:ind w:leftChars="300" w:left="1002" w:hangingChars="88" w:hanging="282"/>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2.LINE 建置雲端資料庫能儲存用戶或群組對話內容及檔案，但若LINE公司遭駭客入侵，即可能洩漏用戶或群組之檔案及對話內容，即使循司法調查管道，亦因LINE屬國外公司而增加偵辦難度；此外，使用者在通訊過程中亦存在遭LINE公司側錄對話內容之風險，故以國安角度考量，確實不宜在機敏公務上使用。</w:t>
            </w:r>
          </w:p>
          <w:p w:rsidR="009A3F84" w:rsidRPr="009A3F84" w:rsidRDefault="009A3F84" w:rsidP="009A3F84">
            <w:pPr>
              <w:spacing w:line="480" w:lineRule="exact"/>
              <w:ind w:left="666" w:hangingChars="208" w:hanging="666"/>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六</w:t>
            </w:r>
            <w:r w:rsidRPr="009A3F84">
              <w:rPr>
                <w:rFonts w:ascii="新細明體" w:eastAsia="新細明體" w:hAnsi="新細明體" w:cs="Times New Roman" w:hint="eastAsia"/>
                <w:color w:val="000000"/>
                <w:sz w:val="32"/>
                <w:szCs w:val="32"/>
              </w:rPr>
              <w:t>、</w:t>
            </w:r>
            <w:r w:rsidRPr="009A3F84">
              <w:rPr>
                <w:rFonts w:ascii="標楷體" w:eastAsia="標楷體" w:hAnsi="標楷體" w:cs="Times New Roman" w:hint="eastAsia"/>
                <w:color w:val="000000"/>
                <w:sz w:val="32"/>
                <w:szCs w:val="32"/>
              </w:rPr>
              <w:t>案例二之發生原因可能源自於門禁管理有缺失或出入口服務台人員風險意識不足。尤其於案例二中之民眾乙為何可以自由出入該警察機關於</w:t>
            </w:r>
            <w:r w:rsidRPr="009A3F84">
              <w:rPr>
                <w:rFonts w:ascii="標楷體" w:eastAsia="標楷體" w:hAnsi="標楷體" w:cs="Times New Roman"/>
                <w:color w:val="000000"/>
                <w:sz w:val="32"/>
                <w:szCs w:val="32"/>
              </w:rPr>
              <w:t>E</w:t>
            </w:r>
            <w:r w:rsidRPr="009A3F84">
              <w:rPr>
                <w:rFonts w:ascii="標楷體" w:eastAsia="標楷體" w:hAnsi="標楷體" w:cs="Times New Roman" w:hint="eastAsia"/>
                <w:color w:val="000000"/>
                <w:sz w:val="32"/>
                <w:szCs w:val="32"/>
              </w:rPr>
              <w:t>分隊擅自翻閱警員丙桌上公文？</w:t>
            </w:r>
          </w:p>
        </w:tc>
      </w:tr>
      <w:tr w:rsidR="009A3F84" w:rsidRPr="009A3F84" w:rsidTr="00664757">
        <w:trPr>
          <w:trHeight w:val="1118"/>
          <w:jc w:val="center"/>
        </w:trPr>
        <w:tc>
          <w:tcPr>
            <w:tcW w:w="1069" w:type="dxa"/>
            <w:vAlign w:val="center"/>
          </w:tcPr>
          <w:p w:rsidR="009A3F84" w:rsidRPr="009A3F84" w:rsidRDefault="009A3F84" w:rsidP="009A3F84">
            <w:p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防治措施</w:t>
            </w:r>
          </w:p>
        </w:tc>
        <w:tc>
          <w:tcPr>
            <w:tcW w:w="8369" w:type="dxa"/>
            <w:gridSpan w:val="3"/>
            <w:vAlign w:val="center"/>
          </w:tcPr>
          <w:p w:rsidR="009A3F84" w:rsidRPr="009A3F84" w:rsidRDefault="009A3F84" w:rsidP="009A3F84">
            <w:pPr>
              <w:numPr>
                <w:ilvl w:val="0"/>
                <w:numId w:val="17"/>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因應案例三之風險防制：</w:t>
            </w:r>
          </w:p>
          <w:p w:rsidR="009A3F84" w:rsidRPr="009A3F84" w:rsidRDefault="009A3F84" w:rsidP="009A3F84">
            <w:pPr>
              <w:numPr>
                <w:ilvl w:val="0"/>
                <w:numId w:val="19"/>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採行如安裝訊息加解密軟體等安全性跟隱私性較高之通訊方式</w:t>
            </w:r>
            <w:r w:rsidRPr="009A3F84">
              <w:rPr>
                <w:rFonts w:ascii="新細明體" w:eastAsia="新細明體" w:hAnsi="新細明體" w:cs="Times New Roman" w:hint="eastAsia"/>
                <w:color w:val="000000"/>
                <w:sz w:val="32"/>
                <w:szCs w:val="32"/>
              </w:rPr>
              <w:t>。</w:t>
            </w:r>
          </w:p>
          <w:p w:rsidR="009A3F84" w:rsidRPr="009A3F84" w:rsidRDefault="009A3F84" w:rsidP="009A3F84">
            <w:pPr>
              <w:numPr>
                <w:ilvl w:val="0"/>
                <w:numId w:val="19"/>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「LINE」群組中建立管理人員</w:t>
            </w:r>
            <w:r w:rsidRPr="009A3F84">
              <w:rPr>
                <w:rFonts w:ascii="新細明體" w:eastAsia="新細明體" w:hAnsi="新細明體" w:cs="Times New Roman" w:hint="eastAsia"/>
                <w:color w:val="000000"/>
                <w:sz w:val="32"/>
                <w:szCs w:val="32"/>
              </w:rPr>
              <w:t>。</w:t>
            </w:r>
          </w:p>
          <w:p w:rsidR="009A3F84" w:rsidRPr="009A3F84" w:rsidRDefault="009A3F84" w:rsidP="009A3F84">
            <w:pPr>
              <w:numPr>
                <w:ilvl w:val="0"/>
                <w:numId w:val="19"/>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持續更新 LINE 版本</w:t>
            </w:r>
            <w:r w:rsidRPr="009A3F84">
              <w:rPr>
                <w:rFonts w:ascii="新細明體" w:eastAsia="新細明體" w:hAnsi="新細明體" w:cs="Times New Roman" w:hint="eastAsia"/>
                <w:color w:val="000000"/>
                <w:sz w:val="32"/>
                <w:szCs w:val="32"/>
              </w:rPr>
              <w:t>。</w:t>
            </w:r>
          </w:p>
          <w:p w:rsidR="009A3F84" w:rsidRPr="009A3F84" w:rsidRDefault="009A3F84" w:rsidP="009A3F84">
            <w:pPr>
              <w:numPr>
                <w:ilvl w:val="0"/>
                <w:numId w:val="19"/>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安裝並更新防毒軟體</w:t>
            </w:r>
            <w:r w:rsidRPr="009A3F84">
              <w:rPr>
                <w:rFonts w:ascii="新細明體" w:eastAsia="新細明體" w:hAnsi="新細明體" w:cs="Times New Roman" w:hint="eastAsia"/>
                <w:color w:val="000000"/>
                <w:sz w:val="32"/>
                <w:szCs w:val="32"/>
              </w:rPr>
              <w:t>。</w:t>
            </w:r>
          </w:p>
          <w:p w:rsidR="009A3F84" w:rsidRPr="009A3F84" w:rsidRDefault="009A3F84" w:rsidP="009A3F84">
            <w:pPr>
              <w:numPr>
                <w:ilvl w:val="0"/>
                <w:numId w:val="19"/>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不隨便加好友、加官方帳號。</w:t>
            </w:r>
          </w:p>
          <w:p w:rsidR="009A3F84" w:rsidRPr="009A3F84" w:rsidRDefault="009A3F84" w:rsidP="009A3F84">
            <w:pPr>
              <w:numPr>
                <w:ilvl w:val="0"/>
                <w:numId w:val="19"/>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不宜在機敏公務上使用</w:t>
            </w:r>
            <w:r w:rsidRPr="009A3F84">
              <w:rPr>
                <w:rFonts w:ascii="新細明體" w:eastAsia="新細明體" w:hAnsi="新細明體" w:cs="Times New Roman" w:hint="eastAsia"/>
                <w:color w:val="000000"/>
                <w:sz w:val="32"/>
                <w:szCs w:val="32"/>
              </w:rPr>
              <w:t>。</w:t>
            </w:r>
          </w:p>
          <w:p w:rsidR="009A3F84" w:rsidRPr="009A3F84" w:rsidRDefault="009A3F84" w:rsidP="009A3F84">
            <w:pPr>
              <w:numPr>
                <w:ilvl w:val="0"/>
                <w:numId w:val="19"/>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建議關閉「自動加入好友」、「允許被加入好友」功能</w:t>
            </w:r>
            <w:r w:rsidRPr="009A3F84">
              <w:rPr>
                <w:rFonts w:ascii="新細明體" w:eastAsia="新細明體" w:hAnsi="新細明體" w:cs="Times New Roman" w:hint="eastAsia"/>
                <w:color w:val="000000"/>
                <w:sz w:val="32"/>
                <w:szCs w:val="32"/>
              </w:rPr>
              <w:t>。</w:t>
            </w:r>
          </w:p>
          <w:p w:rsidR="009A3F84" w:rsidRPr="009A3F84" w:rsidRDefault="009A3F84" w:rsidP="009A3F84">
            <w:pPr>
              <w:numPr>
                <w:ilvl w:val="0"/>
                <w:numId w:val="17"/>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落實門禁管理︰</w:t>
            </w:r>
          </w:p>
          <w:p w:rsidR="009A3F84" w:rsidRPr="009A3F84" w:rsidRDefault="009A3F84" w:rsidP="009A3F84">
            <w:pPr>
              <w:spacing w:line="480" w:lineRule="exact"/>
              <w:ind w:leftChars="2" w:left="805" w:hangingChars="250" w:hanging="800"/>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(一)</w:t>
            </w:r>
            <w:r w:rsidRPr="009A3F84">
              <w:rPr>
                <w:rFonts w:ascii="Times New Roman" w:eastAsia="新細明體" w:hAnsi="Times New Roman" w:cs="Times New Roman" w:hint="eastAsia"/>
                <w:szCs w:val="24"/>
              </w:rPr>
              <w:t xml:space="preserve"> </w:t>
            </w:r>
            <w:r w:rsidRPr="009A3F84">
              <w:rPr>
                <w:rFonts w:ascii="標楷體" w:eastAsia="標楷體" w:hAnsi="標楷體" w:cs="Times New Roman" w:hint="eastAsia"/>
                <w:color w:val="000000"/>
                <w:sz w:val="32"/>
                <w:szCs w:val="32"/>
              </w:rPr>
              <w:t>於一樓大門設值班台，並派駐人員，負責門禁安全、人員接待及緊急情況處理。</w:t>
            </w:r>
          </w:p>
          <w:p w:rsidR="009A3F84" w:rsidRPr="009A3F84" w:rsidRDefault="009A3F84" w:rsidP="009A3F84">
            <w:pPr>
              <w:spacing w:line="480" w:lineRule="exact"/>
              <w:ind w:left="803" w:hangingChars="251" w:hanging="803"/>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(二)</w:t>
            </w:r>
            <w:r w:rsidRPr="009A3F84">
              <w:rPr>
                <w:rFonts w:ascii="標楷體" w:eastAsia="標楷體" w:hAnsi="標楷體" w:cs="Times New Roman"/>
                <w:color w:val="000000"/>
                <w:sz w:val="32"/>
                <w:szCs w:val="32"/>
              </w:rPr>
              <w:t xml:space="preserve"> </w:t>
            </w:r>
            <w:r w:rsidRPr="009A3F84">
              <w:rPr>
                <w:rFonts w:ascii="標楷體" w:eastAsia="標楷體" w:hAnsi="標楷體" w:cs="Times New Roman" w:hint="eastAsia"/>
                <w:color w:val="000000"/>
                <w:sz w:val="32"/>
                <w:szCs w:val="32"/>
              </w:rPr>
              <w:t>本所地下室門禁管制請依本所112年上半年機關安全維護會報決議與首長裁指示事項辦理。</w:t>
            </w:r>
          </w:p>
          <w:p w:rsidR="009A3F84" w:rsidRPr="009A3F84" w:rsidRDefault="009A3F84" w:rsidP="009A3F84">
            <w:pPr>
              <w:spacing w:line="480" w:lineRule="exact"/>
              <w:ind w:left="723" w:hangingChars="226" w:hanging="723"/>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(三)</w:t>
            </w:r>
            <w:r w:rsidRPr="009A3F84">
              <w:rPr>
                <w:rFonts w:ascii="Times New Roman" w:eastAsia="新細明體" w:hAnsi="Times New Roman" w:cs="Times New Roman" w:hint="eastAsia"/>
                <w:szCs w:val="24"/>
              </w:rPr>
              <w:t xml:space="preserve"> </w:t>
            </w:r>
            <w:r w:rsidRPr="009A3F84">
              <w:rPr>
                <w:rFonts w:ascii="標楷體" w:eastAsia="標楷體" w:hAnsi="標楷體" w:cs="Times New Roman" w:hint="eastAsia"/>
                <w:color w:val="000000"/>
                <w:sz w:val="32"/>
                <w:szCs w:val="32"/>
              </w:rPr>
              <w:t>供公眾進出之場所（如會客室、外收發室等處），除派專人監管外，其位置儘可能與其他辦公室隔離。</w:t>
            </w:r>
          </w:p>
          <w:p w:rsidR="009A3F84" w:rsidRPr="009A3F84" w:rsidRDefault="009A3F84" w:rsidP="009A3F84">
            <w:pPr>
              <w:spacing w:line="480" w:lineRule="exact"/>
              <w:ind w:left="752" w:hangingChars="235" w:hanging="752"/>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(四)</w:t>
            </w:r>
            <w:r w:rsidRPr="009A3F84">
              <w:rPr>
                <w:rFonts w:ascii="Times New Roman" w:eastAsia="新細明體" w:hAnsi="Times New Roman" w:cs="Times New Roman" w:hint="eastAsia"/>
                <w:szCs w:val="24"/>
              </w:rPr>
              <w:t xml:space="preserve"> </w:t>
            </w:r>
            <w:r w:rsidRPr="009A3F84">
              <w:rPr>
                <w:rFonts w:ascii="標楷體" w:eastAsia="標楷體" w:hAnsi="標楷體" w:cs="Times New Roman" w:hint="eastAsia"/>
                <w:color w:val="000000"/>
                <w:sz w:val="32"/>
                <w:szCs w:val="32"/>
              </w:rPr>
              <w:t>至本所開會或參加集會者應憑開會通知單或其他證明文件進入，未攜帶者應由召集會議單位確認後進入。召集會議單位應事先將出席人員名冊副知值班台以利識別；若為重要會議，當日亦應派員至大門協助值班台引導出席人員進入。</w:t>
            </w:r>
          </w:p>
          <w:p w:rsidR="009A3F84" w:rsidRPr="009A3F84" w:rsidRDefault="009A3F84" w:rsidP="009A3F84">
            <w:pPr>
              <w:spacing w:line="480" w:lineRule="exact"/>
              <w:ind w:left="666" w:hangingChars="208" w:hanging="666"/>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(五)</w:t>
            </w:r>
            <w:r w:rsidRPr="009A3F84">
              <w:rPr>
                <w:rFonts w:ascii="Times New Roman" w:eastAsia="新細明體" w:hAnsi="Times New Roman" w:cs="Times New Roman" w:hint="eastAsia"/>
                <w:szCs w:val="24"/>
              </w:rPr>
              <w:t xml:space="preserve"> </w:t>
            </w:r>
            <w:r w:rsidRPr="009A3F84">
              <w:rPr>
                <w:rFonts w:ascii="標楷體" w:eastAsia="標楷體" w:hAnsi="標楷體" w:cs="Times New Roman" w:hint="eastAsia"/>
                <w:color w:val="000000"/>
                <w:sz w:val="32"/>
                <w:szCs w:val="32"/>
              </w:rPr>
              <w:t>洽公、來賓及參觀訪問人員出入應由值班台詢問辦理業務，由相關人員引導，必要時由業務單位派員，邀請單位並應事先規劃參訪路線避免干擾公務。</w:t>
            </w:r>
          </w:p>
          <w:p w:rsidR="009A3F84" w:rsidRPr="009A3F84" w:rsidRDefault="009A3F84" w:rsidP="009A3F84">
            <w:pPr>
              <w:spacing w:line="480" w:lineRule="exact"/>
              <w:ind w:left="666" w:hangingChars="208" w:hanging="666"/>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(六) (各)辦公室鑰匙由秘書室集中管理，遇有借用者應予登記或為適當管制。</w:t>
            </w:r>
          </w:p>
          <w:p w:rsidR="009A3F84" w:rsidRPr="009A3F84" w:rsidRDefault="009A3F84" w:rsidP="009A3F84">
            <w:pPr>
              <w:numPr>
                <w:ilvl w:val="0"/>
                <w:numId w:val="17"/>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強化出入口服務台人員風險意識:</w:t>
            </w:r>
          </w:p>
          <w:p w:rsidR="009A3F84" w:rsidRPr="009A3F84" w:rsidRDefault="009A3F84" w:rsidP="009A3F84">
            <w:pPr>
              <w:numPr>
                <w:ilvl w:val="0"/>
                <w:numId w:val="18"/>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會見區長之來賓，值班台應確實通報區長室，經核准後方可引導進入。</w:t>
            </w:r>
          </w:p>
          <w:p w:rsidR="009A3F84" w:rsidRPr="009A3F84" w:rsidRDefault="009A3F84" w:rsidP="009A3F84">
            <w:pPr>
              <w:numPr>
                <w:ilvl w:val="0"/>
                <w:numId w:val="18"/>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民眾陳情遇有突發狀況時，請依112年7月5日「本所112年推動廉政公約重點工作加強廉政教育訓練與公務機密、機關安全維護情境演練宣導程序」辦理</w:t>
            </w:r>
            <w:r w:rsidRPr="009A3F84">
              <w:rPr>
                <w:rFonts w:ascii="新細明體" w:eastAsia="新細明體" w:hAnsi="新細明體" w:cs="Times New Roman" w:hint="eastAsia"/>
                <w:color w:val="000000"/>
                <w:sz w:val="32"/>
                <w:szCs w:val="32"/>
              </w:rPr>
              <w:t>。</w:t>
            </w:r>
          </w:p>
          <w:p w:rsidR="009A3F84" w:rsidRPr="009A3F84" w:rsidRDefault="009A3F84" w:rsidP="009A3F84">
            <w:pPr>
              <w:numPr>
                <w:ilvl w:val="0"/>
                <w:numId w:val="17"/>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下班或臨時離開辦公室時，應將公文收藏於辦公桌抽屜或公文櫃內並於必要時適時加鎖。</w:t>
            </w:r>
          </w:p>
          <w:p w:rsidR="009A3F84" w:rsidRPr="009A3F84" w:rsidRDefault="009A3F84" w:rsidP="009A3F84">
            <w:pPr>
              <w:numPr>
                <w:ilvl w:val="0"/>
                <w:numId w:val="17"/>
              </w:numPr>
              <w:spacing w:line="480" w:lineRule="exact"/>
              <w:jc w:val="both"/>
              <w:rPr>
                <w:rFonts w:ascii="標楷體" w:eastAsia="標楷體" w:hAnsi="標楷體" w:cs="Times New Roman"/>
                <w:color w:val="000000"/>
                <w:sz w:val="32"/>
                <w:szCs w:val="32"/>
              </w:rPr>
            </w:pPr>
            <w:r w:rsidRPr="009A3F84">
              <w:rPr>
                <w:rFonts w:ascii="標楷體" w:eastAsia="標楷體" w:hAnsi="標楷體" w:cs="Times New Roman" w:hint="eastAsia"/>
                <w:color w:val="000000"/>
                <w:sz w:val="32"/>
                <w:szCs w:val="32"/>
              </w:rPr>
              <w:t>廢棄之公文稿紙、影印紙、磁片、光碟等具機密(敏)性者，依規定澈底銷毀</w:t>
            </w:r>
            <w:r w:rsidRPr="009A3F84">
              <w:rPr>
                <w:rFonts w:ascii="新細明體" w:eastAsia="新細明體" w:hAnsi="新細明體" w:cs="Times New Roman" w:hint="eastAsia"/>
                <w:color w:val="000000"/>
                <w:sz w:val="32"/>
                <w:szCs w:val="32"/>
              </w:rPr>
              <w:t>。</w:t>
            </w:r>
          </w:p>
        </w:tc>
      </w:tr>
    </w:tbl>
    <w:p w:rsidR="009A3F84" w:rsidRPr="00183AD1" w:rsidRDefault="009A3F84" w:rsidP="00183AD1">
      <w:pPr>
        <w:spacing w:line="480" w:lineRule="exact"/>
        <w:rPr>
          <w:rFonts w:ascii="標楷體" w:eastAsia="標楷體" w:hAnsi="標楷體" w:cs="標楷體"/>
          <w:color w:val="000000"/>
          <w:sz w:val="32"/>
          <w:szCs w:val="32"/>
        </w:rPr>
      </w:pPr>
    </w:p>
    <w:sectPr w:rsidR="009A3F84" w:rsidRPr="00183AD1">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0F" w:rsidRDefault="00E7630F" w:rsidP="00D864E8">
      <w:r>
        <w:separator/>
      </w:r>
    </w:p>
  </w:endnote>
  <w:endnote w:type="continuationSeparator" w:id="0">
    <w:p w:rsidR="00E7630F" w:rsidRDefault="00E7630F" w:rsidP="00D8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華康行楷體W5(P)">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57142"/>
      <w:docPartObj>
        <w:docPartGallery w:val="Page Numbers (Bottom of Page)"/>
        <w:docPartUnique/>
      </w:docPartObj>
    </w:sdtPr>
    <w:sdtEndPr/>
    <w:sdtContent>
      <w:p w:rsidR="00026725" w:rsidRDefault="00026725">
        <w:pPr>
          <w:pStyle w:val="a5"/>
          <w:jc w:val="center"/>
        </w:pPr>
        <w:r>
          <w:fldChar w:fldCharType="begin"/>
        </w:r>
        <w:r>
          <w:instrText>PAGE   \* MERGEFORMAT</w:instrText>
        </w:r>
        <w:r>
          <w:fldChar w:fldCharType="separate"/>
        </w:r>
        <w:r w:rsidR="00E7630F" w:rsidRPr="00E7630F">
          <w:rPr>
            <w:noProof/>
            <w:lang w:val="zh-TW"/>
          </w:rPr>
          <w:t>1</w:t>
        </w:r>
        <w:r>
          <w:fldChar w:fldCharType="end"/>
        </w:r>
      </w:p>
    </w:sdtContent>
  </w:sdt>
  <w:p w:rsidR="00026725" w:rsidRDefault="00026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0F" w:rsidRDefault="00E7630F" w:rsidP="00D864E8">
      <w:r>
        <w:separator/>
      </w:r>
    </w:p>
  </w:footnote>
  <w:footnote w:type="continuationSeparator" w:id="0">
    <w:p w:rsidR="00E7630F" w:rsidRDefault="00E7630F" w:rsidP="00D864E8">
      <w:r>
        <w:continuationSeparator/>
      </w:r>
    </w:p>
  </w:footnote>
  <w:footnote w:id="1">
    <w:p w:rsidR="00B61884" w:rsidRDefault="00B61884">
      <w:pPr>
        <w:pStyle w:val="a7"/>
      </w:pPr>
      <w:r>
        <w:rPr>
          <w:rStyle w:val="a9"/>
        </w:rPr>
        <w:footnoteRef/>
      </w:r>
      <w:r>
        <w:t xml:space="preserve"> </w:t>
      </w:r>
      <w:r w:rsidRPr="00B61884">
        <w:t>https://www.facebook.com/legal.taiwan/photos/a.896631250394420/2338383982885799/?type=3</w:t>
      </w:r>
    </w:p>
  </w:footnote>
  <w:footnote w:id="2">
    <w:p w:rsidR="009A3F84" w:rsidRPr="00A67394" w:rsidRDefault="009A3F84" w:rsidP="009A3F84">
      <w:pPr>
        <w:pStyle w:val="a7"/>
      </w:pPr>
      <w:r>
        <w:rPr>
          <w:rStyle w:val="a9"/>
        </w:rPr>
        <w:footnoteRef/>
      </w:r>
      <w:r>
        <w:t xml:space="preserve"> </w:t>
      </w:r>
      <w:r w:rsidRPr="00073028">
        <w:t>https://tw.news.yahoo.com/%E6%B0%91%E7%9C%BE%E5%80%8B%E8%B3%87%E5%A4%96%E6%B5%81-%E5%85%AC%E6%96%87%E7%AB%9F%E8%A2%AB%E7%95%B6%E5%BB%A2%E7%B4%99%E5%8C%85%E8%94%AC%E6%9E%9C-083507711.html</w:t>
      </w:r>
    </w:p>
  </w:footnote>
  <w:footnote w:id="3">
    <w:p w:rsidR="009A3F84" w:rsidRDefault="009A3F84" w:rsidP="009A3F84">
      <w:pPr>
        <w:pStyle w:val="a7"/>
      </w:pPr>
      <w:r>
        <w:rPr>
          <w:rStyle w:val="a9"/>
        </w:rPr>
        <w:footnoteRef/>
      </w:r>
      <w:r>
        <w:t xml:space="preserve"> </w:t>
      </w:r>
      <w:r w:rsidRPr="00A67394">
        <w:t>https://today.line.me/tw/v2/article/nXNaQXg</w:t>
      </w:r>
    </w:p>
  </w:footnote>
  <w:footnote w:id="4">
    <w:p w:rsidR="009A3F84" w:rsidRDefault="009A3F84" w:rsidP="009A3F84">
      <w:pPr>
        <w:pStyle w:val="a7"/>
      </w:pPr>
      <w:r>
        <w:rPr>
          <w:rStyle w:val="a9"/>
        </w:rPr>
        <w:footnoteRef/>
      </w:r>
      <w:r>
        <w:t xml:space="preserve"> </w:t>
      </w:r>
      <w:r w:rsidRPr="00D40B52">
        <w:t>https://www.typc.mohw.gov.tw/?aid=312&amp;pid=66&amp;page_name=detail&amp;iid=75</w:t>
      </w:r>
    </w:p>
  </w:footnote>
  <w:footnote w:id="5">
    <w:p w:rsidR="009A3F84" w:rsidRDefault="009A3F84" w:rsidP="009A3F84">
      <w:pPr>
        <w:pStyle w:val="a7"/>
      </w:pPr>
      <w:r>
        <w:rPr>
          <w:rStyle w:val="a9"/>
        </w:rPr>
        <w:footnoteRef/>
      </w:r>
      <w:r>
        <w:t xml:space="preserve"> </w:t>
      </w:r>
      <w:r w:rsidRPr="00D40B52">
        <w:rPr>
          <w:rFonts w:ascii="標楷體" w:eastAsia="標楷體" w:hAnsi="標楷體" w:hint="eastAsia"/>
        </w:rPr>
        <w:t>同註4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B8F"/>
    <w:multiLevelType w:val="hybridMultilevel"/>
    <w:tmpl w:val="E7AC6BBA"/>
    <w:lvl w:ilvl="0" w:tplc="AB0EA9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1243B"/>
    <w:multiLevelType w:val="hybridMultilevel"/>
    <w:tmpl w:val="E1AC22A4"/>
    <w:lvl w:ilvl="0" w:tplc="A79CB218">
      <w:start w:val="1"/>
      <w:numFmt w:val="taiwaneseCountingThousand"/>
      <w:lvlText w:val="(%1)"/>
      <w:lvlJc w:val="left"/>
      <w:pPr>
        <w:ind w:left="920" w:hanging="76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2" w15:restartNumberingAfterBreak="0">
    <w:nsid w:val="0A0335C2"/>
    <w:multiLevelType w:val="hybridMultilevel"/>
    <w:tmpl w:val="21984454"/>
    <w:lvl w:ilvl="0" w:tplc="0D84FA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A09D1"/>
    <w:multiLevelType w:val="hybridMultilevel"/>
    <w:tmpl w:val="CB66A756"/>
    <w:lvl w:ilvl="0" w:tplc="6DB67B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72CE9"/>
    <w:multiLevelType w:val="hybridMultilevel"/>
    <w:tmpl w:val="6C28C346"/>
    <w:lvl w:ilvl="0" w:tplc="D04A4C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861ABB"/>
    <w:multiLevelType w:val="hybridMultilevel"/>
    <w:tmpl w:val="62469ADC"/>
    <w:lvl w:ilvl="0" w:tplc="48A0A57E">
      <w:start w:val="1"/>
      <w:numFmt w:val="taiwaneseCountingThousand"/>
      <w:lvlText w:val="(%1)"/>
      <w:lvlJc w:val="left"/>
      <w:pPr>
        <w:ind w:left="920" w:hanging="76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6" w15:restartNumberingAfterBreak="0">
    <w:nsid w:val="3355703B"/>
    <w:multiLevelType w:val="hybridMultilevel"/>
    <w:tmpl w:val="8EBE8750"/>
    <w:lvl w:ilvl="0" w:tplc="3EE656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FB0B7F"/>
    <w:multiLevelType w:val="hybridMultilevel"/>
    <w:tmpl w:val="DAAEDB18"/>
    <w:lvl w:ilvl="0" w:tplc="1D34A1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2D4393"/>
    <w:multiLevelType w:val="hybridMultilevel"/>
    <w:tmpl w:val="606EC9A6"/>
    <w:lvl w:ilvl="0" w:tplc="249A9A30">
      <w:start w:val="1"/>
      <w:numFmt w:val="ideographLegalTraditional"/>
      <w:lvlText w:val="%1、"/>
      <w:lvlJc w:val="left"/>
      <w:pPr>
        <w:ind w:left="9444" w:hanging="1080"/>
      </w:pPr>
      <w:rPr>
        <w:rFonts w:hint="default"/>
      </w:rPr>
    </w:lvl>
    <w:lvl w:ilvl="1" w:tplc="8166CE36">
      <w:start w:val="1"/>
      <w:numFmt w:val="taiwaneseCountingThousand"/>
      <w:lvlText w:val="%2、"/>
      <w:lvlJc w:val="left"/>
      <w:pPr>
        <w:ind w:left="11712" w:hanging="1080"/>
      </w:pPr>
      <w:rPr>
        <w:rFonts w:hint="default"/>
      </w:rPr>
    </w:lvl>
    <w:lvl w:ilvl="2" w:tplc="0409001B" w:tentative="1">
      <w:start w:val="1"/>
      <w:numFmt w:val="lowerRoman"/>
      <w:lvlText w:val="%3."/>
      <w:lvlJc w:val="right"/>
      <w:pPr>
        <w:ind w:left="9804" w:hanging="480"/>
      </w:pPr>
    </w:lvl>
    <w:lvl w:ilvl="3" w:tplc="0409000F" w:tentative="1">
      <w:start w:val="1"/>
      <w:numFmt w:val="decimal"/>
      <w:lvlText w:val="%4."/>
      <w:lvlJc w:val="left"/>
      <w:pPr>
        <w:ind w:left="10284" w:hanging="480"/>
      </w:pPr>
    </w:lvl>
    <w:lvl w:ilvl="4" w:tplc="04090019" w:tentative="1">
      <w:start w:val="1"/>
      <w:numFmt w:val="ideographTraditional"/>
      <w:lvlText w:val="%5、"/>
      <w:lvlJc w:val="left"/>
      <w:pPr>
        <w:ind w:left="10764" w:hanging="480"/>
      </w:pPr>
    </w:lvl>
    <w:lvl w:ilvl="5" w:tplc="0409001B" w:tentative="1">
      <w:start w:val="1"/>
      <w:numFmt w:val="lowerRoman"/>
      <w:lvlText w:val="%6."/>
      <w:lvlJc w:val="right"/>
      <w:pPr>
        <w:ind w:left="11244" w:hanging="480"/>
      </w:pPr>
    </w:lvl>
    <w:lvl w:ilvl="6" w:tplc="0409000F" w:tentative="1">
      <w:start w:val="1"/>
      <w:numFmt w:val="decimal"/>
      <w:lvlText w:val="%7."/>
      <w:lvlJc w:val="left"/>
      <w:pPr>
        <w:ind w:left="11724" w:hanging="480"/>
      </w:pPr>
    </w:lvl>
    <w:lvl w:ilvl="7" w:tplc="04090019" w:tentative="1">
      <w:start w:val="1"/>
      <w:numFmt w:val="ideographTraditional"/>
      <w:lvlText w:val="%8、"/>
      <w:lvlJc w:val="left"/>
      <w:pPr>
        <w:ind w:left="12204" w:hanging="480"/>
      </w:pPr>
    </w:lvl>
    <w:lvl w:ilvl="8" w:tplc="0409001B" w:tentative="1">
      <w:start w:val="1"/>
      <w:numFmt w:val="lowerRoman"/>
      <w:lvlText w:val="%9."/>
      <w:lvlJc w:val="right"/>
      <w:pPr>
        <w:ind w:left="12684" w:hanging="480"/>
      </w:pPr>
    </w:lvl>
  </w:abstractNum>
  <w:abstractNum w:abstractNumId="9" w15:restartNumberingAfterBreak="0">
    <w:nsid w:val="41CA3314"/>
    <w:multiLevelType w:val="hybridMultilevel"/>
    <w:tmpl w:val="08C24CD8"/>
    <w:lvl w:ilvl="0" w:tplc="012C3DA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1922F1"/>
    <w:multiLevelType w:val="hybridMultilevel"/>
    <w:tmpl w:val="7A06C86C"/>
    <w:lvl w:ilvl="0" w:tplc="32DA3DC8">
      <w:start w:val="1"/>
      <w:numFmt w:val="taiwaneseCountingThousand"/>
      <w:lvlText w:val="(%1)"/>
      <w:lvlJc w:val="left"/>
      <w:pPr>
        <w:ind w:left="960" w:hanging="80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1" w15:restartNumberingAfterBreak="0">
    <w:nsid w:val="49335FC1"/>
    <w:multiLevelType w:val="hybridMultilevel"/>
    <w:tmpl w:val="4E00C9EE"/>
    <w:lvl w:ilvl="0" w:tplc="3EE656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2A1D3C"/>
    <w:multiLevelType w:val="hybridMultilevel"/>
    <w:tmpl w:val="447496F8"/>
    <w:lvl w:ilvl="0" w:tplc="FE940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EE0F28"/>
    <w:multiLevelType w:val="hybridMultilevel"/>
    <w:tmpl w:val="60DC759E"/>
    <w:lvl w:ilvl="0" w:tplc="0D84FADC">
      <w:start w:val="1"/>
      <w:numFmt w:val="taiwaneseCountingThousand"/>
      <w:lvlText w:val="(%1)"/>
      <w:lvlJc w:val="left"/>
      <w:pPr>
        <w:ind w:left="880" w:hanging="720"/>
      </w:pPr>
      <w:rPr>
        <w:rFonts w:hint="default"/>
      </w:rPr>
    </w:lvl>
    <w:lvl w:ilvl="1" w:tplc="C304ECA6">
      <w:start w:val="1"/>
      <w:numFmt w:val="taiwaneseCountingThousand"/>
      <w:lvlText w:val="%2、"/>
      <w:lvlJc w:val="left"/>
      <w:pPr>
        <w:ind w:left="1360" w:hanging="720"/>
      </w:pPr>
      <w:rPr>
        <w:rFonts w:hint="default"/>
      </w:r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4" w15:restartNumberingAfterBreak="0">
    <w:nsid w:val="551D1378"/>
    <w:multiLevelType w:val="hybridMultilevel"/>
    <w:tmpl w:val="8EBE8750"/>
    <w:lvl w:ilvl="0" w:tplc="3EE656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C52FE1"/>
    <w:multiLevelType w:val="hybridMultilevel"/>
    <w:tmpl w:val="E52C85D2"/>
    <w:lvl w:ilvl="0" w:tplc="41EA04C8">
      <w:start w:val="1"/>
      <w:numFmt w:val="taiwaneseCountingThousand"/>
      <w:lvlText w:val="(%1)"/>
      <w:lvlJc w:val="left"/>
      <w:pPr>
        <w:ind w:left="920" w:hanging="76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6" w15:restartNumberingAfterBreak="0">
    <w:nsid w:val="627F6F33"/>
    <w:multiLevelType w:val="hybridMultilevel"/>
    <w:tmpl w:val="8EBE8750"/>
    <w:lvl w:ilvl="0" w:tplc="3EE656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3447DE"/>
    <w:multiLevelType w:val="hybridMultilevel"/>
    <w:tmpl w:val="447496F8"/>
    <w:lvl w:ilvl="0" w:tplc="FE940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023716"/>
    <w:multiLevelType w:val="hybridMultilevel"/>
    <w:tmpl w:val="58BEF5B2"/>
    <w:lvl w:ilvl="0" w:tplc="E8CECB72">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9" w15:restartNumberingAfterBreak="0">
    <w:nsid w:val="78034BE0"/>
    <w:multiLevelType w:val="hybridMultilevel"/>
    <w:tmpl w:val="F22E6A26"/>
    <w:lvl w:ilvl="0" w:tplc="F2AA0542">
      <w:start w:val="1"/>
      <w:numFmt w:val="taiwaneseCountingThousand"/>
      <w:lvlText w:val="(%1)"/>
      <w:lvlJc w:val="left"/>
      <w:pPr>
        <w:ind w:left="920" w:hanging="76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20" w15:restartNumberingAfterBreak="0">
    <w:nsid w:val="7CBC1E1C"/>
    <w:multiLevelType w:val="hybridMultilevel"/>
    <w:tmpl w:val="4E00C9EE"/>
    <w:lvl w:ilvl="0" w:tplc="3EE656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13"/>
  </w:num>
  <w:num w:numId="4">
    <w:abstractNumId w:val="9"/>
  </w:num>
  <w:num w:numId="5">
    <w:abstractNumId w:val="12"/>
  </w:num>
  <w:num w:numId="6">
    <w:abstractNumId w:val="1"/>
  </w:num>
  <w:num w:numId="7">
    <w:abstractNumId w:val="15"/>
  </w:num>
  <w:num w:numId="8">
    <w:abstractNumId w:val="10"/>
  </w:num>
  <w:num w:numId="9">
    <w:abstractNumId w:val="5"/>
  </w:num>
  <w:num w:numId="10">
    <w:abstractNumId w:val="19"/>
  </w:num>
  <w:num w:numId="11">
    <w:abstractNumId w:val="11"/>
  </w:num>
  <w:num w:numId="12">
    <w:abstractNumId w:val="18"/>
  </w:num>
  <w:num w:numId="13">
    <w:abstractNumId w:val="16"/>
  </w:num>
  <w:num w:numId="14">
    <w:abstractNumId w:val="2"/>
  </w:num>
  <w:num w:numId="15">
    <w:abstractNumId w:val="4"/>
  </w:num>
  <w:num w:numId="16">
    <w:abstractNumId w:val="17"/>
  </w:num>
  <w:num w:numId="17">
    <w:abstractNumId w:val="20"/>
  </w:num>
  <w:num w:numId="18">
    <w:abstractNumId w:val="7"/>
  </w:num>
  <w:num w:numId="19">
    <w:abstractNumId w:val="0"/>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B2"/>
    <w:rsid w:val="00026725"/>
    <w:rsid w:val="000F1FAD"/>
    <w:rsid w:val="00173A9E"/>
    <w:rsid w:val="00183AD1"/>
    <w:rsid w:val="003930B2"/>
    <w:rsid w:val="003A2508"/>
    <w:rsid w:val="006D5DBA"/>
    <w:rsid w:val="006F28CD"/>
    <w:rsid w:val="006F2ED9"/>
    <w:rsid w:val="007F3DA1"/>
    <w:rsid w:val="009A3F84"/>
    <w:rsid w:val="00B33011"/>
    <w:rsid w:val="00B61884"/>
    <w:rsid w:val="00B86321"/>
    <w:rsid w:val="00BD1F93"/>
    <w:rsid w:val="00CD2948"/>
    <w:rsid w:val="00D864E8"/>
    <w:rsid w:val="00DC1DB9"/>
    <w:rsid w:val="00DF1B2C"/>
    <w:rsid w:val="00E7630F"/>
    <w:rsid w:val="00E92D2D"/>
    <w:rsid w:val="00F578E8"/>
    <w:rsid w:val="00F73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2D6F3"/>
  <w15:chartTrackingRefBased/>
  <w15:docId w15:val="{051AAF2C-ACB0-4EF8-AB5C-7884E3F9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4E8"/>
    <w:pPr>
      <w:tabs>
        <w:tab w:val="center" w:pos="4153"/>
        <w:tab w:val="right" w:pos="8306"/>
      </w:tabs>
      <w:snapToGrid w:val="0"/>
    </w:pPr>
    <w:rPr>
      <w:sz w:val="20"/>
      <w:szCs w:val="20"/>
    </w:rPr>
  </w:style>
  <w:style w:type="character" w:customStyle="1" w:styleId="a4">
    <w:name w:val="頁首 字元"/>
    <w:basedOn w:val="a0"/>
    <w:link w:val="a3"/>
    <w:uiPriority w:val="99"/>
    <w:rsid w:val="00D864E8"/>
    <w:rPr>
      <w:sz w:val="20"/>
      <w:szCs w:val="20"/>
    </w:rPr>
  </w:style>
  <w:style w:type="paragraph" w:styleId="a5">
    <w:name w:val="footer"/>
    <w:basedOn w:val="a"/>
    <w:link w:val="a6"/>
    <w:uiPriority w:val="99"/>
    <w:unhideWhenUsed/>
    <w:rsid w:val="00D864E8"/>
    <w:pPr>
      <w:tabs>
        <w:tab w:val="center" w:pos="4153"/>
        <w:tab w:val="right" w:pos="8306"/>
      </w:tabs>
      <w:snapToGrid w:val="0"/>
    </w:pPr>
    <w:rPr>
      <w:sz w:val="20"/>
      <w:szCs w:val="20"/>
    </w:rPr>
  </w:style>
  <w:style w:type="character" w:customStyle="1" w:styleId="a6">
    <w:name w:val="頁尾 字元"/>
    <w:basedOn w:val="a0"/>
    <w:link w:val="a5"/>
    <w:uiPriority w:val="99"/>
    <w:rsid w:val="00D864E8"/>
    <w:rPr>
      <w:sz w:val="20"/>
      <w:szCs w:val="20"/>
    </w:rPr>
  </w:style>
  <w:style w:type="paragraph" w:styleId="a7">
    <w:name w:val="footnote text"/>
    <w:basedOn w:val="a"/>
    <w:link w:val="a8"/>
    <w:uiPriority w:val="99"/>
    <w:semiHidden/>
    <w:unhideWhenUsed/>
    <w:rsid w:val="00B61884"/>
    <w:pPr>
      <w:snapToGrid w:val="0"/>
    </w:pPr>
    <w:rPr>
      <w:sz w:val="20"/>
      <w:szCs w:val="20"/>
    </w:rPr>
  </w:style>
  <w:style w:type="character" w:customStyle="1" w:styleId="a8">
    <w:name w:val="註腳文字 字元"/>
    <w:basedOn w:val="a0"/>
    <w:link w:val="a7"/>
    <w:uiPriority w:val="99"/>
    <w:semiHidden/>
    <w:rsid w:val="00B61884"/>
    <w:rPr>
      <w:sz w:val="20"/>
      <w:szCs w:val="20"/>
    </w:rPr>
  </w:style>
  <w:style w:type="character" w:styleId="a9">
    <w:name w:val="footnote reference"/>
    <w:basedOn w:val="a0"/>
    <w:uiPriority w:val="99"/>
    <w:semiHidden/>
    <w:unhideWhenUsed/>
    <w:rsid w:val="00B61884"/>
    <w:rPr>
      <w:vertAlign w:val="superscript"/>
    </w:rPr>
  </w:style>
  <w:style w:type="paragraph" w:styleId="aa">
    <w:name w:val="List Paragraph"/>
    <w:basedOn w:val="a"/>
    <w:uiPriority w:val="34"/>
    <w:qFormat/>
    <w:rsid w:val="006F28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B11F-69AE-4BA8-A8C5-1271A57D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陳淑桂</dc:creator>
  <cp:keywords/>
  <dc:description/>
  <cp:lastModifiedBy>陳淑桂</cp:lastModifiedBy>
  <cp:revision>2</cp:revision>
  <dcterms:created xsi:type="dcterms:W3CDTF">2023-10-12T03:22:00Z</dcterms:created>
  <dcterms:modified xsi:type="dcterms:W3CDTF">2023-10-12T03:22:00Z</dcterms:modified>
</cp:coreProperties>
</file>