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2D3" w:rsidRPr="00B704CC" w:rsidRDefault="00C952D3" w:rsidP="00A276D5">
      <w:pPr>
        <w:spacing w:line="500" w:lineRule="exact"/>
        <w:jc w:val="center"/>
        <w:rPr>
          <w:rFonts w:ascii="標楷體" w:eastAsia="標楷體" w:hAnsi="標楷體"/>
          <w:b/>
          <w:color w:val="000000"/>
          <w:sz w:val="36"/>
          <w:szCs w:val="36"/>
        </w:rPr>
      </w:pPr>
      <w:r w:rsidRPr="00B704CC">
        <w:rPr>
          <w:rFonts w:ascii="標楷體" w:eastAsia="標楷體" w:hAnsi="標楷體" w:hint="eastAsia"/>
          <w:b/>
          <w:color w:val="000000"/>
          <w:sz w:val="36"/>
          <w:szCs w:val="36"/>
        </w:rPr>
        <w:t>臺南市政府採購申訴審議判斷書</w:t>
      </w:r>
      <w:bookmarkStart w:id="0" w:name="CaseNo"/>
      <w:bookmarkStart w:id="1" w:name="卷號"/>
      <w:bookmarkEnd w:id="0"/>
      <w:bookmarkEnd w:id="1"/>
      <w:r w:rsidRPr="00B704CC">
        <w:rPr>
          <w:rFonts w:ascii="標楷體" w:eastAsia="標楷體" w:hAnsi="標楷體" w:hint="eastAsia"/>
          <w:b/>
          <w:color w:val="000000"/>
          <w:sz w:val="36"/>
          <w:szCs w:val="36"/>
        </w:rPr>
        <w:t>【訴</w:t>
      </w:r>
      <w:r w:rsidR="00BF2E4F" w:rsidRPr="00B704CC">
        <w:rPr>
          <w:rFonts w:ascii="標楷體" w:eastAsia="標楷體" w:hAnsi="標楷體" w:hint="eastAsia"/>
          <w:b/>
          <w:color w:val="000000"/>
          <w:sz w:val="36"/>
          <w:szCs w:val="36"/>
        </w:rPr>
        <w:t>1030514-01</w:t>
      </w:r>
      <w:r w:rsidR="007A2BDE" w:rsidRPr="00B704CC">
        <w:rPr>
          <w:rFonts w:ascii="標楷體" w:eastAsia="標楷體" w:hAnsi="標楷體" w:hint="eastAsia"/>
          <w:b/>
          <w:color w:val="000000"/>
          <w:sz w:val="36"/>
          <w:szCs w:val="36"/>
        </w:rPr>
        <w:t>2</w:t>
      </w:r>
      <w:r w:rsidR="0004677E">
        <w:rPr>
          <w:rFonts w:ascii="標楷體" w:eastAsia="標楷體" w:hAnsi="標楷體" w:hint="eastAsia"/>
          <w:b/>
          <w:color w:val="000000"/>
          <w:sz w:val="36"/>
          <w:szCs w:val="36"/>
        </w:rPr>
        <w:t>號】</w:t>
      </w:r>
    </w:p>
    <w:p w:rsidR="00C952D3" w:rsidRPr="00612617" w:rsidRDefault="00C952D3">
      <w:pPr>
        <w:spacing w:line="500" w:lineRule="exact"/>
        <w:jc w:val="both"/>
        <w:rPr>
          <w:rFonts w:ascii="標楷體" w:eastAsia="標楷體" w:hAnsi="標楷體"/>
          <w:color w:val="000000"/>
          <w:sz w:val="28"/>
          <w:szCs w:val="28"/>
        </w:rPr>
      </w:pPr>
    </w:p>
    <w:p w:rsidR="00C952D3" w:rsidRPr="00612617" w:rsidRDefault="00C952D3" w:rsidP="00052F16">
      <w:pPr>
        <w:pStyle w:val="a3"/>
        <w:spacing w:line="500" w:lineRule="exact"/>
        <w:ind w:firstLineChars="100" w:firstLine="280"/>
        <w:jc w:val="both"/>
        <w:rPr>
          <w:rFonts w:ascii="標楷體" w:hAnsi="標楷體"/>
          <w:color w:val="000000"/>
          <w:sz w:val="28"/>
          <w:szCs w:val="28"/>
        </w:rPr>
      </w:pPr>
      <w:bookmarkStart w:id="2" w:name="man"/>
      <w:bookmarkStart w:id="3" w:name="案由"/>
      <w:bookmarkEnd w:id="2"/>
      <w:bookmarkEnd w:id="3"/>
      <w:r w:rsidRPr="00612617">
        <w:rPr>
          <w:rFonts w:ascii="標楷體" w:hAnsi="標楷體" w:hint="eastAsia"/>
          <w:color w:val="000000"/>
          <w:sz w:val="28"/>
          <w:szCs w:val="28"/>
        </w:rPr>
        <w:t>上列申訴廠商因不服招標機關就「</w:t>
      </w:r>
      <w:r w:rsidR="006950B5" w:rsidRPr="00612617">
        <w:rPr>
          <w:rFonts w:ascii="標楷體" w:hAnsi="標楷體" w:hint="eastAsia"/>
          <w:color w:val="000000"/>
          <w:sz w:val="28"/>
          <w:szCs w:val="28"/>
        </w:rPr>
        <w:t>『</w:t>
      </w:r>
      <w:r w:rsidR="001D72CA">
        <w:rPr>
          <w:rFonts w:cs="標楷體" w:hint="eastAsia"/>
          <w:color w:val="000000"/>
          <w:sz w:val="28"/>
          <w:szCs w:val="28"/>
        </w:rPr>
        <w:t>○○</w:t>
      </w:r>
      <w:r w:rsidR="006950B5" w:rsidRPr="00612617">
        <w:rPr>
          <w:rFonts w:ascii="標楷體" w:hAnsi="標楷體" w:hint="eastAsia"/>
          <w:color w:val="000000"/>
          <w:sz w:val="28"/>
          <w:szCs w:val="28"/>
        </w:rPr>
        <w:t>區</w:t>
      </w:r>
      <w:r w:rsidR="001D72CA">
        <w:rPr>
          <w:rFonts w:cs="標楷體" w:hint="eastAsia"/>
          <w:color w:val="000000"/>
          <w:sz w:val="28"/>
          <w:szCs w:val="28"/>
        </w:rPr>
        <w:t>○○</w:t>
      </w:r>
      <w:r w:rsidR="006950B5" w:rsidRPr="00612617">
        <w:rPr>
          <w:rFonts w:ascii="標楷體" w:hAnsi="標楷體" w:hint="eastAsia"/>
          <w:color w:val="000000"/>
          <w:sz w:val="28"/>
          <w:szCs w:val="28"/>
        </w:rPr>
        <w:t>溪及</w:t>
      </w:r>
      <w:r w:rsidR="001D72CA">
        <w:rPr>
          <w:rFonts w:cs="標楷體" w:hint="eastAsia"/>
          <w:color w:val="000000"/>
          <w:sz w:val="28"/>
          <w:szCs w:val="28"/>
        </w:rPr>
        <w:t>○○</w:t>
      </w:r>
      <w:r w:rsidR="006950B5" w:rsidRPr="00612617">
        <w:rPr>
          <w:rFonts w:ascii="標楷體" w:hAnsi="標楷體" w:hint="eastAsia"/>
          <w:color w:val="000000"/>
          <w:sz w:val="28"/>
          <w:szCs w:val="28"/>
        </w:rPr>
        <w:t>溪上游支線清淤』等五案</w:t>
      </w:r>
      <w:r w:rsidRPr="00612617">
        <w:rPr>
          <w:rFonts w:ascii="標楷體" w:hAnsi="標楷體" w:hint="eastAsia"/>
          <w:color w:val="000000"/>
          <w:sz w:val="28"/>
          <w:szCs w:val="28"/>
        </w:rPr>
        <w:t>」採購案所為之異議處理結果，向本府採購申訴審議委員會（以下簡稱本府申訴會）提出申訴，經本府申訴會10</w:t>
      </w:r>
      <w:r w:rsidR="006950B5" w:rsidRPr="00612617">
        <w:rPr>
          <w:rFonts w:ascii="標楷體" w:hAnsi="標楷體" w:hint="eastAsia"/>
          <w:color w:val="000000"/>
          <w:sz w:val="28"/>
          <w:szCs w:val="28"/>
        </w:rPr>
        <w:t>3</w:t>
      </w:r>
      <w:r w:rsidRPr="00612617">
        <w:rPr>
          <w:rFonts w:ascii="標楷體" w:hAnsi="標楷體" w:hint="eastAsia"/>
          <w:color w:val="000000"/>
          <w:sz w:val="28"/>
          <w:szCs w:val="28"/>
        </w:rPr>
        <w:t>年</w:t>
      </w:r>
      <w:r w:rsidR="00677F75">
        <w:rPr>
          <w:rFonts w:ascii="標楷體" w:hAnsi="標楷體" w:hint="eastAsia"/>
          <w:color w:val="000000"/>
          <w:sz w:val="28"/>
          <w:szCs w:val="28"/>
        </w:rPr>
        <w:t>8</w:t>
      </w:r>
      <w:r w:rsidRPr="00612617">
        <w:rPr>
          <w:rFonts w:ascii="標楷體" w:hAnsi="標楷體" w:hint="eastAsia"/>
          <w:color w:val="000000"/>
          <w:sz w:val="28"/>
          <w:szCs w:val="28"/>
        </w:rPr>
        <w:t>月</w:t>
      </w:r>
      <w:r w:rsidR="00677F75">
        <w:rPr>
          <w:rFonts w:ascii="標楷體" w:hAnsi="標楷體" w:hint="eastAsia"/>
          <w:color w:val="000000"/>
          <w:sz w:val="28"/>
          <w:szCs w:val="28"/>
        </w:rPr>
        <w:t>2</w:t>
      </w:r>
      <w:r w:rsidR="00264D4D">
        <w:rPr>
          <w:rFonts w:ascii="標楷體" w:hAnsi="標楷體" w:hint="eastAsia"/>
          <w:color w:val="000000"/>
          <w:sz w:val="28"/>
          <w:szCs w:val="28"/>
        </w:rPr>
        <w:t>9</w:t>
      </w:r>
      <w:r w:rsidRPr="00612617">
        <w:rPr>
          <w:rFonts w:ascii="標楷體" w:hAnsi="標楷體" w:hint="eastAsia"/>
          <w:color w:val="000000"/>
          <w:sz w:val="28"/>
          <w:szCs w:val="28"/>
        </w:rPr>
        <w:t>日第</w:t>
      </w:r>
      <w:r w:rsidR="00677F75">
        <w:rPr>
          <w:rFonts w:ascii="標楷體" w:hAnsi="標楷體" w:hint="eastAsia"/>
          <w:color w:val="000000"/>
          <w:sz w:val="28"/>
          <w:szCs w:val="28"/>
        </w:rPr>
        <w:t>23</w:t>
      </w:r>
      <w:r w:rsidRPr="00612617">
        <w:rPr>
          <w:rFonts w:ascii="標楷體" w:hAnsi="標楷體" w:hint="eastAsia"/>
          <w:color w:val="000000"/>
          <w:sz w:val="28"/>
          <w:szCs w:val="28"/>
        </w:rPr>
        <w:t>次委員會議審議判斷如下：</w:t>
      </w:r>
    </w:p>
    <w:p w:rsidR="00C952D3" w:rsidRPr="00612617" w:rsidRDefault="00C952D3" w:rsidP="00052F16">
      <w:pPr>
        <w:pStyle w:val="a3"/>
        <w:spacing w:line="500" w:lineRule="exact"/>
        <w:ind w:firstLineChars="100" w:firstLine="280"/>
        <w:jc w:val="both"/>
        <w:rPr>
          <w:rFonts w:ascii="標楷體" w:hAnsi="標楷體"/>
          <w:color w:val="000000"/>
          <w:sz w:val="28"/>
          <w:szCs w:val="28"/>
        </w:rPr>
      </w:pPr>
    </w:p>
    <w:p w:rsidR="00C952D3" w:rsidRPr="00612617" w:rsidRDefault="00C952D3" w:rsidP="00052F16">
      <w:pPr>
        <w:pStyle w:val="a3"/>
        <w:spacing w:line="500" w:lineRule="exact"/>
        <w:ind w:firstLineChars="400" w:firstLine="1121"/>
        <w:jc w:val="both"/>
        <w:rPr>
          <w:rFonts w:ascii="標楷體" w:hAnsi="標楷體"/>
          <w:color w:val="000000"/>
          <w:sz w:val="28"/>
          <w:szCs w:val="28"/>
        </w:rPr>
      </w:pPr>
      <w:r w:rsidRPr="00612617">
        <w:rPr>
          <w:rFonts w:ascii="標楷體" w:hAnsi="標楷體" w:hint="eastAsia"/>
          <w:b/>
          <w:color w:val="000000"/>
          <w:sz w:val="28"/>
          <w:szCs w:val="28"/>
        </w:rPr>
        <w:t>主文</w:t>
      </w:r>
    </w:p>
    <w:p w:rsidR="00C952D3" w:rsidRPr="00612617" w:rsidRDefault="00183936">
      <w:pPr>
        <w:snapToGrid w:val="0"/>
        <w:spacing w:line="500" w:lineRule="exact"/>
        <w:jc w:val="both"/>
        <w:textDirection w:val="lrTbV"/>
        <w:rPr>
          <w:rFonts w:ascii="標楷體" w:eastAsia="標楷體" w:hAnsi="標楷體"/>
          <w:color w:val="000000"/>
          <w:sz w:val="28"/>
          <w:szCs w:val="28"/>
        </w:rPr>
      </w:pPr>
      <w:bookmarkStart w:id="4" w:name="主文"/>
      <w:bookmarkEnd w:id="4"/>
      <w:r w:rsidRPr="00612617">
        <w:rPr>
          <w:rFonts w:ascii="標楷體" w:eastAsia="標楷體" w:hAnsi="標楷體" w:hint="eastAsia"/>
          <w:color w:val="000000"/>
          <w:sz w:val="28"/>
          <w:szCs w:val="28"/>
        </w:rPr>
        <w:t>申</w:t>
      </w:r>
      <w:r w:rsidR="00C952D3" w:rsidRPr="00612617">
        <w:rPr>
          <w:rFonts w:ascii="標楷體" w:eastAsia="標楷體" w:hAnsi="標楷體" w:hint="eastAsia"/>
          <w:color w:val="000000"/>
          <w:sz w:val="28"/>
          <w:szCs w:val="28"/>
        </w:rPr>
        <w:t>訴駁回。</w:t>
      </w:r>
    </w:p>
    <w:p w:rsidR="00C952D3" w:rsidRPr="00612617" w:rsidRDefault="00C952D3">
      <w:pPr>
        <w:snapToGrid w:val="0"/>
        <w:spacing w:line="500" w:lineRule="exact"/>
        <w:jc w:val="both"/>
        <w:textDirection w:val="lrTbV"/>
        <w:rPr>
          <w:rFonts w:ascii="標楷體" w:eastAsia="標楷體" w:hAnsi="標楷體"/>
          <w:color w:val="000000"/>
          <w:sz w:val="28"/>
          <w:szCs w:val="28"/>
          <w:bdr w:val="single" w:sz="4" w:space="0" w:color="auto"/>
        </w:rPr>
      </w:pPr>
    </w:p>
    <w:p w:rsidR="00C952D3" w:rsidRPr="00612617" w:rsidRDefault="00C952D3" w:rsidP="00052F16">
      <w:pPr>
        <w:pStyle w:val="a4"/>
        <w:spacing w:line="500" w:lineRule="exact"/>
        <w:ind w:firstLineChars="400" w:firstLine="1121"/>
        <w:jc w:val="both"/>
        <w:rPr>
          <w:rFonts w:ascii="標楷體" w:hAnsi="標楷體"/>
          <w:b/>
          <w:color w:val="000000"/>
          <w:sz w:val="28"/>
          <w:szCs w:val="28"/>
        </w:rPr>
      </w:pPr>
      <w:r w:rsidRPr="00612617">
        <w:rPr>
          <w:rFonts w:ascii="標楷體" w:hAnsi="標楷體" w:hint="eastAsia"/>
          <w:b/>
          <w:color w:val="000000"/>
          <w:sz w:val="28"/>
          <w:szCs w:val="28"/>
        </w:rPr>
        <w:t>事實</w:t>
      </w:r>
    </w:p>
    <w:p w:rsidR="000636CF" w:rsidRDefault="000636CF" w:rsidP="000636CF">
      <w:pPr>
        <w:pStyle w:val="ab"/>
        <w:ind w:firstLineChars="100" w:firstLine="280"/>
      </w:pPr>
      <w:r>
        <w:rPr>
          <w:rFonts w:hint="eastAsia"/>
        </w:rPr>
        <w:t>緣申訴廠商</w:t>
      </w:r>
      <w:r w:rsidR="001D72CA">
        <w:rPr>
          <w:rFonts w:cs="標楷體" w:hint="eastAsia"/>
          <w:szCs w:val="28"/>
        </w:rPr>
        <w:t>○○</w:t>
      </w:r>
      <w:r>
        <w:rPr>
          <w:rFonts w:cs="標楷體" w:hint="eastAsia"/>
          <w:szCs w:val="28"/>
        </w:rPr>
        <w:t>土木包工業</w:t>
      </w:r>
      <w:r>
        <w:rPr>
          <w:rFonts w:hint="eastAsia"/>
        </w:rPr>
        <w:t>參與</w:t>
      </w:r>
      <w:r>
        <w:rPr>
          <w:rFonts w:ascii="Times New Roman" w:hAnsi="Times New Roman" w:hint="eastAsia"/>
        </w:rPr>
        <w:t>招標機關辦理之「</w:t>
      </w:r>
      <w:r>
        <w:rPr>
          <w:rFonts w:hint="eastAsia"/>
        </w:rPr>
        <w:t>『</w:t>
      </w:r>
      <w:r w:rsidR="001D72CA">
        <w:rPr>
          <w:rFonts w:cs="標楷體" w:hint="eastAsia"/>
          <w:szCs w:val="28"/>
        </w:rPr>
        <w:t>○○</w:t>
      </w:r>
      <w:r>
        <w:rPr>
          <w:rFonts w:hint="eastAsia"/>
        </w:rPr>
        <w:t>區</w:t>
      </w:r>
      <w:r w:rsidR="001D72CA">
        <w:rPr>
          <w:rFonts w:cs="標楷體" w:hint="eastAsia"/>
          <w:szCs w:val="28"/>
        </w:rPr>
        <w:t>○○</w:t>
      </w:r>
      <w:r>
        <w:rPr>
          <w:rFonts w:hint="eastAsia"/>
        </w:rPr>
        <w:t>溪及</w:t>
      </w:r>
      <w:r w:rsidR="001D72CA">
        <w:rPr>
          <w:rFonts w:cs="標楷體" w:hint="eastAsia"/>
          <w:szCs w:val="28"/>
        </w:rPr>
        <w:t>○○</w:t>
      </w:r>
      <w:r>
        <w:rPr>
          <w:rFonts w:hint="eastAsia"/>
        </w:rPr>
        <w:t>溪上游支線清淤』</w:t>
      </w:r>
      <w:r w:rsidRPr="006950B5">
        <w:rPr>
          <w:rFonts w:hint="eastAsia"/>
        </w:rPr>
        <w:t>等五案</w:t>
      </w:r>
      <w:r>
        <w:rPr>
          <w:rFonts w:ascii="Times New Roman" w:hAnsi="Times New Roman" w:hint="eastAsia"/>
        </w:rPr>
        <w:t>」採購案</w:t>
      </w:r>
      <w:r>
        <w:rPr>
          <w:rFonts w:ascii="Times New Roman" w:hAnsi="Times New Roman" w:hint="eastAsia"/>
        </w:rPr>
        <w:t>(</w:t>
      </w:r>
      <w:r>
        <w:rPr>
          <w:rFonts w:ascii="Times New Roman" w:hAnsi="Times New Roman" w:hint="eastAsia"/>
        </w:rPr>
        <w:t>下稱系爭採購案</w:t>
      </w:r>
      <w:r>
        <w:rPr>
          <w:rFonts w:ascii="Times New Roman" w:hAnsi="Times New Roman" w:hint="eastAsia"/>
        </w:rPr>
        <w:t>)</w:t>
      </w:r>
      <w:r>
        <w:rPr>
          <w:rFonts w:ascii="Times New Roman" w:hAnsi="Times New Roman" w:hint="eastAsia"/>
        </w:rPr>
        <w:t>，其係容許</w:t>
      </w:r>
      <w:r w:rsidR="001D72CA">
        <w:rPr>
          <w:rFonts w:cs="標楷體" w:hint="eastAsia"/>
          <w:szCs w:val="28"/>
        </w:rPr>
        <w:t>○○</w:t>
      </w:r>
      <w:r w:rsidRPr="00612617">
        <w:rPr>
          <w:rFonts w:cs="標楷體" w:hint="eastAsia"/>
          <w:szCs w:val="28"/>
        </w:rPr>
        <w:t>土木包工業</w:t>
      </w:r>
      <w:r>
        <w:rPr>
          <w:rFonts w:cs="標楷體" w:hint="eastAsia"/>
          <w:szCs w:val="28"/>
        </w:rPr>
        <w:t>以其名義參與投標，而</w:t>
      </w:r>
      <w:r w:rsidR="00711819">
        <w:rPr>
          <w:rFonts w:cs="標楷體" w:hint="eastAsia"/>
          <w:szCs w:val="28"/>
        </w:rPr>
        <w:t>有政府採購法（下稱本法）第87條第5項後段容許他人借用本人名義及證件投標之情事，經</w:t>
      </w:r>
      <w:r w:rsidR="00711819" w:rsidRPr="00612617">
        <w:rPr>
          <w:rFonts w:hint="eastAsia"/>
          <w:kern w:val="0"/>
          <w:szCs w:val="28"/>
        </w:rPr>
        <w:t>台灣臺南地方法院檢察署檢察官為緩起訴處分在案，後經招標機關</w:t>
      </w:r>
      <w:r w:rsidR="001D72CA">
        <w:rPr>
          <w:rFonts w:cs="標楷體" w:hint="eastAsia"/>
          <w:szCs w:val="28"/>
        </w:rPr>
        <w:t>○○</w:t>
      </w:r>
      <w:r w:rsidR="00711819" w:rsidRPr="00612617">
        <w:rPr>
          <w:rFonts w:hint="eastAsia"/>
          <w:kern w:val="0"/>
          <w:szCs w:val="28"/>
        </w:rPr>
        <w:t>區公所依該緩起訴處分之內容，認定申訴廠商違反政府採購法第101條第1項第1款之情形，通知申訴廠商為停權之處分</w:t>
      </w:r>
      <w:r w:rsidR="00711819">
        <w:rPr>
          <w:rFonts w:hint="eastAsia"/>
          <w:kern w:val="0"/>
          <w:szCs w:val="28"/>
        </w:rPr>
        <w:t>。</w:t>
      </w:r>
      <w:r w:rsidR="00711819">
        <w:rPr>
          <w:rFonts w:ascii="Times New Roman" w:hAnsi="Times New Roman" w:hint="eastAsia"/>
        </w:rPr>
        <w:t>申訴廠商</w:t>
      </w:r>
      <w:r>
        <w:rPr>
          <w:rFonts w:ascii="Times New Roman" w:hAnsi="Times New Roman" w:hint="eastAsia"/>
        </w:rPr>
        <w:t>不服，</w:t>
      </w:r>
      <w:r>
        <w:rPr>
          <w:rFonts w:hint="eastAsia"/>
        </w:rPr>
        <w:t>向招標機關提出異議，復不服招標機關異議處理結果，遂向本會申訴，並據招標機關陳述意見到會。</w:t>
      </w:r>
    </w:p>
    <w:p w:rsidR="00C952D3" w:rsidRPr="00612617" w:rsidRDefault="00C952D3" w:rsidP="00052F16">
      <w:pPr>
        <w:pStyle w:val="ab"/>
        <w:ind w:firstLineChars="100" w:firstLine="280"/>
        <w:rPr>
          <w:szCs w:val="28"/>
        </w:rPr>
      </w:pPr>
    </w:p>
    <w:p w:rsidR="00C952D3" w:rsidRPr="00612617" w:rsidRDefault="00C952D3">
      <w:pPr>
        <w:spacing w:line="500" w:lineRule="exact"/>
        <w:jc w:val="both"/>
        <w:rPr>
          <w:rFonts w:ascii="標楷體" w:eastAsia="標楷體" w:hAnsi="標楷體"/>
          <w:b/>
          <w:color w:val="000000"/>
          <w:sz w:val="28"/>
          <w:szCs w:val="28"/>
        </w:rPr>
      </w:pPr>
      <w:r w:rsidRPr="00612617">
        <w:rPr>
          <w:rFonts w:ascii="標楷體" w:eastAsia="標楷體" w:hAnsi="標楷體" w:hint="eastAsia"/>
          <w:b/>
          <w:color w:val="000000"/>
          <w:sz w:val="28"/>
          <w:szCs w:val="28"/>
        </w:rPr>
        <w:t>□申訴廠商申訴意旨</w:t>
      </w:r>
    </w:p>
    <w:p w:rsidR="00C952D3" w:rsidRPr="00612617" w:rsidRDefault="00C952D3" w:rsidP="00052F16">
      <w:pPr>
        <w:spacing w:line="500" w:lineRule="exact"/>
        <w:ind w:firstLineChars="200" w:firstLine="560"/>
        <w:jc w:val="both"/>
        <w:rPr>
          <w:rFonts w:ascii="標楷體" w:eastAsia="標楷體" w:hAnsi="標楷體"/>
          <w:bCs/>
          <w:color w:val="000000"/>
          <w:sz w:val="28"/>
          <w:szCs w:val="28"/>
        </w:rPr>
      </w:pPr>
      <w:r w:rsidRPr="00612617">
        <w:rPr>
          <w:rFonts w:ascii="標楷體" w:eastAsia="標楷體" w:hAnsi="標楷體" w:hint="eastAsia"/>
          <w:bCs/>
          <w:color w:val="000000"/>
          <w:sz w:val="28"/>
          <w:szCs w:val="28"/>
        </w:rPr>
        <w:t>請求</w:t>
      </w:r>
    </w:p>
    <w:p w:rsidR="009F57EE" w:rsidRPr="00612617" w:rsidRDefault="009F57EE" w:rsidP="000023CD">
      <w:pPr>
        <w:spacing w:line="420" w:lineRule="exact"/>
        <w:ind w:right="-17"/>
        <w:rPr>
          <w:rFonts w:ascii="標楷體" w:eastAsia="標楷體" w:hAnsi="標楷體"/>
          <w:color w:val="000000"/>
          <w:sz w:val="28"/>
          <w:szCs w:val="28"/>
        </w:rPr>
      </w:pPr>
      <w:r w:rsidRPr="00612617">
        <w:rPr>
          <w:rFonts w:ascii="標楷體" w:eastAsia="標楷體" w:hAnsi="標楷體" w:hint="eastAsia"/>
          <w:color w:val="000000"/>
          <w:sz w:val="28"/>
          <w:szCs w:val="28"/>
        </w:rPr>
        <w:t>原異議處理結果撤銷。</w:t>
      </w:r>
    </w:p>
    <w:p w:rsidR="00C952D3" w:rsidRPr="00612617" w:rsidRDefault="00C952D3" w:rsidP="00052F16">
      <w:pPr>
        <w:spacing w:line="500" w:lineRule="exact"/>
        <w:ind w:firstLineChars="200" w:firstLine="560"/>
        <w:jc w:val="both"/>
        <w:rPr>
          <w:rFonts w:ascii="標楷體" w:eastAsia="標楷體" w:hAnsi="標楷體"/>
          <w:bCs/>
          <w:color w:val="000000"/>
          <w:sz w:val="28"/>
          <w:szCs w:val="28"/>
        </w:rPr>
      </w:pPr>
      <w:r w:rsidRPr="00612617">
        <w:rPr>
          <w:rFonts w:ascii="標楷體" w:eastAsia="標楷體" w:hAnsi="標楷體" w:hint="eastAsia"/>
          <w:bCs/>
          <w:color w:val="000000"/>
          <w:sz w:val="28"/>
          <w:szCs w:val="28"/>
        </w:rPr>
        <w:t>事實</w:t>
      </w:r>
      <w:r w:rsidR="00090C4D" w:rsidRPr="00612617">
        <w:rPr>
          <w:rFonts w:ascii="標楷體" w:eastAsia="標楷體" w:hAnsi="標楷體" w:hint="eastAsia"/>
          <w:bCs/>
          <w:color w:val="000000"/>
          <w:sz w:val="28"/>
          <w:szCs w:val="28"/>
        </w:rPr>
        <w:t>及理由</w:t>
      </w:r>
    </w:p>
    <w:p w:rsidR="00637E15" w:rsidRPr="00612617" w:rsidRDefault="00637E15" w:rsidP="00637E15">
      <w:pPr>
        <w:numPr>
          <w:ilvl w:val="0"/>
          <w:numId w:val="14"/>
        </w:numPr>
        <w:snapToGrid w:val="0"/>
        <w:spacing w:line="480" w:lineRule="exact"/>
        <w:ind w:left="567" w:hanging="567"/>
        <w:rPr>
          <w:rFonts w:ascii="標楷體" w:eastAsia="標楷體" w:hAnsi="標楷體"/>
          <w:color w:val="000000"/>
          <w:sz w:val="28"/>
          <w:szCs w:val="28"/>
        </w:rPr>
      </w:pPr>
      <w:r w:rsidRPr="00612617">
        <w:rPr>
          <w:rFonts w:ascii="標楷體" w:eastAsia="標楷體" w:hAnsi="標楷體" w:hint="eastAsia"/>
          <w:color w:val="000000"/>
          <w:sz w:val="28"/>
          <w:szCs w:val="28"/>
        </w:rPr>
        <w:t>依政府採購法第101條第1項固規定「機關辦理採購，發現廠商有下列情形之一，應將其事實及理由通知廠商，並附記如未提出異議者，將刊登政府採購公報：『一容許他人借用本人名義或證件參加投標者。…六犯第87條至第92條之罪，經第一審為有罪判決者。』」，而依同法第87條「強迫投標廠商違反本意之處罰」第5項後段規定：「…容許他人借用本人名義</w:t>
      </w:r>
      <w:r w:rsidRPr="00612617">
        <w:rPr>
          <w:rFonts w:ascii="標楷體" w:eastAsia="標楷體" w:hAnsi="標楷體" w:hint="eastAsia"/>
          <w:color w:val="000000"/>
          <w:sz w:val="28"/>
          <w:szCs w:val="28"/>
        </w:rPr>
        <w:lastRenderedPageBreak/>
        <w:t>或證件參加投標者，亦同。」是政府機關遇到「容許他人借用本人名義或證件參加投標者」，究應依政府採購法第101條第1項第1款或同條項第6款「…經第一審為有罪判決者」之規定：「應將其事實及理由通知廠商，並附記如未提出異議者，將刊登政府採購公報」？其間究應如何適用法律已生疑義！何況，本案未經第一審法院為有罪判決（只經檢察官緩起訴），而臺南市</w:t>
      </w:r>
      <w:r w:rsidR="001D72CA">
        <w:rPr>
          <w:rFonts w:cs="標楷體" w:hint="eastAsia"/>
          <w:color w:val="000000"/>
          <w:sz w:val="28"/>
          <w:szCs w:val="28"/>
        </w:rPr>
        <w:t>○○</w:t>
      </w:r>
      <w:r w:rsidRPr="00612617">
        <w:rPr>
          <w:rFonts w:ascii="標楷體" w:eastAsia="標楷體" w:hAnsi="標楷體" w:hint="eastAsia"/>
          <w:color w:val="000000"/>
          <w:sz w:val="28"/>
          <w:szCs w:val="28"/>
        </w:rPr>
        <w:t>區公所竟對申訴人率依政府採購法第101條第1項第1款遽為「刊登政府採購公報」之處理，其適用法律顯有不當，申訴人因而表明異議，不料臺南市</w:t>
      </w:r>
      <w:r w:rsidR="001D72CA">
        <w:rPr>
          <w:rFonts w:cs="標楷體" w:hint="eastAsia"/>
          <w:color w:val="000000"/>
          <w:sz w:val="28"/>
          <w:szCs w:val="28"/>
        </w:rPr>
        <w:t>○○</w:t>
      </w:r>
      <w:r w:rsidRPr="00612617">
        <w:rPr>
          <w:rFonts w:ascii="標楷體" w:eastAsia="標楷體" w:hAnsi="標楷體" w:hint="eastAsia"/>
          <w:color w:val="000000"/>
          <w:sz w:val="28"/>
          <w:szCs w:val="28"/>
        </w:rPr>
        <w:t>區公所不為所動，仍認其將申訴人刊登政府採購公報符合法令規定，實令申訴人難以甘服。</w:t>
      </w:r>
    </w:p>
    <w:p w:rsidR="00637E15" w:rsidRPr="00612617" w:rsidRDefault="00637E15" w:rsidP="00637E15">
      <w:pPr>
        <w:numPr>
          <w:ilvl w:val="0"/>
          <w:numId w:val="14"/>
        </w:numPr>
        <w:tabs>
          <w:tab w:val="left" w:pos="567"/>
        </w:tabs>
        <w:snapToGrid w:val="0"/>
        <w:spacing w:line="480" w:lineRule="exact"/>
        <w:ind w:left="567" w:hanging="567"/>
        <w:rPr>
          <w:rFonts w:ascii="標楷體" w:eastAsia="標楷體" w:hAnsi="標楷體"/>
          <w:color w:val="000000"/>
          <w:sz w:val="28"/>
          <w:szCs w:val="28"/>
        </w:rPr>
      </w:pPr>
      <w:r w:rsidRPr="00612617">
        <w:rPr>
          <w:rFonts w:ascii="標楷體" w:eastAsia="標楷體" w:hAnsi="標楷體" w:hint="eastAsia"/>
          <w:color w:val="000000"/>
          <w:sz w:val="28"/>
          <w:szCs w:val="28"/>
        </w:rPr>
        <w:t>依臺灣臺南地方法院檢察署檢察官緩起訴處分書（如申證三）理由三：「…被告林</w:t>
      </w:r>
      <w:r w:rsidR="001D72CA">
        <w:rPr>
          <w:rFonts w:cs="標楷體" w:hint="eastAsia"/>
          <w:color w:val="000000"/>
          <w:sz w:val="28"/>
          <w:szCs w:val="28"/>
        </w:rPr>
        <w:t>○○</w:t>
      </w:r>
      <w:r w:rsidRPr="00612617">
        <w:rPr>
          <w:rFonts w:ascii="標楷體" w:eastAsia="標楷體" w:hAnsi="標楷體" w:hint="eastAsia"/>
          <w:color w:val="000000"/>
          <w:sz w:val="28"/>
          <w:szCs w:val="28"/>
        </w:rPr>
        <w:t>所為係違反同法第87條第5項後段之容許他人借用本人名義及投標罪；被告</w:t>
      </w:r>
      <w:r w:rsidR="001D72CA">
        <w:rPr>
          <w:rFonts w:cs="標楷體" w:hint="eastAsia"/>
          <w:color w:val="000000"/>
          <w:sz w:val="28"/>
          <w:szCs w:val="28"/>
        </w:rPr>
        <w:t>○○</w:t>
      </w:r>
      <w:r w:rsidRPr="00612617">
        <w:rPr>
          <w:rFonts w:ascii="標楷體" w:eastAsia="標楷體" w:hAnsi="標楷體" w:hint="eastAsia"/>
          <w:color w:val="000000"/>
          <w:sz w:val="28"/>
          <w:szCs w:val="28"/>
        </w:rPr>
        <w:t>土木包工業、</w:t>
      </w:r>
      <w:r w:rsidR="001D72CA">
        <w:rPr>
          <w:rFonts w:cs="標楷體" w:hint="eastAsia"/>
          <w:color w:val="000000"/>
          <w:sz w:val="28"/>
          <w:szCs w:val="28"/>
        </w:rPr>
        <w:t>○○</w:t>
      </w:r>
      <w:r w:rsidRPr="00612617">
        <w:rPr>
          <w:rFonts w:ascii="標楷體" w:eastAsia="標楷體" w:hAnsi="標楷體" w:hint="eastAsia"/>
          <w:color w:val="000000"/>
          <w:sz w:val="28"/>
          <w:szCs w:val="28"/>
        </w:rPr>
        <w:t>土木包工業則均應依同法第92條規定，科以同法第87條第5項之罰金刑。…」及同一緩起訴處分書理由四：「…被告林</w:t>
      </w:r>
      <w:r w:rsidR="001D72CA">
        <w:rPr>
          <w:rFonts w:cs="標楷體" w:hint="eastAsia"/>
          <w:color w:val="000000"/>
          <w:sz w:val="28"/>
          <w:szCs w:val="28"/>
        </w:rPr>
        <w:t>○○</w:t>
      </w:r>
      <w:r w:rsidRPr="00612617">
        <w:rPr>
          <w:rFonts w:ascii="標楷體" w:eastAsia="標楷體" w:hAnsi="標楷體" w:hint="eastAsia"/>
          <w:color w:val="000000"/>
          <w:sz w:val="28"/>
          <w:szCs w:val="28"/>
        </w:rPr>
        <w:t>、</w:t>
      </w:r>
      <w:r w:rsidR="001D72CA">
        <w:rPr>
          <w:rFonts w:cs="標楷體" w:hint="eastAsia"/>
          <w:color w:val="000000"/>
          <w:sz w:val="28"/>
          <w:szCs w:val="28"/>
        </w:rPr>
        <w:t>○○</w:t>
      </w:r>
      <w:r w:rsidRPr="00612617">
        <w:rPr>
          <w:rFonts w:ascii="標楷體" w:eastAsia="標楷體" w:hAnsi="標楷體" w:hint="eastAsia"/>
          <w:color w:val="000000"/>
          <w:sz w:val="28"/>
          <w:szCs w:val="28"/>
        </w:rPr>
        <w:t>土木包工業、</w:t>
      </w:r>
      <w:r w:rsidR="001D72CA">
        <w:rPr>
          <w:rFonts w:cs="標楷體" w:hint="eastAsia"/>
          <w:color w:val="000000"/>
          <w:sz w:val="28"/>
          <w:szCs w:val="28"/>
        </w:rPr>
        <w:t>○○</w:t>
      </w:r>
      <w:r w:rsidRPr="00612617">
        <w:rPr>
          <w:rFonts w:ascii="標楷體" w:eastAsia="標楷體" w:hAnsi="標楷體" w:hint="eastAsia"/>
          <w:color w:val="000000"/>
          <w:sz w:val="28"/>
          <w:szCs w:val="28"/>
        </w:rPr>
        <w:t>土木包工業緩起訴期間為1年。…」上列緩起訴處分並已確定，申訴人也依檢察官之執行通知執行完畢結案。</w:t>
      </w:r>
    </w:p>
    <w:p w:rsidR="008420A9" w:rsidRPr="00612617" w:rsidRDefault="00637E15" w:rsidP="00637E15">
      <w:pPr>
        <w:numPr>
          <w:ilvl w:val="0"/>
          <w:numId w:val="14"/>
        </w:numPr>
        <w:snapToGrid w:val="0"/>
        <w:spacing w:line="480" w:lineRule="exact"/>
        <w:ind w:left="567" w:right="-17" w:hanging="567"/>
        <w:jc w:val="both"/>
        <w:rPr>
          <w:rFonts w:ascii="標楷體" w:eastAsia="標楷體" w:hAnsi="標楷體"/>
          <w:color w:val="000000"/>
          <w:sz w:val="28"/>
          <w:szCs w:val="28"/>
        </w:rPr>
      </w:pPr>
      <w:r w:rsidRPr="00612617">
        <w:rPr>
          <w:rFonts w:ascii="標楷體" w:eastAsia="標楷體" w:hAnsi="標楷體" w:hint="eastAsia"/>
          <w:color w:val="000000"/>
          <w:sz w:val="28"/>
          <w:szCs w:val="28"/>
        </w:rPr>
        <w:t>綜上所陳，本案申訴人已受多重處罰：（一）依緩起訴處分，已向檢察署指定之公益團體、地方自治團體各支付1萬元。（二）被追繳押標金5萬元。…等等，是申訴人經此教訓，已知警惕，不會再犯；今如再受「刊登政府採購公報」之處罰，不但商譽受損，影響權益更大。如此多重處罰（一事多罰、一罪數罰），顯然有失公平，不符比例原則。為此，乃特提出申訴書</w:t>
      </w:r>
      <w:r w:rsidR="00B91E44" w:rsidRPr="00612617">
        <w:rPr>
          <w:rFonts w:ascii="標楷體" w:eastAsia="標楷體" w:hAnsi="標楷體" w:hint="eastAsia"/>
          <w:color w:val="000000"/>
          <w:sz w:val="28"/>
          <w:szCs w:val="28"/>
        </w:rPr>
        <w:t>。</w:t>
      </w:r>
    </w:p>
    <w:p w:rsidR="009F5B3D" w:rsidRPr="00612617" w:rsidRDefault="009F5B3D" w:rsidP="00052F16">
      <w:pPr>
        <w:pStyle w:val="a5"/>
        <w:ind w:leftChars="1" w:left="675" w:hangingChars="240" w:hanging="673"/>
        <w:rPr>
          <w:rFonts w:ascii="標楷體" w:hAnsi="標楷體"/>
          <w:b/>
          <w:color w:val="000000"/>
          <w:sz w:val="28"/>
          <w:szCs w:val="28"/>
        </w:rPr>
      </w:pPr>
    </w:p>
    <w:p w:rsidR="00C952D3" w:rsidRPr="00612617" w:rsidRDefault="00C952D3" w:rsidP="00052F16">
      <w:pPr>
        <w:pStyle w:val="a5"/>
        <w:ind w:leftChars="1" w:left="675" w:hangingChars="240" w:hanging="673"/>
        <w:rPr>
          <w:rFonts w:ascii="標楷體" w:hAnsi="標楷體"/>
          <w:b/>
          <w:color w:val="000000"/>
          <w:sz w:val="28"/>
          <w:szCs w:val="28"/>
        </w:rPr>
      </w:pPr>
      <w:r w:rsidRPr="00612617">
        <w:rPr>
          <w:rFonts w:ascii="標楷體" w:hAnsi="標楷體" w:hint="eastAsia"/>
          <w:b/>
          <w:color w:val="000000"/>
          <w:sz w:val="28"/>
          <w:szCs w:val="28"/>
        </w:rPr>
        <w:t>□招標機關陳述意旨</w:t>
      </w:r>
    </w:p>
    <w:p w:rsidR="005E11B8" w:rsidRPr="00612617" w:rsidRDefault="004E159A" w:rsidP="00097162">
      <w:pPr>
        <w:pStyle w:val="ad"/>
        <w:spacing w:line="480" w:lineRule="exact"/>
        <w:ind w:leftChars="0" w:left="0"/>
        <w:rPr>
          <w:rFonts w:ascii="標楷體" w:eastAsia="標楷體" w:hAnsi="標楷體"/>
          <w:b/>
          <w:color w:val="000000"/>
          <w:sz w:val="28"/>
          <w:szCs w:val="28"/>
        </w:rPr>
      </w:pPr>
      <w:r w:rsidRPr="00612617">
        <w:rPr>
          <w:rFonts w:ascii="標楷體" w:eastAsia="標楷體" w:hAnsi="標楷體" w:hint="eastAsia"/>
          <w:b/>
          <w:color w:val="000000"/>
          <w:sz w:val="28"/>
          <w:szCs w:val="28"/>
        </w:rPr>
        <w:t xml:space="preserve">   </w:t>
      </w:r>
      <w:r w:rsidR="005E7908" w:rsidRPr="00612617">
        <w:rPr>
          <w:rFonts w:ascii="標楷體" w:eastAsia="標楷體" w:hAnsi="標楷體" w:hint="eastAsia"/>
          <w:b/>
          <w:color w:val="000000"/>
          <w:sz w:val="28"/>
          <w:szCs w:val="28"/>
        </w:rPr>
        <w:t xml:space="preserve"> </w:t>
      </w:r>
    </w:p>
    <w:p w:rsidR="009F5B3D" w:rsidRPr="00612617" w:rsidRDefault="00612617" w:rsidP="00612617">
      <w:pPr>
        <w:snapToGrid w:val="0"/>
        <w:spacing w:line="480" w:lineRule="exact"/>
        <w:ind w:left="566" w:right="-17" w:hangingChars="202" w:hanging="566"/>
        <w:rPr>
          <w:rFonts w:ascii="標楷體" w:eastAsia="標楷體" w:hAnsi="標楷體"/>
          <w:color w:val="000000"/>
          <w:sz w:val="28"/>
          <w:szCs w:val="28"/>
        </w:rPr>
      </w:pPr>
      <w:r>
        <w:rPr>
          <w:rFonts w:ascii="標楷體" w:eastAsia="標楷體" w:hAnsi="標楷體" w:hint="eastAsia"/>
          <w:color w:val="000000"/>
          <w:sz w:val="28"/>
          <w:szCs w:val="28"/>
        </w:rPr>
        <w:t>一、</w:t>
      </w:r>
      <w:r w:rsidR="008B1AAD" w:rsidRPr="00612617">
        <w:rPr>
          <w:rFonts w:ascii="標楷體" w:eastAsia="標楷體" w:hAnsi="標楷體" w:hint="eastAsia"/>
          <w:color w:val="000000"/>
          <w:sz w:val="28"/>
          <w:szCs w:val="28"/>
        </w:rPr>
        <w:t>本案申訴廠商因違反政府採購法第87條第5項後段之容許他人借用本人名義或證件參加投標罪，業經102年度偵字第</w:t>
      </w:r>
      <w:r w:rsidR="001D72CA">
        <w:rPr>
          <w:rFonts w:cs="標楷體" w:hint="eastAsia"/>
          <w:color w:val="000000"/>
          <w:sz w:val="28"/>
          <w:szCs w:val="28"/>
        </w:rPr>
        <w:t>○○</w:t>
      </w:r>
      <w:r w:rsidR="008B1AAD" w:rsidRPr="00612617">
        <w:rPr>
          <w:rFonts w:ascii="標楷體" w:eastAsia="標楷體" w:hAnsi="標楷體" w:hint="eastAsia"/>
          <w:color w:val="000000"/>
          <w:sz w:val="28"/>
          <w:szCs w:val="28"/>
        </w:rPr>
        <w:t>號臺灣臺南地方法院檢察署檢察官參酌刑法第57條科以緩起訴處分在案</w:t>
      </w:r>
      <w:r w:rsidR="009F5B3D" w:rsidRPr="00612617">
        <w:rPr>
          <w:rFonts w:ascii="標楷體" w:eastAsia="標楷體" w:hAnsi="標楷體" w:hint="eastAsia"/>
          <w:color w:val="000000"/>
          <w:sz w:val="28"/>
          <w:szCs w:val="28"/>
        </w:rPr>
        <w:t>。</w:t>
      </w:r>
    </w:p>
    <w:p w:rsidR="009F5B3D" w:rsidRPr="00612617" w:rsidRDefault="00612617" w:rsidP="00612617">
      <w:pPr>
        <w:snapToGrid w:val="0"/>
        <w:spacing w:line="480" w:lineRule="exact"/>
        <w:ind w:left="566" w:right="-17" w:hangingChars="202" w:hanging="566"/>
        <w:rPr>
          <w:rFonts w:ascii="標楷體" w:eastAsia="標楷體" w:hAnsi="標楷體"/>
          <w:color w:val="000000"/>
          <w:sz w:val="28"/>
          <w:szCs w:val="28"/>
        </w:rPr>
      </w:pPr>
      <w:r>
        <w:rPr>
          <w:rFonts w:ascii="標楷體" w:eastAsia="標楷體" w:hAnsi="標楷體" w:hint="eastAsia"/>
          <w:color w:val="000000"/>
          <w:sz w:val="28"/>
          <w:szCs w:val="28"/>
        </w:rPr>
        <w:t>二、</w:t>
      </w:r>
      <w:r w:rsidR="008B1AAD" w:rsidRPr="00612617">
        <w:rPr>
          <w:rFonts w:ascii="標楷體" w:eastAsia="標楷體" w:hAnsi="標楷體" w:hint="eastAsia"/>
          <w:color w:val="000000"/>
          <w:sz w:val="28"/>
          <w:szCs w:val="28"/>
        </w:rPr>
        <w:t>依政府採購法第101條第1項第1款之規定容許他人借用本人名義或證件參加投標者，應刊登政府採購公報。復依行政院公共工程委員93年12月10日工程企字第09300460910號函說明二，按政府政府採購法第101條第</w:t>
      </w:r>
      <w:r w:rsidR="008B1AAD" w:rsidRPr="00612617">
        <w:rPr>
          <w:rFonts w:ascii="標楷體" w:eastAsia="標楷體" w:hAnsi="標楷體" w:hint="eastAsia"/>
          <w:color w:val="000000"/>
          <w:sz w:val="28"/>
          <w:szCs w:val="28"/>
        </w:rPr>
        <w:lastRenderedPageBreak/>
        <w:t>1項第1款或第2款情形，並未以司法機關起訴或判決為要件</w:t>
      </w:r>
      <w:r w:rsidR="009F5B3D" w:rsidRPr="00612617">
        <w:rPr>
          <w:rFonts w:ascii="標楷體" w:eastAsia="標楷體" w:hAnsi="標楷體" w:hint="eastAsia"/>
          <w:color w:val="000000"/>
          <w:sz w:val="28"/>
          <w:szCs w:val="28"/>
        </w:rPr>
        <w:t>。</w:t>
      </w:r>
    </w:p>
    <w:p w:rsidR="009F5B3D" w:rsidRPr="00612617" w:rsidRDefault="009F5B3D" w:rsidP="00052F16">
      <w:pPr>
        <w:pStyle w:val="a6"/>
        <w:tabs>
          <w:tab w:val="left" w:pos="1276"/>
        </w:tabs>
        <w:spacing w:line="500" w:lineRule="exact"/>
        <w:ind w:firstLineChars="228" w:firstLine="639"/>
        <w:jc w:val="both"/>
        <w:rPr>
          <w:rFonts w:hAnsi="標楷體"/>
          <w:b/>
          <w:color w:val="000000"/>
          <w:sz w:val="28"/>
          <w:szCs w:val="28"/>
        </w:rPr>
      </w:pPr>
    </w:p>
    <w:p w:rsidR="00C952D3" w:rsidRPr="00612617" w:rsidRDefault="004E159A" w:rsidP="00052F16">
      <w:pPr>
        <w:pStyle w:val="a6"/>
        <w:tabs>
          <w:tab w:val="left" w:pos="1276"/>
        </w:tabs>
        <w:spacing w:line="500" w:lineRule="exact"/>
        <w:ind w:firstLineChars="228" w:firstLine="639"/>
        <w:jc w:val="both"/>
        <w:rPr>
          <w:rFonts w:hAnsi="標楷體"/>
          <w:b/>
          <w:color w:val="000000"/>
          <w:sz w:val="28"/>
          <w:szCs w:val="28"/>
        </w:rPr>
      </w:pPr>
      <w:r w:rsidRPr="00612617">
        <w:rPr>
          <w:rFonts w:hAnsi="標楷體" w:hint="eastAsia"/>
          <w:b/>
          <w:color w:val="000000"/>
          <w:sz w:val="28"/>
          <w:szCs w:val="28"/>
        </w:rPr>
        <w:t xml:space="preserve">    </w:t>
      </w:r>
      <w:r w:rsidR="00C952D3" w:rsidRPr="00612617">
        <w:rPr>
          <w:rFonts w:hAnsi="標楷體" w:hint="eastAsia"/>
          <w:b/>
          <w:color w:val="000000"/>
          <w:sz w:val="28"/>
          <w:szCs w:val="28"/>
        </w:rPr>
        <w:t>判斷理由</w:t>
      </w:r>
    </w:p>
    <w:p w:rsidR="00052F16" w:rsidRPr="00612617" w:rsidRDefault="00612617" w:rsidP="00787D9E">
      <w:pPr>
        <w:pStyle w:val="a6"/>
        <w:widowControl/>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566" w:hangingChars="202" w:hanging="566"/>
        <w:jc w:val="both"/>
        <w:rPr>
          <w:rFonts w:hAnsi="標楷體"/>
          <w:color w:val="000000"/>
          <w:sz w:val="28"/>
          <w:szCs w:val="28"/>
        </w:rPr>
      </w:pPr>
      <w:r>
        <w:rPr>
          <w:rFonts w:hAnsi="標楷體" w:hint="eastAsia"/>
          <w:color w:val="000000"/>
          <w:sz w:val="28"/>
          <w:szCs w:val="28"/>
        </w:rPr>
        <w:t>一、</w:t>
      </w:r>
      <w:r w:rsidR="00F7656D" w:rsidRPr="00612617">
        <w:rPr>
          <w:rFonts w:hAnsi="標楷體" w:hint="eastAsia"/>
          <w:color w:val="000000"/>
          <w:sz w:val="28"/>
          <w:szCs w:val="28"/>
        </w:rPr>
        <w:t>本件</w:t>
      </w:r>
      <w:r w:rsidR="00D01AF6" w:rsidRPr="00612617">
        <w:rPr>
          <w:rFonts w:hAnsi="標楷體" w:hint="eastAsia"/>
          <w:color w:val="000000"/>
          <w:kern w:val="0"/>
          <w:sz w:val="28"/>
          <w:szCs w:val="28"/>
        </w:rPr>
        <w:t>申訴廠商因違反政府採購法第87條第5</w:t>
      </w:r>
      <w:r w:rsidR="0092082B" w:rsidRPr="00612617">
        <w:rPr>
          <w:rFonts w:hAnsi="標楷體" w:hint="eastAsia"/>
          <w:color w:val="000000"/>
          <w:kern w:val="0"/>
          <w:sz w:val="28"/>
          <w:szCs w:val="28"/>
        </w:rPr>
        <w:t>項後段</w:t>
      </w:r>
      <w:r w:rsidR="00C7417E" w:rsidRPr="00612617">
        <w:rPr>
          <w:rFonts w:hAnsi="標楷體" w:hint="eastAsia"/>
          <w:color w:val="000000"/>
          <w:kern w:val="0"/>
          <w:sz w:val="28"/>
          <w:szCs w:val="28"/>
        </w:rPr>
        <w:t>之規定</w:t>
      </w:r>
      <w:r w:rsidR="0092082B" w:rsidRPr="00612617">
        <w:rPr>
          <w:rFonts w:hAnsi="標楷體" w:hint="eastAsia"/>
          <w:color w:val="000000"/>
          <w:kern w:val="0"/>
          <w:sz w:val="28"/>
          <w:szCs w:val="28"/>
        </w:rPr>
        <w:t>，</w:t>
      </w:r>
      <w:r w:rsidR="00C7417E" w:rsidRPr="00612617">
        <w:rPr>
          <w:rFonts w:hAnsi="標楷體" w:hint="eastAsia"/>
          <w:color w:val="000000"/>
          <w:kern w:val="0"/>
          <w:sz w:val="28"/>
          <w:szCs w:val="28"/>
        </w:rPr>
        <w:t>觸犯</w:t>
      </w:r>
      <w:r w:rsidR="0092082B" w:rsidRPr="00612617">
        <w:rPr>
          <w:rFonts w:hAnsi="標楷體" w:hint="eastAsia"/>
          <w:color w:val="000000"/>
          <w:kern w:val="0"/>
          <w:sz w:val="28"/>
          <w:szCs w:val="28"/>
        </w:rPr>
        <w:t>容許他人名義及證件投標罪，而為台灣臺南地方法院檢察署檢察</w:t>
      </w:r>
      <w:r w:rsidR="00D01AF6" w:rsidRPr="00612617">
        <w:rPr>
          <w:rFonts w:hAnsi="標楷體" w:hint="eastAsia"/>
          <w:color w:val="000000"/>
          <w:kern w:val="0"/>
          <w:sz w:val="28"/>
          <w:szCs w:val="28"/>
        </w:rPr>
        <w:t>官為緩起訴處分</w:t>
      </w:r>
      <w:r w:rsidR="0092082B" w:rsidRPr="00612617">
        <w:rPr>
          <w:rFonts w:hAnsi="標楷體" w:hint="eastAsia"/>
          <w:color w:val="000000"/>
          <w:kern w:val="0"/>
          <w:sz w:val="28"/>
          <w:szCs w:val="28"/>
        </w:rPr>
        <w:t>(下稱台南地檢署緩起訴處分)</w:t>
      </w:r>
      <w:r w:rsidR="00D01AF6" w:rsidRPr="00612617">
        <w:rPr>
          <w:rFonts w:hAnsi="標楷體" w:hint="eastAsia"/>
          <w:color w:val="000000"/>
          <w:kern w:val="0"/>
          <w:sz w:val="28"/>
          <w:szCs w:val="28"/>
        </w:rPr>
        <w:t>在案，後經</w:t>
      </w:r>
      <w:r w:rsidR="0092082B" w:rsidRPr="00612617">
        <w:rPr>
          <w:rFonts w:hAnsi="標楷體" w:hint="eastAsia"/>
          <w:color w:val="000000"/>
          <w:kern w:val="0"/>
          <w:sz w:val="28"/>
          <w:szCs w:val="28"/>
        </w:rPr>
        <w:t>招標機關</w:t>
      </w:r>
      <w:r w:rsidR="001D72CA">
        <w:rPr>
          <w:rFonts w:cs="標楷體" w:hint="eastAsia"/>
          <w:color w:val="000000"/>
          <w:sz w:val="28"/>
          <w:szCs w:val="28"/>
        </w:rPr>
        <w:t>○○</w:t>
      </w:r>
      <w:r w:rsidR="00D01AF6" w:rsidRPr="00612617">
        <w:rPr>
          <w:rFonts w:hAnsi="標楷體" w:hint="eastAsia"/>
          <w:color w:val="000000"/>
          <w:kern w:val="0"/>
          <w:sz w:val="28"/>
          <w:szCs w:val="28"/>
        </w:rPr>
        <w:t>區公所依該緩起訴</w:t>
      </w:r>
      <w:r w:rsidR="0092082B" w:rsidRPr="00612617">
        <w:rPr>
          <w:rFonts w:hAnsi="標楷體" w:hint="eastAsia"/>
          <w:color w:val="000000"/>
          <w:kern w:val="0"/>
          <w:sz w:val="28"/>
          <w:szCs w:val="28"/>
        </w:rPr>
        <w:t>處分</w:t>
      </w:r>
      <w:r w:rsidR="00D01AF6" w:rsidRPr="00612617">
        <w:rPr>
          <w:rFonts w:hAnsi="標楷體" w:hint="eastAsia"/>
          <w:color w:val="000000"/>
          <w:kern w:val="0"/>
          <w:sz w:val="28"/>
          <w:szCs w:val="28"/>
        </w:rPr>
        <w:t>之內容，認定申訴廠商違反</w:t>
      </w:r>
      <w:r w:rsidR="0092082B" w:rsidRPr="00612617">
        <w:rPr>
          <w:rFonts w:hAnsi="標楷體" w:hint="eastAsia"/>
          <w:color w:val="000000"/>
          <w:kern w:val="0"/>
          <w:sz w:val="28"/>
          <w:szCs w:val="28"/>
        </w:rPr>
        <w:t>政府</w:t>
      </w:r>
      <w:r w:rsidR="00D01AF6" w:rsidRPr="00612617">
        <w:rPr>
          <w:rFonts w:hAnsi="標楷體" w:hint="eastAsia"/>
          <w:color w:val="000000"/>
          <w:kern w:val="0"/>
          <w:sz w:val="28"/>
          <w:szCs w:val="28"/>
        </w:rPr>
        <w:t>採購法第101條第1項第1</w:t>
      </w:r>
      <w:r w:rsidR="0092082B" w:rsidRPr="00612617">
        <w:rPr>
          <w:rFonts w:hAnsi="標楷體" w:hint="eastAsia"/>
          <w:color w:val="000000"/>
          <w:kern w:val="0"/>
          <w:sz w:val="28"/>
          <w:szCs w:val="28"/>
        </w:rPr>
        <w:t>款之情形，通知</w:t>
      </w:r>
      <w:r w:rsidR="00D01AF6" w:rsidRPr="00612617">
        <w:rPr>
          <w:rFonts w:hAnsi="標楷體" w:hint="eastAsia"/>
          <w:color w:val="000000"/>
          <w:kern w:val="0"/>
          <w:sz w:val="28"/>
          <w:szCs w:val="28"/>
        </w:rPr>
        <w:t>申訴廠商為停權之處分，</w:t>
      </w:r>
      <w:r w:rsidR="0092082B" w:rsidRPr="00612617">
        <w:rPr>
          <w:rFonts w:hAnsi="標楷體" w:hint="eastAsia"/>
          <w:color w:val="000000"/>
          <w:kern w:val="0"/>
          <w:sz w:val="28"/>
          <w:szCs w:val="28"/>
        </w:rPr>
        <w:t>雙方對上揭事實並不爭執。</w:t>
      </w:r>
    </w:p>
    <w:p w:rsidR="000B79FA" w:rsidRDefault="00612617" w:rsidP="000B79FA">
      <w:pPr>
        <w:pStyle w:val="a6"/>
        <w:widowControl/>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566" w:hangingChars="202" w:hanging="566"/>
        <w:jc w:val="both"/>
        <w:rPr>
          <w:rFonts w:hAnsi="標楷體"/>
          <w:color w:val="000000"/>
          <w:sz w:val="28"/>
          <w:szCs w:val="28"/>
        </w:rPr>
      </w:pPr>
      <w:r>
        <w:rPr>
          <w:rFonts w:hAnsi="標楷體" w:hint="eastAsia"/>
          <w:color w:val="000000"/>
          <w:kern w:val="0"/>
          <w:sz w:val="28"/>
          <w:szCs w:val="28"/>
        </w:rPr>
        <w:t>二、</w:t>
      </w:r>
      <w:r w:rsidR="00C7417E" w:rsidRPr="00612617">
        <w:rPr>
          <w:rFonts w:hAnsi="標楷體" w:hint="eastAsia"/>
          <w:color w:val="000000"/>
          <w:kern w:val="0"/>
          <w:sz w:val="28"/>
          <w:szCs w:val="28"/>
        </w:rPr>
        <w:t>查</w:t>
      </w:r>
      <w:r w:rsidR="0092082B" w:rsidRPr="00612617">
        <w:rPr>
          <w:rFonts w:hAnsi="標楷體" w:hint="eastAsia"/>
          <w:color w:val="000000"/>
          <w:kern w:val="0"/>
          <w:sz w:val="28"/>
          <w:szCs w:val="28"/>
        </w:rPr>
        <w:t>本件申訴主要</w:t>
      </w:r>
      <w:r w:rsidR="0092082B" w:rsidRPr="00612617">
        <w:rPr>
          <w:rFonts w:hAnsi="標楷體" w:hint="eastAsia"/>
          <w:color w:val="000000"/>
          <w:sz w:val="28"/>
          <w:szCs w:val="28"/>
        </w:rPr>
        <w:t>爭點在於，</w:t>
      </w:r>
      <w:r w:rsidR="00C7417E" w:rsidRPr="00612617">
        <w:rPr>
          <w:rFonts w:hAnsi="標楷體" w:hint="eastAsia"/>
          <w:color w:val="000000"/>
          <w:kern w:val="0"/>
          <w:sz w:val="28"/>
          <w:szCs w:val="28"/>
        </w:rPr>
        <w:t>申訴廠商因涉犯</w:t>
      </w:r>
      <w:r w:rsidR="0092082B" w:rsidRPr="00612617">
        <w:rPr>
          <w:rFonts w:hAnsi="標楷體" w:hint="eastAsia"/>
          <w:color w:val="000000"/>
          <w:kern w:val="0"/>
          <w:sz w:val="28"/>
          <w:szCs w:val="28"/>
        </w:rPr>
        <w:t>政府採購法第87條第5項後段之罪</w:t>
      </w:r>
      <w:r w:rsidR="00C7417E" w:rsidRPr="00612617">
        <w:rPr>
          <w:rFonts w:hAnsi="標楷體" w:hint="eastAsia"/>
          <w:color w:val="000000"/>
          <w:kern w:val="0"/>
          <w:sz w:val="28"/>
          <w:szCs w:val="28"/>
        </w:rPr>
        <w:t>且</w:t>
      </w:r>
      <w:r w:rsidR="0092082B" w:rsidRPr="00612617">
        <w:rPr>
          <w:rFonts w:hAnsi="標楷體" w:hint="eastAsia"/>
          <w:color w:val="000000"/>
          <w:kern w:val="0"/>
          <w:sz w:val="28"/>
          <w:szCs w:val="28"/>
        </w:rPr>
        <w:t>業經</w:t>
      </w:r>
      <w:r w:rsidR="00C7417E" w:rsidRPr="00612617">
        <w:rPr>
          <w:rFonts w:hAnsi="標楷體" w:hint="eastAsia"/>
          <w:color w:val="000000"/>
          <w:kern w:val="0"/>
          <w:sz w:val="28"/>
          <w:szCs w:val="28"/>
        </w:rPr>
        <w:t>台南地檢署緩起訴處分</w:t>
      </w:r>
      <w:r w:rsidR="0092082B" w:rsidRPr="00612617">
        <w:rPr>
          <w:rFonts w:hAnsi="標楷體" w:hint="eastAsia"/>
          <w:color w:val="000000"/>
          <w:kern w:val="0"/>
          <w:sz w:val="28"/>
          <w:szCs w:val="28"/>
        </w:rPr>
        <w:t>確定，招標機關仍依政府採購法第101條第1項第1款規定通知申訴廠商為停權處分，</w:t>
      </w:r>
      <w:r w:rsidR="0092082B" w:rsidRPr="00612617">
        <w:rPr>
          <w:rFonts w:hAnsi="標楷體" w:hint="eastAsia"/>
          <w:color w:val="000000"/>
          <w:sz w:val="28"/>
          <w:szCs w:val="28"/>
        </w:rPr>
        <w:t>是否違背</w:t>
      </w:r>
      <w:r w:rsidR="00D01AF6" w:rsidRPr="00612617">
        <w:rPr>
          <w:rFonts w:hAnsi="標楷體" w:hint="eastAsia"/>
          <w:color w:val="000000"/>
          <w:kern w:val="0"/>
          <w:sz w:val="28"/>
          <w:szCs w:val="28"/>
        </w:rPr>
        <w:t>一事不二罰，</w:t>
      </w:r>
      <w:r w:rsidR="0092082B" w:rsidRPr="00612617">
        <w:rPr>
          <w:rFonts w:hAnsi="標楷體" w:hint="eastAsia"/>
          <w:color w:val="000000"/>
          <w:kern w:val="0"/>
          <w:sz w:val="28"/>
          <w:szCs w:val="28"/>
        </w:rPr>
        <w:t>或有</w:t>
      </w:r>
      <w:r w:rsidR="00C7417E" w:rsidRPr="00612617">
        <w:rPr>
          <w:rFonts w:hAnsi="標楷體" w:hint="eastAsia"/>
          <w:color w:val="000000"/>
          <w:kern w:val="0"/>
          <w:sz w:val="28"/>
          <w:szCs w:val="28"/>
        </w:rPr>
        <w:t>失公平，或</w:t>
      </w:r>
      <w:r w:rsidR="0092082B" w:rsidRPr="00612617">
        <w:rPr>
          <w:rFonts w:hAnsi="標楷體" w:hint="eastAsia"/>
          <w:color w:val="000000"/>
          <w:kern w:val="0"/>
          <w:sz w:val="28"/>
          <w:szCs w:val="28"/>
        </w:rPr>
        <w:t>違比例原則</w:t>
      </w:r>
      <w:r w:rsidR="0059011F" w:rsidRPr="00612617">
        <w:rPr>
          <w:rFonts w:hAnsi="標楷體" w:hint="eastAsia"/>
          <w:color w:val="000000"/>
          <w:sz w:val="28"/>
          <w:szCs w:val="28"/>
        </w:rPr>
        <w:t>。</w:t>
      </w:r>
      <w:r w:rsidR="0092082B" w:rsidRPr="00612617">
        <w:rPr>
          <w:rFonts w:hAnsi="標楷體" w:hint="eastAsia"/>
          <w:color w:val="000000"/>
          <w:sz w:val="28"/>
          <w:szCs w:val="28"/>
        </w:rPr>
        <w:t>茲分述申訴審議判斷理由如下：</w:t>
      </w:r>
    </w:p>
    <w:p w:rsidR="00FE52E8" w:rsidRPr="000B79FA" w:rsidRDefault="00612617" w:rsidP="00787D9E">
      <w:pPr>
        <w:pStyle w:val="a6"/>
        <w:widowControl/>
        <w:tabs>
          <w:tab w:val="left" w:pos="426"/>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line="500" w:lineRule="exact"/>
        <w:ind w:left="848" w:hangingChars="303" w:hanging="848"/>
        <w:jc w:val="both"/>
        <w:rPr>
          <w:rFonts w:hAnsi="標楷體"/>
          <w:color w:val="000000"/>
          <w:sz w:val="28"/>
          <w:szCs w:val="28"/>
        </w:rPr>
      </w:pPr>
      <w:r>
        <w:rPr>
          <w:rFonts w:hAnsi="標楷體" w:cs="細明體" w:hint="eastAsia"/>
          <w:color w:val="000000"/>
          <w:kern w:val="0"/>
          <w:sz w:val="28"/>
          <w:szCs w:val="28"/>
        </w:rPr>
        <w:t>（一）</w:t>
      </w:r>
      <w:r w:rsidR="0092082B" w:rsidRPr="00612617">
        <w:rPr>
          <w:rFonts w:hAnsi="標楷體" w:cs="細明體" w:hint="eastAsia"/>
          <w:color w:val="000000"/>
          <w:kern w:val="0"/>
          <w:sz w:val="28"/>
          <w:szCs w:val="28"/>
        </w:rPr>
        <w:t>按「機關辦理採購，發現廠商有下列情形之一，應將其事實及理由通知廠商，並附記如未提出異議者，將刊登政府採購公報：一</w:t>
      </w:r>
      <w:r w:rsidR="00787D9E">
        <w:rPr>
          <w:rFonts w:hAnsi="標楷體" w:cs="細明體" w:hint="eastAsia"/>
          <w:color w:val="000000"/>
          <w:kern w:val="0"/>
          <w:sz w:val="28"/>
          <w:szCs w:val="28"/>
        </w:rPr>
        <w:t>、</w:t>
      </w:r>
      <w:r w:rsidR="0092082B" w:rsidRPr="00612617">
        <w:rPr>
          <w:rFonts w:hAnsi="標楷體" w:cs="細明體" w:hint="eastAsia"/>
          <w:color w:val="000000"/>
          <w:kern w:val="0"/>
          <w:sz w:val="28"/>
          <w:szCs w:val="28"/>
        </w:rPr>
        <w:t>容許他人借用本人名義或證件參加投標者…。」「依前條第3項規定刊登於政府採購公報之廠商，於下列期間內，不得參加投標或作為決標對象或分包廠商。一</w:t>
      </w:r>
      <w:r w:rsidR="00787D9E">
        <w:rPr>
          <w:rFonts w:hAnsi="標楷體" w:cs="細明體" w:hint="eastAsia"/>
          <w:color w:val="000000"/>
          <w:kern w:val="0"/>
          <w:sz w:val="28"/>
          <w:szCs w:val="28"/>
        </w:rPr>
        <w:t>、</w:t>
      </w:r>
      <w:r w:rsidR="0092082B" w:rsidRPr="00612617">
        <w:rPr>
          <w:rFonts w:hAnsi="標楷體" w:cs="細明體" w:hint="eastAsia"/>
          <w:color w:val="000000"/>
          <w:kern w:val="0"/>
          <w:sz w:val="28"/>
          <w:szCs w:val="28"/>
        </w:rPr>
        <w:t>有第101條第1款至第5款情形或第6款判處有期徒刑者，自刊登之次日起3年。」。政府採購法第101條第1項第1款及第103條第1項分別定有明文。</w:t>
      </w:r>
      <w:r w:rsidR="0092082B" w:rsidRPr="00612617">
        <w:rPr>
          <w:rFonts w:hAnsi="標楷體" w:hint="eastAsia"/>
          <w:color w:val="000000"/>
          <w:sz w:val="28"/>
          <w:szCs w:val="28"/>
        </w:rPr>
        <w:t>是依上開規定，若廠</w:t>
      </w:r>
      <w:r w:rsidR="0092082B" w:rsidRPr="00612617">
        <w:rPr>
          <w:rFonts w:hAnsi="標楷體" w:cs="細明體" w:hint="eastAsia"/>
          <w:color w:val="000000"/>
          <w:kern w:val="0"/>
          <w:sz w:val="28"/>
          <w:szCs w:val="28"/>
        </w:rPr>
        <w:t>商若容許他人借用其名義或證件參加投標、訂約或履約者，辦理採購之機關，即應將其事實及理由通知廠商，並附記如未提出異議者，將刊登政府採購公報。今</w:t>
      </w:r>
      <w:r w:rsidR="0092082B" w:rsidRPr="00612617">
        <w:rPr>
          <w:rFonts w:hAnsi="標楷體" w:cs="新細明體" w:hint="eastAsia"/>
          <w:color w:val="000000"/>
          <w:sz w:val="28"/>
          <w:szCs w:val="28"/>
        </w:rPr>
        <w:t>申訴廠商對於確有</w:t>
      </w:r>
      <w:r w:rsidR="0092082B" w:rsidRPr="00612617">
        <w:rPr>
          <w:rFonts w:hAnsi="標楷體" w:cs="細明體" w:hint="eastAsia"/>
          <w:color w:val="000000"/>
          <w:kern w:val="0"/>
          <w:sz w:val="28"/>
          <w:szCs w:val="28"/>
        </w:rPr>
        <w:t>容許他人借用本人名義或證件參加投標</w:t>
      </w:r>
      <w:r w:rsidR="0092082B" w:rsidRPr="00612617">
        <w:rPr>
          <w:rFonts w:hAnsi="標楷體" w:hint="eastAsia"/>
          <w:color w:val="000000"/>
          <w:sz w:val="28"/>
          <w:szCs w:val="28"/>
        </w:rPr>
        <w:t>之事實，且為台南地檢署為緩起訴處分確定在案並不爭執，故</w:t>
      </w:r>
      <w:r w:rsidR="0092082B" w:rsidRPr="00612617">
        <w:rPr>
          <w:rFonts w:hAnsi="標楷體" w:cs="新細明體" w:hint="eastAsia"/>
          <w:color w:val="000000"/>
          <w:sz w:val="28"/>
          <w:szCs w:val="28"/>
        </w:rPr>
        <w:t>招標機關依上揭規定通知申訴廠商將公告停權之處分乃依法行政，並非針對申訴廠商個別為不平等對待，</w:t>
      </w:r>
      <w:r w:rsidR="00C7417E" w:rsidRPr="00612617">
        <w:rPr>
          <w:rFonts w:hAnsi="標楷體" w:cs="新細明體" w:hint="eastAsia"/>
          <w:color w:val="000000"/>
          <w:kern w:val="0"/>
          <w:sz w:val="28"/>
          <w:szCs w:val="28"/>
        </w:rPr>
        <w:t>於法尚</w:t>
      </w:r>
      <w:r w:rsidR="0092082B" w:rsidRPr="00612617">
        <w:rPr>
          <w:rFonts w:hAnsi="標楷體" w:cs="新細明體" w:hint="eastAsia"/>
          <w:color w:val="000000"/>
          <w:kern w:val="0"/>
          <w:sz w:val="28"/>
          <w:szCs w:val="28"/>
        </w:rPr>
        <w:t>無不合，合先說明。</w:t>
      </w:r>
    </w:p>
    <w:p w:rsidR="00FE52E8" w:rsidRPr="00612617" w:rsidRDefault="00612617" w:rsidP="000B79FA">
      <w:pPr>
        <w:pStyle w:val="a6"/>
        <w:widowControl/>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848" w:hangingChars="303" w:hanging="848"/>
        <w:jc w:val="both"/>
        <w:rPr>
          <w:rFonts w:hAnsi="標楷體"/>
          <w:color w:val="000000"/>
          <w:sz w:val="28"/>
          <w:szCs w:val="28"/>
        </w:rPr>
      </w:pPr>
      <w:r>
        <w:rPr>
          <w:rFonts w:hAnsi="標楷體" w:cs="細明體" w:hint="eastAsia"/>
          <w:color w:val="000000"/>
          <w:kern w:val="0"/>
          <w:sz w:val="28"/>
          <w:szCs w:val="28"/>
        </w:rPr>
        <w:t>（二）</w:t>
      </w:r>
      <w:r w:rsidR="0092082B" w:rsidRPr="00612617">
        <w:rPr>
          <w:rFonts w:hAnsi="標楷體" w:cs="細明體" w:hint="eastAsia"/>
          <w:color w:val="000000"/>
          <w:kern w:val="0"/>
          <w:sz w:val="28"/>
          <w:szCs w:val="28"/>
        </w:rPr>
        <w:t>次按，「政府採購法第87條第5項規定：意圖影響採購結果或獲取不當利益，而借用他人名義或證件投標者，處3年以下有期徒刑，得併科新臺幣100萬元以下罰金。容許他人借用本人名義或證件參加投標者，亦同。原不在政府採購法第101條第1項第6</w:t>
      </w:r>
      <w:r w:rsidR="00C7417E" w:rsidRPr="00612617">
        <w:rPr>
          <w:rFonts w:hAnsi="標楷體" w:cs="細明體" w:hint="eastAsia"/>
          <w:color w:val="000000"/>
          <w:kern w:val="0"/>
          <w:sz w:val="28"/>
          <w:szCs w:val="28"/>
        </w:rPr>
        <w:t>款規定所稱</w:t>
      </w:r>
      <w:r w:rsidR="0092082B" w:rsidRPr="00612617">
        <w:rPr>
          <w:rFonts w:hAnsi="標楷體" w:cs="細明體" w:hint="eastAsia"/>
          <w:color w:val="000000"/>
          <w:kern w:val="0"/>
          <w:sz w:val="28"/>
          <w:szCs w:val="28"/>
        </w:rPr>
        <w:t>犯第87條罪行之</w:t>
      </w:r>
      <w:r w:rsidR="0092082B" w:rsidRPr="00612617">
        <w:rPr>
          <w:rFonts w:hAnsi="標楷體" w:cs="細明體" w:hint="eastAsia"/>
          <w:color w:val="000000"/>
          <w:kern w:val="0"/>
          <w:sz w:val="28"/>
          <w:szCs w:val="28"/>
        </w:rPr>
        <w:lastRenderedPageBreak/>
        <w:t>規範範疇，係因此行為嚴重影響政府採購之公平及品質，始於91年2月6日增訂，以處罰借用他人名義或證件投標及容許他人借用本人名義或證件參加投標之行為人。鑑於政府採購法第87條第5項後段規定：容許他人借用本人名義或證件參加投標者。原即經立法者於政府採購法第101條第1項第1款列為刊登政府採購公報之事由，並因其情節較重，而於同法第103條第1項第1款規定其不得參加投標或為決標對象或分包廠商之期限，為自刊登之次日起3年。核政府採購法於91年2月6日另就此行為於第87條第5項科處刑罰，旨在強化對不法行為之處罰；倘認廠商容許他人借用本人名義或證件參加投標者，同時有政府採購法第101條第1項第6款之適用，將致於其第一審判決為拘役、罰金或緩刑時，得適用同法第103條第1項第2款1年之停權期間，較依同法第101條第1項第1款處理之法律效果為輕，顯違政府採購法第103條第1項第1款將該事由規定停權3年之立法意旨，更非增列政府採購法第87條第5項罪責本意。是對容許他人借用本人名義或證件參加投標之廠商，仍應適用政府採購法第101條第1項第1款規定，作為刊登政府採購公報之依據，並依同法第103條第1項第1款規定，予以停權3年，始得達政府採購法為求公平、公開採購程序，確保採購品質之立法目的（參政府採購法第1條）；且免造成於同一法條內重複規範同一法律事實，卻又賦予不同法律效果之失衡狀態。」有最高行政法院101年度判字第222號判決在案可參。是</w:t>
      </w:r>
      <w:r w:rsidR="0092082B" w:rsidRPr="00612617">
        <w:rPr>
          <w:rFonts w:hAnsi="標楷體" w:cs="新細明體" w:hint="eastAsia"/>
          <w:color w:val="000000"/>
          <w:sz w:val="28"/>
          <w:szCs w:val="28"/>
        </w:rPr>
        <w:t>申訴廠商</w:t>
      </w:r>
      <w:r w:rsidR="0092082B" w:rsidRPr="00612617">
        <w:rPr>
          <w:rFonts w:hAnsi="標楷體" w:cs="細明體" w:hint="eastAsia"/>
          <w:color w:val="000000"/>
          <w:kern w:val="0"/>
          <w:sz w:val="28"/>
          <w:szCs w:val="28"/>
        </w:rPr>
        <w:t>容許他人借用其名義或證件參加投標</w:t>
      </w:r>
      <w:r w:rsidR="0092082B" w:rsidRPr="00612617">
        <w:rPr>
          <w:rFonts w:hAnsi="標楷體" w:hint="eastAsia"/>
          <w:color w:val="000000"/>
          <w:sz w:val="28"/>
          <w:szCs w:val="28"/>
        </w:rPr>
        <w:t>並為台南地檢署依</w:t>
      </w:r>
      <w:r w:rsidR="0092082B" w:rsidRPr="00612617">
        <w:rPr>
          <w:rFonts w:hAnsi="標楷體" w:cs="細明體" w:hint="eastAsia"/>
          <w:color w:val="000000"/>
          <w:kern w:val="0"/>
          <w:sz w:val="28"/>
          <w:szCs w:val="28"/>
        </w:rPr>
        <w:t>政府採購法第87條第5項規定之罪</w:t>
      </w:r>
      <w:r w:rsidR="0092082B" w:rsidRPr="00612617">
        <w:rPr>
          <w:rFonts w:hAnsi="標楷體" w:hint="eastAsia"/>
          <w:color w:val="000000"/>
          <w:sz w:val="28"/>
          <w:szCs w:val="28"/>
        </w:rPr>
        <w:t>為緩起訴處分確定，並不影響招標機關依</w:t>
      </w:r>
      <w:r w:rsidR="0092082B" w:rsidRPr="00612617">
        <w:rPr>
          <w:rFonts w:hAnsi="標楷體" w:cs="細明體" w:hint="eastAsia"/>
          <w:color w:val="000000"/>
          <w:kern w:val="0"/>
          <w:sz w:val="28"/>
          <w:szCs w:val="28"/>
        </w:rPr>
        <w:t>政府採購法第101條第1項第1款規定刊登政府採購公報。</w:t>
      </w:r>
    </w:p>
    <w:p w:rsidR="00FE52E8" w:rsidRPr="00612617" w:rsidRDefault="00612617" w:rsidP="000B79FA">
      <w:pPr>
        <w:pStyle w:val="a6"/>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232" w:left="849" w:hangingChars="502" w:hanging="1406"/>
        <w:jc w:val="both"/>
        <w:rPr>
          <w:rFonts w:hAnsi="標楷體"/>
          <w:color w:val="000000"/>
          <w:sz w:val="28"/>
          <w:szCs w:val="28"/>
        </w:rPr>
      </w:pPr>
      <w:r>
        <w:rPr>
          <w:rFonts w:hAnsi="標楷體" w:cs="細明體" w:hint="eastAsia"/>
          <w:color w:val="000000"/>
          <w:kern w:val="0"/>
          <w:sz w:val="28"/>
          <w:szCs w:val="28"/>
        </w:rPr>
        <w:t xml:space="preserve">   </w:t>
      </w:r>
      <w:r w:rsidR="000B79FA">
        <w:rPr>
          <w:rFonts w:hAnsi="標楷體" w:cs="細明體" w:hint="eastAsia"/>
          <w:color w:val="000000"/>
          <w:kern w:val="0"/>
          <w:sz w:val="28"/>
          <w:szCs w:val="28"/>
        </w:rPr>
        <w:t xml:space="preserve"> </w:t>
      </w:r>
      <w:r>
        <w:rPr>
          <w:rFonts w:hAnsi="標楷體" w:cs="細明體" w:hint="eastAsia"/>
          <w:color w:val="000000"/>
          <w:kern w:val="0"/>
          <w:sz w:val="28"/>
          <w:szCs w:val="28"/>
        </w:rPr>
        <w:t>（三）</w:t>
      </w:r>
      <w:r w:rsidR="00FE52E8" w:rsidRPr="00612617">
        <w:rPr>
          <w:rFonts w:hAnsi="標楷體" w:cs="細明體" w:hint="eastAsia"/>
          <w:color w:val="000000"/>
          <w:kern w:val="0"/>
          <w:sz w:val="28"/>
          <w:szCs w:val="28"/>
        </w:rPr>
        <w:t>另</w:t>
      </w:r>
      <w:r w:rsidR="0092082B" w:rsidRPr="00612617">
        <w:rPr>
          <w:rFonts w:hAnsi="標楷體" w:cs="細明體" w:hint="eastAsia"/>
          <w:color w:val="000000"/>
          <w:kern w:val="0"/>
          <w:sz w:val="28"/>
          <w:szCs w:val="28"/>
        </w:rPr>
        <w:t>關於</w:t>
      </w:r>
      <w:r w:rsidR="00FE52E8" w:rsidRPr="00612617">
        <w:rPr>
          <w:rFonts w:hAnsi="標楷體" w:cs="細明體" w:hint="eastAsia"/>
          <w:color w:val="000000"/>
          <w:kern w:val="0"/>
          <w:sz w:val="28"/>
          <w:szCs w:val="28"/>
        </w:rPr>
        <w:t>申訴廠商主張業經追繳押標金並受有緩起訴處分之制裁，招標機關不應再依政府採購法第101條為公告停權等語，按，最高行政法院業已作成101年度6月份第1次庭長法官聯席會議決議，就</w:t>
      </w:r>
      <w:r w:rsidR="0092082B" w:rsidRPr="00612617">
        <w:rPr>
          <w:rFonts w:hAnsi="標楷體" w:cs="細明體" w:hint="eastAsia"/>
          <w:color w:val="000000"/>
          <w:kern w:val="0"/>
          <w:sz w:val="28"/>
          <w:szCs w:val="28"/>
        </w:rPr>
        <w:t>行政機關因廠商有政府採購法第101條第1項各款情形，依同法第102條第3</w:t>
      </w:r>
      <w:r w:rsidR="00C66960" w:rsidRPr="00612617">
        <w:rPr>
          <w:rFonts w:hAnsi="標楷體" w:cs="細明體" w:hint="eastAsia"/>
          <w:color w:val="000000"/>
          <w:kern w:val="0"/>
          <w:sz w:val="28"/>
          <w:szCs w:val="28"/>
        </w:rPr>
        <w:t>項規定刊登政府採購公報</w:t>
      </w:r>
      <w:r w:rsidR="00C7417E" w:rsidRPr="00612617">
        <w:rPr>
          <w:rFonts w:hAnsi="標楷體" w:cs="細明體" w:hint="eastAsia"/>
          <w:color w:val="000000"/>
          <w:kern w:val="0"/>
          <w:sz w:val="28"/>
          <w:szCs w:val="28"/>
        </w:rPr>
        <w:t>乃</w:t>
      </w:r>
      <w:r w:rsidR="00C66960" w:rsidRPr="00612617">
        <w:rPr>
          <w:rFonts w:hAnsi="標楷體" w:cs="細明體" w:hint="eastAsia"/>
          <w:color w:val="000000"/>
          <w:kern w:val="0"/>
          <w:sz w:val="28"/>
          <w:szCs w:val="28"/>
        </w:rPr>
        <w:t>屬行政罰</w:t>
      </w:r>
      <w:r w:rsidR="0092082B" w:rsidRPr="00612617">
        <w:rPr>
          <w:rFonts w:hAnsi="標楷體" w:cs="細明體" w:hint="eastAsia"/>
          <w:color w:val="000000"/>
          <w:kern w:val="0"/>
          <w:sz w:val="28"/>
          <w:szCs w:val="28"/>
        </w:rPr>
        <w:t>性質，</w:t>
      </w:r>
      <w:r w:rsidR="00C7417E" w:rsidRPr="00612617">
        <w:rPr>
          <w:rFonts w:hAnsi="標楷體" w:cs="細明體" w:hint="eastAsia"/>
          <w:color w:val="000000"/>
          <w:kern w:val="0"/>
          <w:sz w:val="28"/>
          <w:szCs w:val="28"/>
        </w:rPr>
        <w:t>並</w:t>
      </w:r>
      <w:r w:rsidR="0092082B" w:rsidRPr="00612617">
        <w:rPr>
          <w:rFonts w:hAnsi="標楷體" w:cs="細明體" w:hint="eastAsia"/>
          <w:color w:val="000000"/>
          <w:kern w:val="0"/>
          <w:sz w:val="28"/>
          <w:szCs w:val="28"/>
        </w:rPr>
        <w:t>略以：「機關因廠商有政府採購</w:t>
      </w:r>
      <w:r w:rsidR="0092082B" w:rsidRPr="00612617">
        <w:rPr>
          <w:rFonts w:hAnsi="標楷體" w:cs="細明體" w:hint="eastAsia"/>
          <w:color w:val="000000"/>
          <w:kern w:val="0"/>
          <w:sz w:val="28"/>
          <w:szCs w:val="28"/>
        </w:rPr>
        <w:lastRenderedPageBreak/>
        <w:t>法第101條第1項各款情形，依同法第102條第3項規定刊登政府採購公報，即生同法第103條第1項所示於一定期間內不得參加投標或作為決標對象或分包廠商之停權效果，為不利之處分。其中第3款、第7款、第8款至第12款事由，屬違反契約義務之行為，既與公法上不利處分相連結，即被賦予公法上之意涵，如同其中第1款、第2款、第4款至第6款為參與政府採購程序施用不正當手段，及其中第14款為違反禁止歧視之原則一般，均係違反行政法上義務之行為，予以不利處分，具有裁罰性，自屬行政罰」等語可參。</w:t>
      </w:r>
      <w:r w:rsidR="00C66960" w:rsidRPr="00612617">
        <w:rPr>
          <w:rFonts w:hAnsi="標楷體" w:cs="細明體" w:hint="eastAsia"/>
          <w:color w:val="000000"/>
          <w:kern w:val="0"/>
          <w:sz w:val="28"/>
          <w:szCs w:val="28"/>
        </w:rPr>
        <w:t>唯</w:t>
      </w:r>
      <w:r w:rsidR="0092082B" w:rsidRPr="00612617">
        <w:rPr>
          <w:rFonts w:hAnsi="標楷體" w:cs="細明體" w:hint="eastAsia"/>
          <w:color w:val="000000"/>
          <w:kern w:val="0"/>
          <w:sz w:val="28"/>
          <w:szCs w:val="28"/>
        </w:rPr>
        <w:t>按，「</w:t>
      </w:r>
      <w:r w:rsidR="0092082B" w:rsidRPr="00612617">
        <w:rPr>
          <w:rFonts w:hAnsi="標楷體"/>
          <w:color w:val="000000"/>
          <w:sz w:val="28"/>
          <w:szCs w:val="28"/>
        </w:rPr>
        <w:t>一行為同時觸犯刑事法律及違反行政法上義務規定者，依刑事法律處罰之。但其行為應處以其他種類行政罰或得沒入之物而未經法院宣告沒收者，亦得裁處之。</w:t>
      </w:r>
      <w:r w:rsidR="0092082B" w:rsidRPr="00612617">
        <w:rPr>
          <w:rFonts w:hAnsi="標楷體" w:cs="細明體" w:hint="eastAsia"/>
          <w:color w:val="000000"/>
          <w:kern w:val="0"/>
          <w:sz w:val="28"/>
          <w:szCs w:val="28"/>
        </w:rPr>
        <w:t>」</w:t>
      </w:r>
      <w:r w:rsidR="00FE4409" w:rsidRPr="00716D2D">
        <w:rPr>
          <w:rFonts w:hAnsi="標楷體" w:cs="細明體" w:hint="eastAsia"/>
          <w:color w:val="000000" w:themeColor="text1"/>
          <w:kern w:val="0"/>
          <w:sz w:val="28"/>
          <w:szCs w:val="28"/>
        </w:rPr>
        <w:t>、「前項行為如經不起訴處分或為無罪、免訴、不受理、不付審理之裁判確定者，得依違反行政法上義務規定裁處之」則為行政罰法第</w:t>
      </w:r>
      <w:r w:rsidR="00FE4409" w:rsidRPr="00716D2D">
        <w:rPr>
          <w:rFonts w:hAnsi="標楷體" w:cs="細明體"/>
          <w:color w:val="000000" w:themeColor="text1"/>
          <w:kern w:val="0"/>
          <w:sz w:val="28"/>
          <w:szCs w:val="28"/>
        </w:rPr>
        <w:t>26</w:t>
      </w:r>
      <w:r w:rsidR="00FE4409" w:rsidRPr="00716D2D">
        <w:rPr>
          <w:rFonts w:hAnsi="標楷體" w:cs="細明體" w:hint="eastAsia"/>
          <w:color w:val="000000" w:themeColor="text1"/>
          <w:kern w:val="0"/>
          <w:sz w:val="28"/>
          <w:szCs w:val="28"/>
        </w:rPr>
        <w:t>條第</w:t>
      </w:r>
      <w:r w:rsidR="00FE4409" w:rsidRPr="00716D2D">
        <w:rPr>
          <w:rFonts w:hAnsi="標楷體" w:cs="細明體"/>
          <w:color w:val="000000" w:themeColor="text1"/>
          <w:kern w:val="0"/>
          <w:sz w:val="28"/>
          <w:szCs w:val="28"/>
        </w:rPr>
        <w:t>1</w:t>
      </w:r>
      <w:r w:rsidR="00FE4409" w:rsidRPr="00716D2D">
        <w:rPr>
          <w:rFonts w:hAnsi="標楷體" w:cs="細明體" w:hint="eastAsia"/>
          <w:color w:val="000000" w:themeColor="text1"/>
          <w:kern w:val="0"/>
          <w:sz w:val="28"/>
          <w:szCs w:val="28"/>
        </w:rPr>
        <w:t>項但書及第</w:t>
      </w:r>
      <w:r w:rsidR="00FE4409" w:rsidRPr="00716D2D">
        <w:rPr>
          <w:rFonts w:hAnsi="標楷體" w:cs="細明體"/>
          <w:color w:val="000000" w:themeColor="text1"/>
          <w:kern w:val="0"/>
          <w:sz w:val="28"/>
          <w:szCs w:val="28"/>
        </w:rPr>
        <w:t>2</w:t>
      </w:r>
      <w:r w:rsidR="00FE4409" w:rsidRPr="00716D2D">
        <w:rPr>
          <w:rFonts w:hAnsi="標楷體" w:cs="細明體" w:hint="eastAsia"/>
          <w:color w:val="000000" w:themeColor="text1"/>
          <w:kern w:val="0"/>
          <w:sz w:val="28"/>
          <w:szCs w:val="28"/>
        </w:rPr>
        <w:t>項定有明文。是以，因其他種類之行政罰兼具有就各該行政法之管制目的，有維護公共秩序之作用，為達行政目的，行政機關自得併予處罰，且縱然經不起訴處分確定，亦得為之。</w:t>
      </w:r>
      <w:r w:rsidR="0092082B" w:rsidRPr="00716D2D">
        <w:rPr>
          <w:rFonts w:hAnsi="標楷體" w:cs="細明體" w:hint="eastAsia"/>
          <w:color w:val="000000" w:themeColor="text1"/>
          <w:kern w:val="0"/>
          <w:sz w:val="28"/>
          <w:szCs w:val="28"/>
        </w:rPr>
        <w:t>今</w:t>
      </w:r>
      <w:r w:rsidR="0092082B" w:rsidRPr="00612617">
        <w:rPr>
          <w:rFonts w:hAnsi="標楷體" w:hint="eastAsia"/>
          <w:color w:val="000000"/>
          <w:sz w:val="28"/>
          <w:szCs w:val="28"/>
        </w:rPr>
        <w:t>政府採購法係為建立政府採購制度，依公平、公開之採購程序，提升採購效率與功能，確保採購品質而制定，並有政府採購法第101條</w:t>
      </w:r>
      <w:r w:rsidR="00FE52E8" w:rsidRPr="00612617">
        <w:rPr>
          <w:rFonts w:hAnsi="標楷體" w:hint="eastAsia"/>
          <w:color w:val="000000"/>
          <w:sz w:val="28"/>
          <w:szCs w:val="28"/>
        </w:rPr>
        <w:t>特別規定</w:t>
      </w:r>
      <w:r w:rsidR="0092082B" w:rsidRPr="00612617">
        <w:rPr>
          <w:rFonts w:hAnsi="標楷體" w:hint="eastAsia"/>
          <w:color w:val="000000"/>
          <w:sz w:val="28"/>
          <w:szCs w:val="28"/>
        </w:rPr>
        <w:t>之公告廠商停權之機制。</w:t>
      </w:r>
      <w:r w:rsidR="00C7417E" w:rsidRPr="00612617">
        <w:rPr>
          <w:rFonts w:hAnsi="標楷體" w:hint="eastAsia"/>
          <w:color w:val="000000"/>
          <w:sz w:val="28"/>
          <w:szCs w:val="28"/>
        </w:rPr>
        <w:t>故</w:t>
      </w:r>
      <w:r w:rsidR="0092082B" w:rsidRPr="00612617">
        <w:rPr>
          <w:rFonts w:hAnsi="標楷體" w:cs="細明體" w:hint="eastAsia"/>
          <w:color w:val="000000"/>
          <w:kern w:val="0"/>
          <w:sz w:val="28"/>
          <w:szCs w:val="28"/>
        </w:rPr>
        <w:t>本件被申訴廠商有政府採購法第101條第1項各款情形，縱依同法第102條第3項規定由招標機關通知刊登採購公報之行政罰，與台南地檢署所為緩起訴處分相較，不僅屬刑罰以外之行政罰，且</w:t>
      </w:r>
      <w:r w:rsidR="00FE52E8" w:rsidRPr="00612617">
        <w:rPr>
          <w:rFonts w:hAnsi="標楷體" w:cs="細明體" w:hint="eastAsia"/>
          <w:color w:val="000000"/>
          <w:kern w:val="0"/>
          <w:sz w:val="28"/>
          <w:szCs w:val="28"/>
        </w:rPr>
        <w:t>與押標金相較，也係為</w:t>
      </w:r>
      <w:r w:rsidR="0092082B" w:rsidRPr="00612617">
        <w:rPr>
          <w:rFonts w:hAnsi="標楷體" w:cs="細明體" w:hint="eastAsia"/>
          <w:color w:val="000000"/>
          <w:kern w:val="0"/>
          <w:sz w:val="28"/>
          <w:szCs w:val="28"/>
        </w:rPr>
        <w:t>其他不同種類之行政罰</w:t>
      </w:r>
      <w:r w:rsidR="00C7417E" w:rsidRPr="00612617">
        <w:rPr>
          <w:rFonts w:hAnsi="標楷體" w:cs="細明體" w:hint="eastAsia"/>
          <w:color w:val="000000"/>
          <w:kern w:val="0"/>
          <w:sz w:val="28"/>
          <w:szCs w:val="28"/>
        </w:rPr>
        <w:t>，為法所明定賦予招標機關之權限</w:t>
      </w:r>
      <w:r w:rsidR="0092082B" w:rsidRPr="00612617">
        <w:rPr>
          <w:rFonts w:hAnsi="標楷體" w:cs="細明體" w:hint="eastAsia"/>
          <w:color w:val="000000"/>
          <w:kern w:val="0"/>
          <w:sz w:val="28"/>
          <w:szCs w:val="28"/>
        </w:rPr>
        <w:t>，以維持和實現政府採購法之目的，乃不同之制裁性質與目的，並無一事二罰，也無失其公平或不符比例，招標機關仍得裁處之。</w:t>
      </w:r>
    </w:p>
    <w:p w:rsidR="00C7417E" w:rsidRPr="00612617" w:rsidRDefault="00612617" w:rsidP="000B79FA">
      <w:pPr>
        <w:pStyle w:val="a6"/>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848" w:hangingChars="303" w:hanging="848"/>
        <w:jc w:val="both"/>
        <w:rPr>
          <w:rFonts w:hAnsi="標楷體"/>
          <w:color w:val="000000"/>
          <w:sz w:val="28"/>
          <w:szCs w:val="28"/>
        </w:rPr>
      </w:pPr>
      <w:r>
        <w:rPr>
          <w:rFonts w:hAnsi="標楷體" w:cs="細明體" w:hint="eastAsia"/>
          <w:color w:val="000000"/>
          <w:kern w:val="0"/>
          <w:sz w:val="28"/>
          <w:szCs w:val="28"/>
        </w:rPr>
        <w:t>（四）</w:t>
      </w:r>
      <w:r w:rsidR="00FE52E8" w:rsidRPr="00612617">
        <w:rPr>
          <w:rFonts w:hAnsi="標楷體" w:cs="細明體" w:hint="eastAsia"/>
          <w:color w:val="000000"/>
          <w:kern w:val="0"/>
          <w:sz w:val="28"/>
          <w:szCs w:val="28"/>
        </w:rPr>
        <w:t>再按，申訴廠商雖又抗辯，依據政府採購法第101條之修法草案，業已刪除政府採購法第101條第1項1款規定，而主張招標機關不應再為適用云云，則容有誤會。蓋政府採購法第101條之修法草案既未經立法通過，本不足為招標機關適用法律之依據。次者，申訴廠商所提既屬未通</w:t>
      </w:r>
      <w:r w:rsidR="00FE52E8" w:rsidRPr="00612617">
        <w:rPr>
          <w:rFonts w:hAnsi="標楷體" w:cs="細明體" w:hint="eastAsia"/>
          <w:color w:val="000000"/>
          <w:kern w:val="0"/>
          <w:sz w:val="28"/>
          <w:szCs w:val="28"/>
        </w:rPr>
        <w:lastRenderedPageBreak/>
        <w:t>過之政府採購法第101條修法草案，亦應可知該修法草案尚未足為立法共識，而有爭議，從而招標機關未與考量，並無不法或不符比例。</w:t>
      </w:r>
    </w:p>
    <w:p w:rsidR="00C7417E" w:rsidRPr="00612617" w:rsidRDefault="007D4D81" w:rsidP="00C7417E">
      <w:pPr>
        <w:pStyle w:val="a6"/>
        <w:widowControl/>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both"/>
        <w:rPr>
          <w:rFonts w:hAnsi="標楷體"/>
          <w:color w:val="000000"/>
          <w:sz w:val="28"/>
          <w:szCs w:val="28"/>
        </w:rPr>
      </w:pPr>
      <w:r w:rsidRPr="00612617">
        <w:rPr>
          <w:rFonts w:hAnsi="標楷體" w:hint="eastAsia"/>
          <w:color w:val="000000"/>
          <w:sz w:val="28"/>
          <w:szCs w:val="28"/>
        </w:rPr>
        <w:t>三</w:t>
      </w:r>
      <w:r w:rsidR="00FE52E8" w:rsidRPr="00612617">
        <w:rPr>
          <w:rFonts w:hAnsi="標楷體" w:hint="eastAsia"/>
          <w:color w:val="000000"/>
          <w:sz w:val="28"/>
          <w:szCs w:val="28"/>
        </w:rPr>
        <w:t>、</w:t>
      </w:r>
      <w:r w:rsidR="00304E0A" w:rsidRPr="00612617">
        <w:rPr>
          <w:rFonts w:hAnsi="標楷體" w:hint="eastAsia"/>
          <w:color w:val="000000"/>
          <w:sz w:val="28"/>
          <w:szCs w:val="28"/>
        </w:rPr>
        <w:t>綜上所述，本件招標機關異議處理結果遞予維持，</w:t>
      </w:r>
      <w:r w:rsidR="00E1147E" w:rsidRPr="00612617">
        <w:rPr>
          <w:rFonts w:hAnsi="標楷體" w:hint="eastAsia"/>
          <w:color w:val="000000"/>
          <w:sz w:val="28"/>
          <w:szCs w:val="28"/>
        </w:rPr>
        <w:t>尚屬合法有據</w:t>
      </w:r>
      <w:r w:rsidR="00304E0A" w:rsidRPr="00612617">
        <w:rPr>
          <w:rFonts w:hAnsi="標楷體" w:hint="eastAsia"/>
          <w:color w:val="000000"/>
          <w:sz w:val="28"/>
          <w:szCs w:val="28"/>
        </w:rPr>
        <w:t>，應予維</w:t>
      </w:r>
    </w:p>
    <w:p w:rsidR="00C7417E" w:rsidRPr="00612617" w:rsidRDefault="00C7417E" w:rsidP="00C7417E">
      <w:pPr>
        <w:pStyle w:val="a6"/>
        <w:widowControl/>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both"/>
        <w:rPr>
          <w:rFonts w:hAnsi="標楷體"/>
          <w:color w:val="000000"/>
          <w:sz w:val="28"/>
          <w:szCs w:val="28"/>
        </w:rPr>
      </w:pPr>
      <w:r w:rsidRPr="00612617">
        <w:rPr>
          <w:rFonts w:hAnsi="標楷體" w:hint="eastAsia"/>
          <w:color w:val="000000"/>
          <w:sz w:val="28"/>
          <w:szCs w:val="28"/>
        </w:rPr>
        <w:t xml:space="preserve">    </w:t>
      </w:r>
      <w:r w:rsidR="00304E0A" w:rsidRPr="00612617">
        <w:rPr>
          <w:rFonts w:hAnsi="標楷體" w:hint="eastAsia"/>
          <w:color w:val="000000"/>
          <w:sz w:val="28"/>
          <w:szCs w:val="28"/>
        </w:rPr>
        <w:t>持。另兩造於本申訴案之其餘主張與陳述，均不影響審議判斷結果，爰不</w:t>
      </w:r>
    </w:p>
    <w:p w:rsidR="00C7417E" w:rsidRPr="00612617" w:rsidRDefault="00C7417E" w:rsidP="00C7417E">
      <w:pPr>
        <w:pStyle w:val="a6"/>
        <w:widowControl/>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both"/>
        <w:rPr>
          <w:rFonts w:hAnsi="標楷體"/>
          <w:color w:val="000000"/>
          <w:sz w:val="28"/>
          <w:szCs w:val="28"/>
        </w:rPr>
      </w:pPr>
      <w:r w:rsidRPr="00612617">
        <w:rPr>
          <w:rFonts w:hAnsi="標楷體" w:hint="eastAsia"/>
          <w:color w:val="000000"/>
          <w:sz w:val="28"/>
          <w:szCs w:val="28"/>
        </w:rPr>
        <w:t xml:space="preserve">    </w:t>
      </w:r>
      <w:r w:rsidR="00304E0A" w:rsidRPr="00612617">
        <w:rPr>
          <w:rFonts w:hAnsi="標楷體" w:hint="eastAsia"/>
          <w:color w:val="000000"/>
          <w:sz w:val="28"/>
          <w:szCs w:val="28"/>
        </w:rPr>
        <w:t>逐一加以論究，併予敘明。</w:t>
      </w:r>
    </w:p>
    <w:p w:rsidR="00304E0A" w:rsidRPr="00612617" w:rsidRDefault="00C7417E" w:rsidP="00612617">
      <w:pPr>
        <w:pStyle w:val="a6"/>
        <w:widowControl/>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566" w:hangingChars="202" w:hanging="566"/>
        <w:jc w:val="both"/>
        <w:rPr>
          <w:rFonts w:hAnsi="標楷體"/>
          <w:color w:val="000000"/>
          <w:sz w:val="28"/>
          <w:szCs w:val="28"/>
        </w:rPr>
      </w:pPr>
      <w:r w:rsidRPr="00612617">
        <w:rPr>
          <w:rFonts w:hAnsi="標楷體" w:hint="eastAsia"/>
          <w:color w:val="000000"/>
          <w:sz w:val="28"/>
          <w:szCs w:val="28"/>
        </w:rPr>
        <w:t>四、</w:t>
      </w:r>
      <w:r w:rsidR="00304E0A" w:rsidRPr="00612617">
        <w:rPr>
          <w:rFonts w:hAnsi="標楷體" w:hint="eastAsia"/>
          <w:color w:val="000000"/>
          <w:sz w:val="28"/>
          <w:szCs w:val="28"/>
        </w:rPr>
        <w:t>據上論結，本件申訴為無理由，爰依本法第82條第1項前段規定，判斷如主文。</w:t>
      </w:r>
    </w:p>
    <w:p w:rsidR="00E866A7" w:rsidRPr="00612617" w:rsidRDefault="00E866A7" w:rsidP="00E866A7">
      <w:pPr>
        <w:kinsoku w:val="0"/>
        <w:autoSpaceDE w:val="0"/>
        <w:autoSpaceDN w:val="0"/>
        <w:adjustRightInd w:val="0"/>
        <w:spacing w:line="500" w:lineRule="exact"/>
        <w:jc w:val="both"/>
        <w:rPr>
          <w:rFonts w:ascii="標楷體" w:eastAsia="標楷體" w:hAnsi="標楷體"/>
          <w:color w:val="000000"/>
          <w:sz w:val="28"/>
          <w:szCs w:val="28"/>
        </w:rPr>
      </w:pPr>
    </w:p>
    <w:p w:rsidR="00C952D3" w:rsidRDefault="00C952D3">
      <w:pPr>
        <w:pStyle w:val="a8"/>
        <w:spacing w:line="500" w:lineRule="exact"/>
        <w:jc w:val="both"/>
        <w:rPr>
          <w:rFonts w:ascii="標楷體" w:hAnsi="標楷體"/>
          <w:color w:val="000000"/>
          <w:sz w:val="28"/>
          <w:szCs w:val="28"/>
        </w:rPr>
      </w:pPr>
    </w:p>
    <w:p w:rsidR="00787D9E" w:rsidRDefault="00787D9E">
      <w:pPr>
        <w:pStyle w:val="a8"/>
        <w:spacing w:line="500" w:lineRule="exact"/>
        <w:jc w:val="both"/>
        <w:rPr>
          <w:rFonts w:ascii="標楷體" w:hAnsi="標楷體"/>
          <w:color w:val="000000"/>
          <w:sz w:val="28"/>
          <w:szCs w:val="28"/>
        </w:rPr>
      </w:pPr>
    </w:p>
    <w:p w:rsidR="00787D9E" w:rsidRPr="00787D9E" w:rsidRDefault="00787D9E">
      <w:pPr>
        <w:pStyle w:val="a8"/>
        <w:spacing w:line="500" w:lineRule="exact"/>
        <w:jc w:val="both"/>
        <w:rPr>
          <w:rFonts w:ascii="標楷體" w:hAnsi="標楷體" w:hint="eastAsia"/>
          <w:color w:val="000000"/>
          <w:sz w:val="28"/>
          <w:szCs w:val="28"/>
        </w:rPr>
      </w:pPr>
    </w:p>
    <w:p w:rsidR="00C952D3" w:rsidRPr="00612617" w:rsidRDefault="00C952D3">
      <w:pPr>
        <w:pStyle w:val="ac"/>
        <w:jc w:val="distribute"/>
        <w:rPr>
          <w:szCs w:val="28"/>
        </w:rPr>
      </w:pPr>
      <w:r w:rsidRPr="00612617">
        <w:rPr>
          <w:rFonts w:hint="eastAsia"/>
          <w:szCs w:val="28"/>
        </w:rPr>
        <w:t>中華民國</w:t>
      </w:r>
      <w:r w:rsidR="004E7BE2" w:rsidRPr="00612617">
        <w:rPr>
          <w:rFonts w:hint="eastAsia"/>
          <w:szCs w:val="28"/>
        </w:rPr>
        <w:t>10</w:t>
      </w:r>
      <w:r w:rsidR="003A5745" w:rsidRPr="00612617">
        <w:rPr>
          <w:rFonts w:hint="eastAsia"/>
          <w:szCs w:val="28"/>
        </w:rPr>
        <w:t>3</w:t>
      </w:r>
      <w:r w:rsidR="00D47BD5" w:rsidRPr="00612617">
        <w:rPr>
          <w:rFonts w:hint="eastAsia"/>
          <w:szCs w:val="28"/>
        </w:rPr>
        <w:t>年</w:t>
      </w:r>
      <w:r w:rsidR="00612617">
        <w:rPr>
          <w:rFonts w:hint="eastAsia"/>
          <w:szCs w:val="28"/>
        </w:rPr>
        <w:t>8</w:t>
      </w:r>
      <w:r w:rsidRPr="00612617">
        <w:rPr>
          <w:rFonts w:hint="eastAsia"/>
          <w:szCs w:val="28"/>
        </w:rPr>
        <w:t>月</w:t>
      </w:r>
      <w:r w:rsidR="00612617">
        <w:rPr>
          <w:rFonts w:hint="eastAsia"/>
          <w:szCs w:val="28"/>
        </w:rPr>
        <w:t>2</w:t>
      </w:r>
      <w:r w:rsidR="00264D4D">
        <w:rPr>
          <w:rFonts w:hint="eastAsia"/>
          <w:szCs w:val="28"/>
        </w:rPr>
        <w:t>9</w:t>
      </w:r>
      <w:r w:rsidRPr="00612617">
        <w:rPr>
          <w:rFonts w:hint="eastAsia"/>
          <w:szCs w:val="28"/>
        </w:rPr>
        <w:t>日</w:t>
      </w:r>
    </w:p>
    <w:p w:rsidR="00C952D3" w:rsidRDefault="00C952D3">
      <w:pPr>
        <w:rPr>
          <w:rFonts w:ascii="標楷體" w:eastAsia="標楷體" w:hAnsi="標楷體"/>
          <w:color w:val="000000"/>
          <w:sz w:val="28"/>
          <w:szCs w:val="28"/>
        </w:rPr>
      </w:pPr>
    </w:p>
    <w:p w:rsidR="00787D9E" w:rsidRPr="00612617" w:rsidRDefault="00787D9E">
      <w:pPr>
        <w:rPr>
          <w:rFonts w:ascii="標楷體" w:eastAsia="標楷體" w:hAnsi="標楷體" w:hint="eastAsia"/>
          <w:color w:val="000000"/>
          <w:sz w:val="28"/>
          <w:szCs w:val="28"/>
        </w:rPr>
      </w:pPr>
      <w:bookmarkStart w:id="5" w:name="_GoBack"/>
      <w:bookmarkEnd w:id="5"/>
    </w:p>
    <w:p w:rsidR="00C952D3" w:rsidRPr="00612617" w:rsidRDefault="00C952D3">
      <w:pPr>
        <w:rPr>
          <w:rFonts w:ascii="標楷體" w:eastAsia="標楷體" w:hAnsi="標楷體"/>
          <w:color w:val="000000"/>
          <w:sz w:val="28"/>
          <w:szCs w:val="28"/>
        </w:rPr>
      </w:pPr>
    </w:p>
    <w:p w:rsidR="00C952D3" w:rsidRPr="00612617" w:rsidRDefault="00C952D3">
      <w:pPr>
        <w:spacing w:line="420" w:lineRule="exact"/>
        <w:jc w:val="distribute"/>
        <w:rPr>
          <w:rFonts w:ascii="標楷體" w:eastAsia="標楷體" w:hAnsi="標楷體"/>
          <w:color w:val="000000"/>
          <w:sz w:val="28"/>
          <w:szCs w:val="28"/>
        </w:rPr>
      </w:pPr>
      <w:r w:rsidRPr="00612617">
        <w:rPr>
          <w:rFonts w:ascii="標楷體" w:eastAsia="標楷體" w:hAnsi="標楷體" w:hint="eastAsia"/>
          <w:color w:val="000000"/>
          <w:sz w:val="28"/>
          <w:szCs w:val="28"/>
        </w:rPr>
        <w:t>本審議判斷視同訴願決定</w:t>
      </w:r>
      <w:bookmarkStart w:id="6" w:name="gov"/>
      <w:bookmarkStart w:id="7" w:name="委員"/>
      <w:bookmarkEnd w:id="6"/>
      <w:bookmarkEnd w:id="7"/>
      <w:r w:rsidRPr="00612617">
        <w:rPr>
          <w:rFonts w:ascii="標楷體" w:eastAsia="標楷體" w:hAnsi="標楷體" w:hint="eastAsia"/>
          <w:color w:val="000000"/>
          <w:sz w:val="28"/>
          <w:szCs w:val="28"/>
        </w:rPr>
        <w:t>，申訴廠商不服者得於本審議判斷書送達之次日起2個月內向高雄高等行政法院（</w:t>
      </w:r>
      <w:r w:rsidRPr="00612617">
        <w:rPr>
          <w:rStyle w:val="a7"/>
          <w:rFonts w:ascii="標楷體" w:eastAsia="標楷體" w:hAnsi="標楷體"/>
          <w:b w:val="0"/>
          <w:bCs w:val="0"/>
          <w:color w:val="000000"/>
          <w:sz w:val="28"/>
          <w:szCs w:val="28"/>
        </w:rPr>
        <w:t>81167高雄市楠梓區興楠路180號</w:t>
      </w:r>
      <w:r w:rsidRPr="00612617">
        <w:rPr>
          <w:rFonts w:ascii="標楷體" w:eastAsia="標楷體" w:hAnsi="標楷體" w:hint="eastAsia"/>
          <w:color w:val="000000"/>
          <w:sz w:val="28"/>
          <w:szCs w:val="28"/>
        </w:rPr>
        <w:t>）提起訴訟。</w:t>
      </w:r>
    </w:p>
    <w:sectPr w:rsidR="00C952D3" w:rsidRPr="00612617" w:rsidSect="000809F1">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D87" w:rsidRDefault="00216D87">
      <w:r>
        <w:separator/>
      </w:r>
    </w:p>
  </w:endnote>
  <w:endnote w:type="continuationSeparator" w:id="0">
    <w:p w:rsidR="00216D87" w:rsidRDefault="0021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45" w:rsidRDefault="00703D7A">
    <w:pPr>
      <w:pStyle w:val="aa"/>
      <w:framePr w:wrap="around" w:vAnchor="text" w:hAnchor="margin" w:xAlign="center" w:y="1"/>
      <w:rPr>
        <w:rStyle w:val="a9"/>
      </w:rPr>
    </w:pPr>
    <w:r>
      <w:rPr>
        <w:rStyle w:val="a9"/>
      </w:rPr>
      <w:fldChar w:fldCharType="begin"/>
    </w:r>
    <w:r w:rsidR="003A5745">
      <w:rPr>
        <w:rStyle w:val="a9"/>
      </w:rPr>
      <w:instrText xml:space="preserve">PAGE  </w:instrText>
    </w:r>
    <w:r>
      <w:rPr>
        <w:rStyle w:val="a9"/>
      </w:rPr>
      <w:fldChar w:fldCharType="end"/>
    </w:r>
  </w:p>
  <w:p w:rsidR="003A5745" w:rsidRDefault="003A574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45" w:rsidRDefault="00703D7A">
    <w:pPr>
      <w:pStyle w:val="aa"/>
      <w:framePr w:wrap="around" w:vAnchor="text" w:hAnchor="margin" w:xAlign="center" w:y="1"/>
      <w:rPr>
        <w:rStyle w:val="a9"/>
      </w:rPr>
    </w:pPr>
    <w:r>
      <w:rPr>
        <w:rStyle w:val="a9"/>
      </w:rPr>
      <w:fldChar w:fldCharType="begin"/>
    </w:r>
    <w:r w:rsidR="003A5745">
      <w:rPr>
        <w:rStyle w:val="a9"/>
      </w:rPr>
      <w:instrText xml:space="preserve">PAGE  </w:instrText>
    </w:r>
    <w:r>
      <w:rPr>
        <w:rStyle w:val="a9"/>
      </w:rPr>
      <w:fldChar w:fldCharType="separate"/>
    </w:r>
    <w:r w:rsidR="00787D9E">
      <w:rPr>
        <w:rStyle w:val="a9"/>
        <w:noProof/>
      </w:rPr>
      <w:t>1</w:t>
    </w:r>
    <w:r>
      <w:rPr>
        <w:rStyle w:val="a9"/>
      </w:rPr>
      <w:fldChar w:fldCharType="end"/>
    </w:r>
  </w:p>
  <w:p w:rsidR="003A5745" w:rsidRDefault="003A57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D87" w:rsidRDefault="00216D87">
      <w:r>
        <w:separator/>
      </w:r>
    </w:p>
  </w:footnote>
  <w:footnote w:type="continuationSeparator" w:id="0">
    <w:p w:rsidR="00216D87" w:rsidRDefault="00216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70C0"/>
    <w:multiLevelType w:val="hybridMultilevel"/>
    <w:tmpl w:val="6AE09684"/>
    <w:lvl w:ilvl="0" w:tplc="9440C552">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E0B6741"/>
    <w:multiLevelType w:val="hybridMultilevel"/>
    <w:tmpl w:val="02002F4A"/>
    <w:lvl w:ilvl="0" w:tplc="CABC2C5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2DA6027"/>
    <w:multiLevelType w:val="hybridMultilevel"/>
    <w:tmpl w:val="145675DC"/>
    <w:lvl w:ilvl="0" w:tplc="1714D892">
      <w:start w:val="1"/>
      <w:numFmt w:val="taiwaneseCountingThousand"/>
      <w:lvlText w:val="%1、"/>
      <w:lvlJc w:val="left"/>
      <w:pPr>
        <w:ind w:left="480"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EE0E3C"/>
    <w:multiLevelType w:val="hybridMultilevel"/>
    <w:tmpl w:val="C04EE118"/>
    <w:lvl w:ilvl="0" w:tplc="FD2E5D2E">
      <w:start w:val="1"/>
      <w:numFmt w:val="taiwaneseCountingThousand"/>
      <w:lvlText w:val="（%1）"/>
      <w:lvlJc w:val="left"/>
      <w:pPr>
        <w:ind w:left="750" w:hanging="480"/>
      </w:pPr>
      <w:rPr>
        <w:rFonts w:hint="default"/>
        <w:lang w:val="en-US"/>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 w15:restartNumberingAfterBreak="0">
    <w:nsid w:val="247A1A8B"/>
    <w:multiLevelType w:val="hybridMultilevel"/>
    <w:tmpl w:val="989E6742"/>
    <w:lvl w:ilvl="0" w:tplc="8AC406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F42046"/>
    <w:multiLevelType w:val="hybridMultilevel"/>
    <w:tmpl w:val="60E6F3F2"/>
    <w:lvl w:ilvl="0" w:tplc="CABC2C54">
      <w:start w:val="1"/>
      <w:numFmt w:val="taiwaneseCountingThousand"/>
      <w:lvlText w:val="（%1）"/>
      <w:lvlJc w:val="left"/>
      <w:pPr>
        <w:ind w:left="750" w:hanging="48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6" w15:restartNumberingAfterBreak="0">
    <w:nsid w:val="282D767C"/>
    <w:multiLevelType w:val="hybridMultilevel"/>
    <w:tmpl w:val="036202DE"/>
    <w:lvl w:ilvl="0" w:tplc="87229852">
      <w:start w:val="1"/>
      <w:numFmt w:val="taiwaneseCountingThousand"/>
      <w:lvlText w:val="%1、"/>
      <w:lvlJc w:val="left"/>
      <w:pPr>
        <w:tabs>
          <w:tab w:val="num" w:pos="450"/>
        </w:tabs>
        <w:ind w:left="45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296A10D8"/>
    <w:multiLevelType w:val="hybridMultilevel"/>
    <w:tmpl w:val="A15A954A"/>
    <w:lvl w:ilvl="0" w:tplc="87229852">
      <w:start w:val="1"/>
      <w:numFmt w:val="taiwaneseCountingThousand"/>
      <w:lvlText w:val="%1、"/>
      <w:lvlJc w:val="left"/>
      <w:pPr>
        <w:tabs>
          <w:tab w:val="num" w:pos="450"/>
        </w:tabs>
        <w:ind w:left="450" w:hanging="45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2E3905"/>
    <w:multiLevelType w:val="hybridMultilevel"/>
    <w:tmpl w:val="C04EE118"/>
    <w:lvl w:ilvl="0" w:tplc="FD2E5D2E">
      <w:start w:val="1"/>
      <w:numFmt w:val="taiwaneseCountingThousand"/>
      <w:lvlText w:val="（%1）"/>
      <w:lvlJc w:val="left"/>
      <w:pPr>
        <w:ind w:left="750" w:hanging="480"/>
      </w:pPr>
      <w:rPr>
        <w:rFonts w:hint="default"/>
        <w:lang w:val="en-US"/>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9" w15:restartNumberingAfterBreak="0">
    <w:nsid w:val="35430E7D"/>
    <w:multiLevelType w:val="hybridMultilevel"/>
    <w:tmpl w:val="75FA5FEA"/>
    <w:lvl w:ilvl="0" w:tplc="B79A0A74">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89738CE"/>
    <w:multiLevelType w:val="hybridMultilevel"/>
    <w:tmpl w:val="7C006CCC"/>
    <w:lvl w:ilvl="0" w:tplc="9440C552">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1" w15:restartNumberingAfterBreak="0">
    <w:nsid w:val="39BC18A2"/>
    <w:multiLevelType w:val="hybridMultilevel"/>
    <w:tmpl w:val="524EDA90"/>
    <w:lvl w:ilvl="0" w:tplc="4C1AD494">
      <w:start w:val="1"/>
      <w:numFmt w:val="taiwaneseCountingThousand"/>
      <w:lvlText w:val="%1、"/>
      <w:lvlJc w:val="left"/>
      <w:pPr>
        <w:tabs>
          <w:tab w:val="num" w:pos="720"/>
        </w:tabs>
        <w:ind w:left="720" w:hanging="720"/>
      </w:pPr>
      <w:rPr>
        <w:rFonts w:hint="default"/>
        <w:color w:val="FF0000"/>
      </w:rPr>
    </w:lvl>
    <w:lvl w:ilvl="1" w:tplc="CABC2C54">
      <w:start w:val="1"/>
      <w:numFmt w:val="taiwaneseCountingThousand"/>
      <w:lvlText w:val="（%2）"/>
      <w:lvlJc w:val="left"/>
      <w:pPr>
        <w:tabs>
          <w:tab w:val="num" w:pos="1560"/>
        </w:tabs>
        <w:ind w:left="1560" w:hanging="1080"/>
      </w:pPr>
      <w:rPr>
        <w:rFonts w:hint="default"/>
      </w:rPr>
    </w:lvl>
    <w:lvl w:ilvl="2" w:tplc="08F87E4A">
      <w:start w:val="1"/>
      <w:numFmt w:val="decimal"/>
      <w:lvlText w:val="%3."/>
      <w:lvlJc w:val="left"/>
      <w:pPr>
        <w:tabs>
          <w:tab w:val="num" w:pos="1380"/>
        </w:tabs>
        <w:ind w:left="1380" w:hanging="420"/>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CB11A38"/>
    <w:multiLevelType w:val="hybridMultilevel"/>
    <w:tmpl w:val="1444F6B8"/>
    <w:lvl w:ilvl="0" w:tplc="BE5AF8B6">
      <w:start w:val="1"/>
      <w:numFmt w:val="decimal"/>
      <w:lvlText w:val="（%1）"/>
      <w:lvlJc w:val="left"/>
      <w:pPr>
        <w:ind w:left="750" w:hanging="480"/>
      </w:pPr>
      <w:rPr>
        <w:rFonts w:hint="default"/>
        <w:lang w:val="en-US"/>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3" w15:restartNumberingAfterBreak="0">
    <w:nsid w:val="3CEA2BD1"/>
    <w:multiLevelType w:val="hybridMultilevel"/>
    <w:tmpl w:val="C9926E9E"/>
    <w:lvl w:ilvl="0" w:tplc="5756EB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E13832"/>
    <w:multiLevelType w:val="hybridMultilevel"/>
    <w:tmpl w:val="AD0A0864"/>
    <w:lvl w:ilvl="0" w:tplc="426A32BC">
      <w:start w:val="1"/>
      <w:numFmt w:val="taiwaneseCountingThousand"/>
      <w:lvlText w:val="(%1)"/>
      <w:lvlJc w:val="left"/>
      <w:pPr>
        <w:ind w:left="480" w:hanging="480"/>
      </w:pPr>
      <w:rPr>
        <w:rFonts w:ascii="細明體" w:eastAsia="細明體" w:hAnsi="細明體"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2E7CAA"/>
    <w:multiLevelType w:val="hybridMultilevel"/>
    <w:tmpl w:val="1444F6B8"/>
    <w:lvl w:ilvl="0" w:tplc="BE5AF8B6">
      <w:start w:val="1"/>
      <w:numFmt w:val="decimal"/>
      <w:lvlText w:val="（%1）"/>
      <w:lvlJc w:val="left"/>
      <w:pPr>
        <w:ind w:left="750" w:hanging="480"/>
      </w:pPr>
      <w:rPr>
        <w:rFonts w:hint="default"/>
        <w:lang w:val="en-US"/>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6" w15:restartNumberingAfterBreak="0">
    <w:nsid w:val="4F2C00B9"/>
    <w:multiLevelType w:val="hybridMultilevel"/>
    <w:tmpl w:val="D272F6B6"/>
    <w:lvl w:ilvl="0" w:tplc="4F0AAB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8B5392"/>
    <w:multiLevelType w:val="hybridMultilevel"/>
    <w:tmpl w:val="B8C026AE"/>
    <w:lvl w:ilvl="0" w:tplc="887C75E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804369"/>
    <w:multiLevelType w:val="hybridMultilevel"/>
    <w:tmpl w:val="AB1015D0"/>
    <w:lvl w:ilvl="0" w:tplc="BE5AF8B6">
      <w:start w:val="1"/>
      <w:numFmt w:val="decimal"/>
      <w:lvlText w:val="（%1）"/>
      <w:lvlJc w:val="left"/>
      <w:pPr>
        <w:ind w:left="750" w:hanging="480"/>
      </w:pPr>
      <w:rPr>
        <w:rFonts w:hint="default"/>
        <w:lang w:val="en-US"/>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9" w15:restartNumberingAfterBreak="0">
    <w:nsid w:val="5B744631"/>
    <w:multiLevelType w:val="hybridMultilevel"/>
    <w:tmpl w:val="810E772E"/>
    <w:lvl w:ilvl="0" w:tplc="A2ECAB24">
      <w:start w:val="1"/>
      <w:numFmt w:val="taiwaneseCountingThousand"/>
      <w:lvlText w:val="%1、"/>
      <w:lvlJc w:val="left"/>
      <w:pPr>
        <w:ind w:left="7427" w:hanging="480"/>
      </w:pPr>
      <w:rPr>
        <w:rFonts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A871EA"/>
    <w:multiLevelType w:val="hybridMultilevel"/>
    <w:tmpl w:val="1D50FFA0"/>
    <w:lvl w:ilvl="0" w:tplc="F5546280">
      <w:start w:val="1"/>
      <w:numFmt w:val="taiwaneseCountingThousand"/>
      <w:lvlText w:val="(%1)"/>
      <w:lvlJc w:val="left"/>
      <w:pPr>
        <w:ind w:left="576" w:hanging="576"/>
      </w:pPr>
      <w:rPr>
        <w:rFonts w:ascii="標楷體" w:hAnsi="標楷體" w:cs="Times New Roman" w:hint="default"/>
        <w:color w:val="FF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34064F"/>
    <w:multiLevelType w:val="hybridMultilevel"/>
    <w:tmpl w:val="73D63FC0"/>
    <w:lvl w:ilvl="0" w:tplc="749264AE">
      <w:start w:val="1"/>
      <w:numFmt w:val="taiwaneseCountingThousand"/>
      <w:lvlText w:val="%1、"/>
      <w:lvlJc w:val="left"/>
      <w:pPr>
        <w:tabs>
          <w:tab w:val="num" w:pos="450"/>
        </w:tabs>
        <w:ind w:left="450" w:hanging="45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7F621E"/>
    <w:multiLevelType w:val="hybridMultilevel"/>
    <w:tmpl w:val="7610B154"/>
    <w:lvl w:ilvl="0" w:tplc="8AC4069E">
      <w:start w:val="1"/>
      <w:numFmt w:val="taiwaneseCountingThousand"/>
      <w:lvlText w:val="%1、"/>
      <w:lvlJc w:val="left"/>
      <w:pPr>
        <w:tabs>
          <w:tab w:val="num" w:pos="720"/>
        </w:tabs>
        <w:ind w:left="720" w:hanging="720"/>
      </w:pPr>
      <w:rPr>
        <w:rFonts w:hint="eastAsia"/>
      </w:rPr>
    </w:lvl>
    <w:lvl w:ilvl="1" w:tplc="0050700A">
      <w:start w:val="1"/>
      <w:numFmt w:val="taiwaneseCountingThousand"/>
      <w:lvlText w:val="（%2）"/>
      <w:lvlJc w:val="left"/>
      <w:pPr>
        <w:tabs>
          <w:tab w:val="num" w:pos="1335"/>
        </w:tabs>
        <w:ind w:left="1335" w:hanging="855"/>
      </w:pPr>
      <w:rPr>
        <w:rFonts w:ascii="Times New Roman" w:hAnsi="Times New Roman" w:hint="default"/>
      </w:rPr>
    </w:lvl>
    <w:lvl w:ilvl="2" w:tplc="8C4263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A2B1573"/>
    <w:multiLevelType w:val="hybridMultilevel"/>
    <w:tmpl w:val="30BCE6DC"/>
    <w:lvl w:ilvl="0" w:tplc="87229852">
      <w:start w:val="1"/>
      <w:numFmt w:val="taiwaneseCountingThousand"/>
      <w:lvlText w:val="%1、"/>
      <w:lvlJc w:val="left"/>
      <w:pPr>
        <w:tabs>
          <w:tab w:val="num" w:pos="1170"/>
        </w:tabs>
        <w:ind w:left="1170" w:hanging="450"/>
      </w:pPr>
      <w:rPr>
        <w:rFonts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7E171AE6"/>
    <w:multiLevelType w:val="hybridMultilevel"/>
    <w:tmpl w:val="03C864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E1D63C2"/>
    <w:multiLevelType w:val="hybridMultilevel"/>
    <w:tmpl w:val="F960A384"/>
    <w:lvl w:ilvl="0" w:tplc="1714D892">
      <w:start w:val="1"/>
      <w:numFmt w:val="taiwaneseCountingThousand"/>
      <w:lvlText w:val="%1、"/>
      <w:lvlJc w:val="left"/>
      <w:pPr>
        <w:ind w:left="480" w:hanging="480"/>
      </w:pPr>
      <w:rPr>
        <w:rFonts w:ascii="Calibr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1"/>
  </w:num>
  <w:num w:numId="2">
    <w:abstractNumId w:val="22"/>
  </w:num>
  <w:num w:numId="3">
    <w:abstractNumId w:val="13"/>
  </w:num>
  <w:num w:numId="4">
    <w:abstractNumId w:val="4"/>
  </w:num>
  <w:num w:numId="5">
    <w:abstractNumId w:val="10"/>
  </w:num>
  <w:num w:numId="6">
    <w:abstractNumId w:val="25"/>
  </w:num>
  <w:num w:numId="7">
    <w:abstractNumId w:val="6"/>
  </w:num>
  <w:num w:numId="8">
    <w:abstractNumId w:val="23"/>
  </w:num>
  <w:num w:numId="9">
    <w:abstractNumId w:val="7"/>
  </w:num>
  <w:num w:numId="10">
    <w:abstractNumId w:val="0"/>
  </w:num>
  <w:num w:numId="11">
    <w:abstractNumId w:val="5"/>
  </w:num>
  <w:num w:numId="12">
    <w:abstractNumId w:val="3"/>
  </w:num>
  <w:num w:numId="13">
    <w:abstractNumId w:val="24"/>
  </w:num>
  <w:num w:numId="14">
    <w:abstractNumId w:val="19"/>
  </w:num>
  <w:num w:numId="15">
    <w:abstractNumId w:val="17"/>
  </w:num>
  <w:num w:numId="16">
    <w:abstractNumId w:val="8"/>
  </w:num>
  <w:num w:numId="17">
    <w:abstractNumId w:val="12"/>
  </w:num>
  <w:num w:numId="18">
    <w:abstractNumId w:val="18"/>
  </w:num>
  <w:num w:numId="19">
    <w:abstractNumId w:val="15"/>
  </w:num>
  <w:num w:numId="20">
    <w:abstractNumId w:val="21"/>
  </w:num>
  <w:num w:numId="21">
    <w:abstractNumId w:val="1"/>
  </w:num>
  <w:num w:numId="22">
    <w:abstractNumId w:val="2"/>
  </w:num>
  <w:num w:numId="23">
    <w:abstractNumId w:val="9"/>
  </w:num>
  <w:num w:numId="24">
    <w:abstractNumId w:val="16"/>
  </w:num>
  <w:num w:numId="25">
    <w:abstractNumId w:val="14"/>
  </w:num>
  <w:num w:numId="26">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E2"/>
    <w:rsid w:val="000023CD"/>
    <w:rsid w:val="00005054"/>
    <w:rsid w:val="00010A09"/>
    <w:rsid w:val="00016DA9"/>
    <w:rsid w:val="000420B3"/>
    <w:rsid w:val="00044E5D"/>
    <w:rsid w:val="0004677E"/>
    <w:rsid w:val="00052F16"/>
    <w:rsid w:val="00062044"/>
    <w:rsid w:val="000636CF"/>
    <w:rsid w:val="00076832"/>
    <w:rsid w:val="000809F1"/>
    <w:rsid w:val="00081FDA"/>
    <w:rsid w:val="000875F3"/>
    <w:rsid w:val="00090C4D"/>
    <w:rsid w:val="00097162"/>
    <w:rsid w:val="000B79FA"/>
    <w:rsid w:val="000C1C83"/>
    <w:rsid w:val="000C3E9B"/>
    <w:rsid w:val="000C5114"/>
    <w:rsid w:val="000C5EEB"/>
    <w:rsid w:val="000D2A5E"/>
    <w:rsid w:val="000E0632"/>
    <w:rsid w:val="000E6A36"/>
    <w:rsid w:val="00106D09"/>
    <w:rsid w:val="00113898"/>
    <w:rsid w:val="00120C64"/>
    <w:rsid w:val="00126A91"/>
    <w:rsid w:val="00134740"/>
    <w:rsid w:val="00170491"/>
    <w:rsid w:val="001732BD"/>
    <w:rsid w:val="00182EBD"/>
    <w:rsid w:val="00183936"/>
    <w:rsid w:val="00194A31"/>
    <w:rsid w:val="001A54C6"/>
    <w:rsid w:val="001C600F"/>
    <w:rsid w:val="001D29A5"/>
    <w:rsid w:val="001D72CA"/>
    <w:rsid w:val="0020522A"/>
    <w:rsid w:val="00216D87"/>
    <w:rsid w:val="00253834"/>
    <w:rsid w:val="002638C3"/>
    <w:rsid w:val="00264D4D"/>
    <w:rsid w:val="002669B2"/>
    <w:rsid w:val="00294FEA"/>
    <w:rsid w:val="002A464C"/>
    <w:rsid w:val="002B324F"/>
    <w:rsid w:val="002B37E3"/>
    <w:rsid w:val="002D2E18"/>
    <w:rsid w:val="002E01AE"/>
    <w:rsid w:val="002F0BA2"/>
    <w:rsid w:val="00304E0A"/>
    <w:rsid w:val="00312D59"/>
    <w:rsid w:val="00314379"/>
    <w:rsid w:val="00336EDF"/>
    <w:rsid w:val="00342A56"/>
    <w:rsid w:val="00346388"/>
    <w:rsid w:val="003548D6"/>
    <w:rsid w:val="0037386B"/>
    <w:rsid w:val="003830F4"/>
    <w:rsid w:val="003A1447"/>
    <w:rsid w:val="003A5745"/>
    <w:rsid w:val="003A5969"/>
    <w:rsid w:val="003C2148"/>
    <w:rsid w:val="004133DC"/>
    <w:rsid w:val="00447CB4"/>
    <w:rsid w:val="0045310B"/>
    <w:rsid w:val="004605C6"/>
    <w:rsid w:val="004652EC"/>
    <w:rsid w:val="00467F98"/>
    <w:rsid w:val="004C7681"/>
    <w:rsid w:val="004D4062"/>
    <w:rsid w:val="004D6318"/>
    <w:rsid w:val="004E159A"/>
    <w:rsid w:val="004E7BE2"/>
    <w:rsid w:val="004F41A4"/>
    <w:rsid w:val="00500EFC"/>
    <w:rsid w:val="005273EC"/>
    <w:rsid w:val="005276D2"/>
    <w:rsid w:val="00543AA8"/>
    <w:rsid w:val="00575C5F"/>
    <w:rsid w:val="00581F78"/>
    <w:rsid w:val="0059011F"/>
    <w:rsid w:val="005C7184"/>
    <w:rsid w:val="005E11B8"/>
    <w:rsid w:val="005E7908"/>
    <w:rsid w:val="00607C3A"/>
    <w:rsid w:val="00612617"/>
    <w:rsid w:val="00637E15"/>
    <w:rsid w:val="0064382C"/>
    <w:rsid w:val="006520C4"/>
    <w:rsid w:val="00664D57"/>
    <w:rsid w:val="00677F75"/>
    <w:rsid w:val="00690202"/>
    <w:rsid w:val="006950B5"/>
    <w:rsid w:val="006A5642"/>
    <w:rsid w:val="006C66FD"/>
    <w:rsid w:val="006E299B"/>
    <w:rsid w:val="006E7DBE"/>
    <w:rsid w:val="006F712B"/>
    <w:rsid w:val="00703D7A"/>
    <w:rsid w:val="00711819"/>
    <w:rsid w:val="00716D2D"/>
    <w:rsid w:val="00722B35"/>
    <w:rsid w:val="00724C11"/>
    <w:rsid w:val="00725798"/>
    <w:rsid w:val="00730EDB"/>
    <w:rsid w:val="00731100"/>
    <w:rsid w:val="007337D1"/>
    <w:rsid w:val="007646CF"/>
    <w:rsid w:val="00776AE9"/>
    <w:rsid w:val="00787D9E"/>
    <w:rsid w:val="007A2BDE"/>
    <w:rsid w:val="007B1BAB"/>
    <w:rsid w:val="007D4D81"/>
    <w:rsid w:val="007F787E"/>
    <w:rsid w:val="007F7A1A"/>
    <w:rsid w:val="00815452"/>
    <w:rsid w:val="00821E9D"/>
    <w:rsid w:val="008420A9"/>
    <w:rsid w:val="00867371"/>
    <w:rsid w:val="008805F5"/>
    <w:rsid w:val="00883E71"/>
    <w:rsid w:val="00890E31"/>
    <w:rsid w:val="00892699"/>
    <w:rsid w:val="008A07D6"/>
    <w:rsid w:val="008B1AAD"/>
    <w:rsid w:val="008C02B8"/>
    <w:rsid w:val="008C61B4"/>
    <w:rsid w:val="0092082B"/>
    <w:rsid w:val="00925FF9"/>
    <w:rsid w:val="009304B6"/>
    <w:rsid w:val="00942E68"/>
    <w:rsid w:val="0095353C"/>
    <w:rsid w:val="009670F1"/>
    <w:rsid w:val="009673A1"/>
    <w:rsid w:val="009B1EC2"/>
    <w:rsid w:val="009C23B1"/>
    <w:rsid w:val="009F57EE"/>
    <w:rsid w:val="009F5B3D"/>
    <w:rsid w:val="00A22FA6"/>
    <w:rsid w:val="00A276D5"/>
    <w:rsid w:val="00A8560B"/>
    <w:rsid w:val="00A91E7F"/>
    <w:rsid w:val="00AB6E93"/>
    <w:rsid w:val="00AC5745"/>
    <w:rsid w:val="00AD079D"/>
    <w:rsid w:val="00AE1A2E"/>
    <w:rsid w:val="00AF07DB"/>
    <w:rsid w:val="00B04EAC"/>
    <w:rsid w:val="00B704CC"/>
    <w:rsid w:val="00B82598"/>
    <w:rsid w:val="00B87296"/>
    <w:rsid w:val="00B91E44"/>
    <w:rsid w:val="00B95C3A"/>
    <w:rsid w:val="00BD4A4E"/>
    <w:rsid w:val="00BE3B6E"/>
    <w:rsid w:val="00BF2E4F"/>
    <w:rsid w:val="00C03B8C"/>
    <w:rsid w:val="00C56740"/>
    <w:rsid w:val="00C66960"/>
    <w:rsid w:val="00C7417E"/>
    <w:rsid w:val="00C81725"/>
    <w:rsid w:val="00C85269"/>
    <w:rsid w:val="00C85D51"/>
    <w:rsid w:val="00C87B99"/>
    <w:rsid w:val="00C952D3"/>
    <w:rsid w:val="00C97546"/>
    <w:rsid w:val="00CA7F40"/>
    <w:rsid w:val="00CC66A7"/>
    <w:rsid w:val="00CE3862"/>
    <w:rsid w:val="00D01AF6"/>
    <w:rsid w:val="00D039B0"/>
    <w:rsid w:val="00D06F33"/>
    <w:rsid w:val="00D23DF0"/>
    <w:rsid w:val="00D307E0"/>
    <w:rsid w:val="00D356E0"/>
    <w:rsid w:val="00D40CAA"/>
    <w:rsid w:val="00D40E4D"/>
    <w:rsid w:val="00D47BD5"/>
    <w:rsid w:val="00D5507A"/>
    <w:rsid w:val="00D62B17"/>
    <w:rsid w:val="00D671CB"/>
    <w:rsid w:val="00D75435"/>
    <w:rsid w:val="00D80F5D"/>
    <w:rsid w:val="00D93D4F"/>
    <w:rsid w:val="00D940E0"/>
    <w:rsid w:val="00DA5DE5"/>
    <w:rsid w:val="00DB2840"/>
    <w:rsid w:val="00DB48E0"/>
    <w:rsid w:val="00DC2F8D"/>
    <w:rsid w:val="00DD5FCE"/>
    <w:rsid w:val="00E1147E"/>
    <w:rsid w:val="00E124BF"/>
    <w:rsid w:val="00E3312D"/>
    <w:rsid w:val="00E53120"/>
    <w:rsid w:val="00E709D8"/>
    <w:rsid w:val="00E85821"/>
    <w:rsid w:val="00E866A7"/>
    <w:rsid w:val="00EB42BF"/>
    <w:rsid w:val="00EB42CF"/>
    <w:rsid w:val="00EC2C90"/>
    <w:rsid w:val="00ED0ACB"/>
    <w:rsid w:val="00ED50D5"/>
    <w:rsid w:val="00EE4EC8"/>
    <w:rsid w:val="00EF27A4"/>
    <w:rsid w:val="00EF3404"/>
    <w:rsid w:val="00F016BF"/>
    <w:rsid w:val="00F11FFC"/>
    <w:rsid w:val="00F1289C"/>
    <w:rsid w:val="00F17738"/>
    <w:rsid w:val="00F25BA2"/>
    <w:rsid w:val="00F30AEE"/>
    <w:rsid w:val="00F4668B"/>
    <w:rsid w:val="00F7656D"/>
    <w:rsid w:val="00F77628"/>
    <w:rsid w:val="00FE4409"/>
    <w:rsid w:val="00FE52E8"/>
    <w:rsid w:val="00FE5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CC3ED"/>
  <w15:docId w15:val="{E01B63D6-D706-4680-87D9-D8031E86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0809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案由"/>
    <w:basedOn w:val="a"/>
    <w:rsid w:val="000809F1"/>
    <w:rPr>
      <w:rFonts w:eastAsia="標楷體"/>
      <w:sz w:val="32"/>
    </w:rPr>
  </w:style>
  <w:style w:type="paragraph" w:customStyle="1" w:styleId="a4">
    <w:name w:val="主文"/>
    <w:basedOn w:val="a"/>
    <w:rsid w:val="000809F1"/>
    <w:rPr>
      <w:rFonts w:eastAsia="標楷體"/>
      <w:sz w:val="32"/>
    </w:rPr>
  </w:style>
  <w:style w:type="paragraph" w:customStyle="1" w:styleId="a5">
    <w:name w:val="首長"/>
    <w:basedOn w:val="a"/>
    <w:rsid w:val="000809F1"/>
    <w:pPr>
      <w:snapToGrid w:val="0"/>
      <w:spacing w:line="500" w:lineRule="exact"/>
      <w:ind w:left="964" w:hanging="964"/>
      <w:jc w:val="both"/>
    </w:pPr>
    <w:rPr>
      <w:rFonts w:eastAsia="標楷體"/>
      <w:sz w:val="36"/>
      <w:szCs w:val="20"/>
    </w:rPr>
  </w:style>
  <w:style w:type="paragraph" w:styleId="a6">
    <w:name w:val="Body Text Indent"/>
    <w:basedOn w:val="a"/>
    <w:rsid w:val="000809F1"/>
    <w:pPr>
      <w:ind w:firstLineChars="200" w:firstLine="640"/>
    </w:pPr>
    <w:rPr>
      <w:rFonts w:ascii="標楷體" w:eastAsia="標楷體"/>
      <w:sz w:val="32"/>
    </w:rPr>
  </w:style>
  <w:style w:type="character" w:styleId="a7">
    <w:name w:val="Strong"/>
    <w:basedOn w:val="a0"/>
    <w:qFormat/>
    <w:rsid w:val="000809F1"/>
    <w:rPr>
      <w:b/>
      <w:bCs/>
    </w:rPr>
  </w:style>
  <w:style w:type="paragraph" w:customStyle="1" w:styleId="a8">
    <w:name w:val="理由"/>
    <w:basedOn w:val="a"/>
    <w:rsid w:val="000809F1"/>
    <w:rPr>
      <w:rFonts w:eastAsia="標楷體"/>
      <w:sz w:val="32"/>
    </w:rPr>
  </w:style>
  <w:style w:type="character" w:styleId="a9">
    <w:name w:val="page number"/>
    <w:basedOn w:val="a0"/>
    <w:rsid w:val="000809F1"/>
  </w:style>
  <w:style w:type="paragraph" w:styleId="aa">
    <w:name w:val="footer"/>
    <w:basedOn w:val="a"/>
    <w:rsid w:val="000809F1"/>
    <w:pPr>
      <w:tabs>
        <w:tab w:val="center" w:pos="4153"/>
        <w:tab w:val="right" w:pos="8306"/>
      </w:tabs>
      <w:snapToGrid w:val="0"/>
    </w:pPr>
    <w:rPr>
      <w:sz w:val="20"/>
      <w:szCs w:val="20"/>
    </w:rPr>
  </w:style>
  <w:style w:type="paragraph" w:styleId="ab">
    <w:name w:val="Body Text"/>
    <w:basedOn w:val="a"/>
    <w:rsid w:val="000809F1"/>
    <w:pPr>
      <w:spacing w:line="500" w:lineRule="exact"/>
      <w:jc w:val="both"/>
    </w:pPr>
    <w:rPr>
      <w:rFonts w:ascii="標楷體" w:eastAsia="標楷體" w:hAnsi="標楷體"/>
      <w:color w:val="000000"/>
      <w:sz w:val="28"/>
      <w:szCs w:val="32"/>
    </w:rPr>
  </w:style>
  <w:style w:type="paragraph" w:styleId="ac">
    <w:name w:val="Date"/>
    <w:basedOn w:val="a"/>
    <w:next w:val="a"/>
    <w:rsid w:val="000809F1"/>
    <w:pPr>
      <w:jc w:val="right"/>
    </w:pPr>
    <w:rPr>
      <w:rFonts w:ascii="標楷體" w:eastAsia="標楷體" w:hAnsi="標楷體"/>
      <w:color w:val="000000"/>
      <w:sz w:val="28"/>
      <w:szCs w:val="32"/>
    </w:rPr>
  </w:style>
  <w:style w:type="paragraph" w:styleId="ad">
    <w:name w:val="List Paragraph"/>
    <w:basedOn w:val="a"/>
    <w:uiPriority w:val="34"/>
    <w:qFormat/>
    <w:rsid w:val="000809F1"/>
    <w:pPr>
      <w:ind w:leftChars="200" w:left="480"/>
    </w:pPr>
    <w:rPr>
      <w:rFonts w:ascii="Calibri" w:hAnsi="Calibri"/>
      <w:szCs w:val="22"/>
    </w:rPr>
  </w:style>
  <w:style w:type="paragraph" w:styleId="ae">
    <w:name w:val="header"/>
    <w:basedOn w:val="a"/>
    <w:rsid w:val="000809F1"/>
    <w:pPr>
      <w:tabs>
        <w:tab w:val="center" w:pos="4153"/>
        <w:tab w:val="right" w:pos="8306"/>
      </w:tabs>
      <w:snapToGrid w:val="0"/>
    </w:pPr>
    <w:rPr>
      <w:sz w:val="20"/>
      <w:szCs w:val="20"/>
    </w:rPr>
  </w:style>
  <w:style w:type="character" w:customStyle="1" w:styleId="af">
    <w:name w:val="頁首 字元"/>
    <w:basedOn w:val="a0"/>
    <w:rsid w:val="000809F1"/>
    <w:rPr>
      <w:kern w:val="2"/>
    </w:rPr>
  </w:style>
  <w:style w:type="paragraph" w:styleId="2">
    <w:name w:val="Body Text 2"/>
    <w:basedOn w:val="a"/>
    <w:rsid w:val="000809F1"/>
    <w:pPr>
      <w:spacing w:line="500" w:lineRule="exact"/>
      <w:jc w:val="both"/>
    </w:pPr>
    <w:rPr>
      <w:rFonts w:eastAsia="標楷體"/>
      <w:sz w:val="28"/>
    </w:rPr>
  </w:style>
  <w:style w:type="paragraph" w:styleId="20">
    <w:name w:val="Body Text Indent 2"/>
    <w:basedOn w:val="a"/>
    <w:rsid w:val="000809F1"/>
    <w:pPr>
      <w:spacing w:line="500" w:lineRule="exact"/>
      <w:ind w:leftChars="201" w:left="482" w:firstLineChars="300" w:firstLine="840"/>
      <w:jc w:val="both"/>
    </w:pPr>
    <w:rPr>
      <w:rFonts w:eastAsia="標楷體"/>
      <w:sz w:val="28"/>
    </w:rPr>
  </w:style>
  <w:style w:type="paragraph" w:customStyle="1" w:styleId="af0">
    <w:name w:val="字元 字元 字元"/>
    <w:basedOn w:val="a"/>
    <w:semiHidden/>
    <w:rsid w:val="00134740"/>
    <w:pPr>
      <w:widowControl/>
      <w:spacing w:after="160" w:line="240" w:lineRule="exact"/>
    </w:pPr>
    <w:rPr>
      <w:rFonts w:ascii="Verdana" w:eastAsia="Times New Roman" w:hAnsi="Verdana" w:cs="Mangal"/>
      <w:sz w:val="20"/>
      <w:lang w:eastAsia="en-US" w:bidi="hi-IN"/>
    </w:rPr>
  </w:style>
  <w:style w:type="paragraph" w:customStyle="1" w:styleId="Char">
    <w:name w:val="Char"/>
    <w:basedOn w:val="a"/>
    <w:rsid w:val="00097162"/>
    <w:pPr>
      <w:widowControl/>
      <w:spacing w:after="160" w:line="240" w:lineRule="exact"/>
    </w:pPr>
    <w:rPr>
      <w:rFonts w:ascii="Verdana" w:hAnsi="Verdana"/>
      <w:kern w:val="0"/>
      <w:sz w:val="20"/>
      <w:szCs w:val="20"/>
      <w:lang w:eastAsia="en-US"/>
    </w:rPr>
  </w:style>
  <w:style w:type="paragraph" w:customStyle="1" w:styleId="af1">
    <w:name w:val="主旨"/>
    <w:basedOn w:val="a"/>
    <w:rsid w:val="00B91E44"/>
    <w:pPr>
      <w:snapToGrid w:val="0"/>
      <w:ind w:left="964" w:hanging="964"/>
      <w:jc w:val="both"/>
    </w:pPr>
    <w:rPr>
      <w:rFonts w:eastAsia="標楷體"/>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9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BEA96-3B2B-483D-9840-871EF3CE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643</Words>
  <Characters>3669</Characters>
  <Application>Microsoft Office Word</Application>
  <DocSecurity>0</DocSecurity>
  <Lines>30</Lines>
  <Paragraphs>8</Paragraphs>
  <ScaleCrop>false</ScaleCrop>
  <Company>MyPC</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臺南市政府採購申訴審議判斷書【訴○○○○號】</dc:title>
  <dc:creator>WinXP</dc:creator>
  <cp:lastModifiedBy>秘書處</cp:lastModifiedBy>
  <cp:revision>2</cp:revision>
  <cp:lastPrinted>2014-08-18T07:59:00Z</cp:lastPrinted>
  <dcterms:created xsi:type="dcterms:W3CDTF">2017-01-26T09:27:00Z</dcterms:created>
  <dcterms:modified xsi:type="dcterms:W3CDTF">2017-01-26T09:27:00Z</dcterms:modified>
</cp:coreProperties>
</file>