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5E272" w14:textId="536EED27" w:rsidR="00EC63A9" w:rsidRPr="004359C8" w:rsidRDefault="00527353" w:rsidP="00527353">
      <w:pPr>
        <w:jc w:val="center"/>
        <w:rPr>
          <w:rFonts w:ascii="標楷體" w:eastAsia="標楷體" w:hAnsi="標楷體"/>
          <w:b/>
          <w:bCs/>
          <w:sz w:val="28"/>
          <w:szCs w:val="28"/>
        </w:rPr>
      </w:pPr>
      <w:r w:rsidRPr="004359C8">
        <w:rPr>
          <w:rFonts w:ascii="標楷體" w:eastAsia="標楷體" w:hAnsi="標楷體" w:hint="eastAsia"/>
          <w:b/>
          <w:bCs/>
          <w:sz w:val="28"/>
          <w:szCs w:val="28"/>
        </w:rPr>
        <w:t>「</w:t>
      </w:r>
      <w:proofErr w:type="gramStart"/>
      <w:r w:rsidRPr="004359C8">
        <w:rPr>
          <w:rFonts w:ascii="標楷體" w:eastAsia="標楷體" w:hAnsi="標楷體" w:hint="eastAsia"/>
          <w:b/>
          <w:bCs/>
          <w:sz w:val="28"/>
          <w:szCs w:val="28"/>
        </w:rPr>
        <w:t>臺</w:t>
      </w:r>
      <w:proofErr w:type="gramEnd"/>
      <w:r w:rsidRPr="004359C8">
        <w:rPr>
          <w:rFonts w:ascii="標楷體" w:eastAsia="標楷體" w:hAnsi="標楷體" w:hint="eastAsia"/>
          <w:b/>
          <w:bCs/>
          <w:sz w:val="28"/>
          <w:szCs w:val="28"/>
        </w:rPr>
        <w:t>南市永康區污水下水道系統第二期（PA分區）管線及用戶接管工程第三標」招標文件廠商請求釋疑回覆表</w:t>
      </w:r>
    </w:p>
    <w:tbl>
      <w:tblPr>
        <w:tblStyle w:val="af2"/>
        <w:tblW w:w="0" w:type="auto"/>
        <w:tblLook w:val="04A0" w:firstRow="1" w:lastRow="0" w:firstColumn="1" w:lastColumn="0" w:noHBand="0" w:noVBand="1"/>
      </w:tblPr>
      <w:tblGrid>
        <w:gridCol w:w="846"/>
        <w:gridCol w:w="3827"/>
        <w:gridCol w:w="2410"/>
        <w:gridCol w:w="2693"/>
        <w:gridCol w:w="4172"/>
      </w:tblGrid>
      <w:tr w:rsidR="00527353" w14:paraId="62DCC84C" w14:textId="77777777" w:rsidTr="00D0035E">
        <w:tc>
          <w:tcPr>
            <w:tcW w:w="846" w:type="dxa"/>
          </w:tcPr>
          <w:p w14:paraId="42FF0AFF" w14:textId="1CA5FAAB" w:rsidR="00527353" w:rsidRDefault="00527353" w:rsidP="00527353">
            <w:pPr>
              <w:jc w:val="center"/>
              <w:rPr>
                <w:rFonts w:ascii="標楷體" w:eastAsia="標楷體" w:hAnsi="標楷體"/>
              </w:rPr>
            </w:pPr>
            <w:r>
              <w:rPr>
                <w:rFonts w:ascii="標楷體" w:eastAsia="標楷體" w:hAnsi="標楷體" w:hint="eastAsia"/>
              </w:rPr>
              <w:t>編號</w:t>
            </w:r>
          </w:p>
        </w:tc>
        <w:tc>
          <w:tcPr>
            <w:tcW w:w="3827" w:type="dxa"/>
          </w:tcPr>
          <w:p w14:paraId="4D55A477" w14:textId="63721582" w:rsidR="00527353" w:rsidRDefault="00527353" w:rsidP="00527353">
            <w:pPr>
              <w:jc w:val="center"/>
              <w:rPr>
                <w:rFonts w:ascii="標楷體" w:eastAsia="標楷體" w:hAnsi="標楷體"/>
              </w:rPr>
            </w:pPr>
            <w:r>
              <w:rPr>
                <w:rFonts w:ascii="標楷體" w:eastAsia="標楷體" w:hAnsi="標楷體" w:hint="eastAsia"/>
              </w:rPr>
              <w:t>招標文件內容及項目</w:t>
            </w:r>
          </w:p>
        </w:tc>
        <w:tc>
          <w:tcPr>
            <w:tcW w:w="2410" w:type="dxa"/>
          </w:tcPr>
          <w:p w14:paraId="69933C2D" w14:textId="195EB6B0" w:rsidR="00527353" w:rsidRDefault="00527353" w:rsidP="00527353">
            <w:pPr>
              <w:jc w:val="center"/>
              <w:rPr>
                <w:rFonts w:ascii="標楷體" w:eastAsia="標楷體" w:hAnsi="標楷體"/>
              </w:rPr>
            </w:pPr>
            <w:r>
              <w:rPr>
                <w:rFonts w:ascii="標楷體" w:eastAsia="標楷體" w:hAnsi="標楷體" w:hint="eastAsia"/>
              </w:rPr>
              <w:t>廠商疑義說明與建議</w:t>
            </w:r>
          </w:p>
        </w:tc>
        <w:tc>
          <w:tcPr>
            <w:tcW w:w="2693" w:type="dxa"/>
          </w:tcPr>
          <w:p w14:paraId="5078671C" w14:textId="0A41D120" w:rsidR="00527353" w:rsidRDefault="00527353" w:rsidP="00527353">
            <w:pPr>
              <w:jc w:val="center"/>
              <w:rPr>
                <w:rFonts w:ascii="標楷體" w:eastAsia="標楷體" w:hAnsi="標楷體"/>
              </w:rPr>
            </w:pPr>
            <w:r>
              <w:rPr>
                <w:rFonts w:ascii="標楷體" w:eastAsia="標楷體" w:hAnsi="標楷體" w:hint="eastAsia"/>
              </w:rPr>
              <w:t>本局回覆說明</w:t>
            </w:r>
          </w:p>
        </w:tc>
        <w:tc>
          <w:tcPr>
            <w:tcW w:w="4172" w:type="dxa"/>
          </w:tcPr>
          <w:p w14:paraId="36187211" w14:textId="63069DA9" w:rsidR="00527353" w:rsidRDefault="00527353" w:rsidP="00527353">
            <w:pPr>
              <w:jc w:val="center"/>
              <w:rPr>
                <w:rFonts w:ascii="標楷體" w:eastAsia="標楷體" w:hAnsi="標楷體"/>
              </w:rPr>
            </w:pPr>
            <w:r>
              <w:rPr>
                <w:rFonts w:ascii="標楷體" w:eastAsia="標楷體" w:hAnsi="標楷體" w:hint="eastAsia"/>
              </w:rPr>
              <w:t>招標文件調整後內容</w:t>
            </w:r>
          </w:p>
        </w:tc>
      </w:tr>
      <w:tr w:rsidR="00527353" w14:paraId="792148B9" w14:textId="77777777" w:rsidTr="00D0035E">
        <w:tc>
          <w:tcPr>
            <w:tcW w:w="846" w:type="dxa"/>
          </w:tcPr>
          <w:p w14:paraId="4AFCE872" w14:textId="0CB04EEF" w:rsidR="00527353" w:rsidRDefault="00943163" w:rsidP="00527353">
            <w:pPr>
              <w:jc w:val="center"/>
              <w:rPr>
                <w:rFonts w:ascii="標楷體" w:eastAsia="標楷體" w:hAnsi="標楷體"/>
              </w:rPr>
            </w:pPr>
            <w:r>
              <w:rPr>
                <w:rFonts w:ascii="標楷體" w:eastAsia="標楷體" w:hAnsi="標楷體" w:hint="eastAsia"/>
              </w:rPr>
              <w:t>1</w:t>
            </w:r>
          </w:p>
        </w:tc>
        <w:tc>
          <w:tcPr>
            <w:tcW w:w="3827" w:type="dxa"/>
          </w:tcPr>
          <w:p w14:paraId="5B7D4980" w14:textId="77777777" w:rsidR="00527353" w:rsidRPr="00BC7FA8" w:rsidRDefault="00943163" w:rsidP="00943163">
            <w:pPr>
              <w:rPr>
                <w:rFonts w:ascii="標楷體" w:eastAsia="標楷體" w:hAnsi="標楷體"/>
              </w:rPr>
            </w:pPr>
            <w:r w:rsidRPr="00BC7FA8">
              <w:rPr>
                <w:rFonts w:ascii="標楷體" w:eastAsia="標楷體" w:hAnsi="標楷體" w:hint="eastAsia"/>
              </w:rPr>
              <w:t>投標須知</w:t>
            </w:r>
          </w:p>
          <w:p w14:paraId="4DCB1740" w14:textId="77777777" w:rsidR="00943163" w:rsidRPr="00BC7FA8" w:rsidRDefault="00943163" w:rsidP="00943163">
            <w:pPr>
              <w:pStyle w:val="71"/>
              <w:spacing w:line="400" w:lineRule="exact"/>
              <w:textDirection w:val="lrTbV"/>
              <w:rPr>
                <w:rFonts w:eastAsia="標楷體"/>
                <w:spacing w:val="0"/>
                <w:szCs w:val="24"/>
              </w:rPr>
            </w:pPr>
            <w:r w:rsidRPr="00BC7FA8">
              <w:rPr>
                <w:rFonts w:ascii="標楷體" w:eastAsia="標楷體" w:hAnsi="標楷體" w:hint="eastAsia"/>
                <w:szCs w:val="24"/>
              </w:rPr>
              <w:t>二十八、</w:t>
            </w:r>
            <w:r w:rsidRPr="00BC7FA8">
              <w:rPr>
                <w:rFonts w:eastAsia="標楷體"/>
                <w:spacing w:val="0"/>
                <w:szCs w:val="24"/>
              </w:rPr>
              <w:t>本採購：</w:t>
            </w:r>
          </w:p>
          <w:p w14:paraId="0347D815" w14:textId="77777777" w:rsidR="00943163" w:rsidRPr="00BC7FA8" w:rsidRDefault="00943163" w:rsidP="00943163">
            <w:pPr>
              <w:pStyle w:val="71"/>
              <w:spacing w:line="400" w:lineRule="exact"/>
              <w:ind w:leftChars="230" w:left="792" w:hangingChars="100" w:hanging="240"/>
              <w:textDirection w:val="lrTbV"/>
              <w:rPr>
                <w:rFonts w:eastAsia="標楷體"/>
                <w:spacing w:val="0"/>
                <w:szCs w:val="24"/>
              </w:rPr>
            </w:pPr>
            <w:r w:rsidRPr="00BC7FA8">
              <w:rPr>
                <w:rFonts w:ascii="SimHei" w:eastAsia="SimHei" w:hAnsi="SimHei" w:hint="eastAsia"/>
                <w:spacing w:val="0"/>
                <w:szCs w:val="24"/>
              </w:rPr>
              <w:t>□</w:t>
            </w:r>
            <w:r w:rsidRPr="00BC7FA8">
              <w:rPr>
                <w:rFonts w:eastAsia="標楷體"/>
                <w:spacing w:val="0"/>
                <w:szCs w:val="24"/>
              </w:rPr>
              <w:t>(1)</w:t>
            </w:r>
            <w:r w:rsidRPr="00BC7FA8">
              <w:rPr>
                <w:rFonts w:eastAsia="標楷體"/>
                <w:spacing w:val="0"/>
                <w:szCs w:val="24"/>
              </w:rPr>
              <w:t>依採購法第</w:t>
            </w:r>
            <w:r w:rsidRPr="00BC7FA8">
              <w:rPr>
                <w:rFonts w:eastAsia="標楷體"/>
                <w:spacing w:val="0"/>
                <w:szCs w:val="24"/>
              </w:rPr>
              <w:t>25</w:t>
            </w:r>
            <w:r w:rsidRPr="00BC7FA8">
              <w:rPr>
                <w:rFonts w:eastAsia="標楷體"/>
                <w:spacing w:val="0"/>
                <w:szCs w:val="24"/>
              </w:rPr>
              <w:t>條規定允許廠商共同投標</w:t>
            </w:r>
            <w:r w:rsidRPr="00BC7FA8">
              <w:rPr>
                <w:rFonts w:eastAsia="標楷體"/>
                <w:spacing w:val="0"/>
                <w:szCs w:val="24"/>
              </w:rPr>
              <w:t>(</w:t>
            </w:r>
            <w:r w:rsidRPr="00BC7FA8">
              <w:rPr>
                <w:rFonts w:eastAsia="標楷體"/>
                <w:spacing w:val="0"/>
                <w:szCs w:val="24"/>
              </w:rPr>
              <w:t>招標</w:t>
            </w:r>
            <w:proofErr w:type="gramStart"/>
            <w:r w:rsidRPr="00BC7FA8">
              <w:rPr>
                <w:rFonts w:eastAsia="標楷體"/>
                <w:spacing w:val="0"/>
                <w:szCs w:val="24"/>
              </w:rPr>
              <w:t>文件已附共同</w:t>
            </w:r>
            <w:proofErr w:type="gramEnd"/>
            <w:r w:rsidRPr="00BC7FA8">
              <w:rPr>
                <w:rFonts w:eastAsia="標楷體"/>
                <w:spacing w:val="0"/>
                <w:szCs w:val="24"/>
              </w:rPr>
              <w:t>投標協議書範本，詳共同投標補充規定如附說明</w:t>
            </w:r>
            <w:r w:rsidRPr="00BC7FA8">
              <w:rPr>
                <w:rFonts w:eastAsia="標楷體"/>
                <w:spacing w:val="0"/>
                <w:szCs w:val="24"/>
              </w:rPr>
              <w:t>2)</w:t>
            </w:r>
            <w:r w:rsidRPr="00BC7FA8">
              <w:rPr>
                <w:rFonts w:eastAsia="標楷體"/>
                <w:spacing w:val="0"/>
                <w:szCs w:val="24"/>
              </w:rPr>
              <w:t>；廠商家數上限為</w:t>
            </w:r>
            <w:r w:rsidRPr="00BC7FA8">
              <w:rPr>
                <w:rFonts w:ascii="SimHei" w:eastAsia="SimHei" w:hAnsi="SimHei" w:hint="eastAsia"/>
                <w:spacing w:val="0"/>
                <w:szCs w:val="24"/>
              </w:rPr>
              <w:t>□</w:t>
            </w:r>
            <w:r w:rsidRPr="00BC7FA8">
              <w:rPr>
                <w:rFonts w:eastAsia="標楷體"/>
                <w:spacing w:val="0"/>
                <w:szCs w:val="24"/>
              </w:rPr>
              <w:t>2</w:t>
            </w:r>
            <w:r w:rsidRPr="00BC7FA8">
              <w:rPr>
                <w:rFonts w:eastAsia="標楷體"/>
                <w:spacing w:val="0"/>
                <w:szCs w:val="24"/>
              </w:rPr>
              <w:t>家；</w:t>
            </w:r>
            <w:r w:rsidRPr="00BC7FA8">
              <w:rPr>
                <w:rFonts w:ascii="SimHei" w:eastAsia="SimHei" w:hAnsi="SimHei" w:hint="eastAsia"/>
                <w:spacing w:val="0"/>
                <w:szCs w:val="24"/>
              </w:rPr>
              <w:t>□</w:t>
            </w:r>
            <w:r w:rsidRPr="00BC7FA8">
              <w:rPr>
                <w:rFonts w:eastAsia="標楷體"/>
                <w:spacing w:val="0"/>
                <w:szCs w:val="24"/>
              </w:rPr>
              <w:t>3</w:t>
            </w:r>
            <w:r w:rsidRPr="00BC7FA8">
              <w:rPr>
                <w:rFonts w:eastAsia="標楷體"/>
                <w:spacing w:val="0"/>
                <w:szCs w:val="24"/>
              </w:rPr>
              <w:t>家；</w:t>
            </w:r>
            <w:r w:rsidRPr="00BC7FA8">
              <w:rPr>
                <w:rFonts w:ascii="SimHei" w:eastAsia="SimHei" w:hAnsi="SimHei" w:hint="eastAsia"/>
                <w:spacing w:val="0"/>
                <w:szCs w:val="24"/>
              </w:rPr>
              <w:t>□</w:t>
            </w:r>
            <w:r w:rsidRPr="00BC7FA8">
              <w:rPr>
                <w:rFonts w:eastAsia="標楷體"/>
                <w:spacing w:val="0"/>
                <w:szCs w:val="24"/>
              </w:rPr>
              <w:t>4</w:t>
            </w:r>
            <w:r w:rsidRPr="00BC7FA8">
              <w:rPr>
                <w:rFonts w:eastAsia="標楷體"/>
                <w:spacing w:val="0"/>
                <w:szCs w:val="24"/>
              </w:rPr>
              <w:t>家；</w:t>
            </w:r>
            <w:r w:rsidRPr="00BC7FA8">
              <w:rPr>
                <w:rFonts w:ascii="SimHei" w:eastAsia="SimHei" w:hAnsi="SimHei" w:hint="eastAsia"/>
                <w:spacing w:val="0"/>
                <w:szCs w:val="24"/>
              </w:rPr>
              <w:t>□</w:t>
            </w:r>
            <w:r w:rsidRPr="00BC7FA8">
              <w:rPr>
                <w:rFonts w:eastAsia="標楷體"/>
                <w:spacing w:val="0"/>
                <w:szCs w:val="24"/>
              </w:rPr>
              <w:t>5</w:t>
            </w:r>
            <w:r w:rsidRPr="00BC7FA8">
              <w:rPr>
                <w:rFonts w:eastAsia="標楷體"/>
                <w:spacing w:val="0"/>
                <w:szCs w:val="24"/>
              </w:rPr>
              <w:t>家。</w:t>
            </w:r>
          </w:p>
          <w:p w14:paraId="5F8D733E" w14:textId="1E25D632" w:rsidR="00943163" w:rsidRPr="00BC7FA8" w:rsidRDefault="00943163" w:rsidP="00943163">
            <w:pPr>
              <w:rPr>
                <w:rFonts w:eastAsia="標楷體"/>
              </w:rPr>
            </w:pPr>
            <w:r w:rsidRPr="00BC7FA8">
              <w:rPr>
                <w:rFonts w:asciiTheme="minorEastAsia" w:hAnsiTheme="minorEastAsia" w:hint="eastAsia"/>
              </w:rPr>
              <w:t xml:space="preserve">   </w:t>
            </w:r>
            <w:r w:rsidR="00D0035E" w:rsidRPr="00BC7FA8">
              <w:rPr>
                <w:rFonts w:asciiTheme="minorEastAsia" w:hAnsiTheme="minorEastAsia" w:hint="eastAsia"/>
              </w:rPr>
              <w:t xml:space="preserve"> </w:t>
            </w:r>
            <w:r w:rsidRPr="00BC7FA8">
              <w:rPr>
                <w:rFonts w:asciiTheme="minorEastAsia" w:hAnsiTheme="minorEastAsia" w:hint="eastAsia"/>
              </w:rPr>
              <w:t xml:space="preserve"> </w:t>
            </w:r>
            <w:r w:rsidRPr="00BC7FA8">
              <w:rPr>
                <w:rFonts w:ascii="SimHei" w:eastAsia="SimHei" w:hAnsi="SimHei" w:hint="eastAsia"/>
              </w:rPr>
              <w:t>□</w:t>
            </w:r>
            <w:r w:rsidRPr="00BC7FA8">
              <w:rPr>
                <w:rFonts w:eastAsia="標楷體"/>
              </w:rPr>
              <w:t>(2)</w:t>
            </w:r>
            <w:r w:rsidRPr="00BC7FA8">
              <w:rPr>
                <w:rFonts w:eastAsia="標楷體"/>
              </w:rPr>
              <w:t>不允許廠商共同投標。</w:t>
            </w:r>
          </w:p>
          <w:p w14:paraId="1FFA351E" w14:textId="77777777" w:rsidR="00D0035E" w:rsidRPr="00BC7FA8" w:rsidRDefault="00D0035E" w:rsidP="00943163">
            <w:pPr>
              <w:rPr>
                <w:rFonts w:eastAsia="標楷體"/>
              </w:rPr>
            </w:pPr>
          </w:p>
          <w:p w14:paraId="7ED020DD" w14:textId="77777777" w:rsidR="00943163" w:rsidRPr="00BC7FA8" w:rsidRDefault="00943163" w:rsidP="00943163">
            <w:pPr>
              <w:rPr>
                <w:rFonts w:eastAsia="標楷體"/>
                <w:snapToGrid w:val="0"/>
              </w:rPr>
            </w:pPr>
            <w:r w:rsidRPr="00BC7FA8">
              <w:rPr>
                <w:rFonts w:eastAsia="標楷體" w:hint="eastAsia"/>
              </w:rPr>
              <w:t>三十三、</w:t>
            </w:r>
            <w:r w:rsidRPr="00BC7FA8">
              <w:rPr>
                <w:rFonts w:eastAsia="標楷體" w:hint="eastAsia"/>
              </w:rPr>
              <w:t>(1)</w:t>
            </w:r>
            <w:r w:rsidRPr="00BC7FA8">
              <w:rPr>
                <w:rFonts w:eastAsia="標楷體"/>
                <w:snapToGrid w:val="0"/>
              </w:rPr>
              <w:t>基本資格</w:t>
            </w:r>
          </w:p>
          <w:p w14:paraId="636E3946" w14:textId="1189BB92" w:rsidR="00BC7FA8" w:rsidRPr="00BC7FA8" w:rsidRDefault="00BC7FA8" w:rsidP="00943163">
            <w:pPr>
              <w:rPr>
                <w:rFonts w:ascii="標楷體" w:eastAsia="標楷體" w:hAnsi="標楷體"/>
              </w:rPr>
            </w:pPr>
            <w:r w:rsidRPr="00BC7FA8">
              <w:rPr>
                <w:rFonts w:eastAsia="標楷體" w:hint="eastAsia"/>
                <w:snapToGrid w:val="0"/>
                <w:u w:val="single"/>
              </w:rPr>
              <w:t>投標廠商之資本額應分別符合甲等綜合營造業或地下管線工程專業營造業承攬工程造價限額工程規模範圍申報淨值及一定期間承攬總額認定辦法第</w:t>
            </w:r>
            <w:r w:rsidRPr="00BC7FA8">
              <w:rPr>
                <w:rFonts w:eastAsia="標楷體" w:hint="eastAsia"/>
                <w:snapToGrid w:val="0"/>
                <w:u w:val="single"/>
              </w:rPr>
              <w:t>4</w:t>
            </w:r>
            <w:r w:rsidRPr="00BC7FA8">
              <w:rPr>
                <w:rFonts w:eastAsia="標楷體" w:hint="eastAsia"/>
                <w:snapToGrid w:val="0"/>
                <w:u w:val="single"/>
              </w:rPr>
              <w:t>條第</w:t>
            </w:r>
            <w:r w:rsidRPr="00BC7FA8">
              <w:rPr>
                <w:rFonts w:eastAsia="標楷體" w:hint="eastAsia"/>
                <w:snapToGrid w:val="0"/>
                <w:u w:val="single"/>
              </w:rPr>
              <w:t>3</w:t>
            </w:r>
            <w:r w:rsidRPr="00BC7FA8">
              <w:rPr>
                <w:rFonts w:eastAsia="標楷體" w:hint="eastAsia"/>
                <w:snapToGrid w:val="0"/>
                <w:u w:val="single"/>
              </w:rPr>
              <w:t>項或第</w:t>
            </w:r>
            <w:r w:rsidRPr="00BC7FA8">
              <w:rPr>
                <w:rFonts w:eastAsia="標楷體" w:hint="eastAsia"/>
                <w:snapToGrid w:val="0"/>
                <w:u w:val="single"/>
              </w:rPr>
              <w:t>5</w:t>
            </w:r>
            <w:r w:rsidRPr="00BC7FA8">
              <w:rPr>
                <w:rFonts w:eastAsia="標楷體" w:hint="eastAsia"/>
                <w:snapToGrid w:val="0"/>
                <w:u w:val="single"/>
              </w:rPr>
              <w:t>條之規定：『甲等綜合營造業承攬造價</w:t>
            </w:r>
            <w:r w:rsidRPr="00BC7FA8">
              <w:rPr>
                <w:rFonts w:eastAsia="標楷體" w:hint="eastAsia"/>
                <w:snapToGrid w:val="0"/>
                <w:u w:val="single"/>
              </w:rPr>
              <w:lastRenderedPageBreak/>
              <w:t>限額為其資本額之十倍』或『地下管線工程專業營造業承攬造價限額為其資本額之十倍』。</w:t>
            </w:r>
          </w:p>
        </w:tc>
        <w:tc>
          <w:tcPr>
            <w:tcW w:w="2410" w:type="dxa"/>
          </w:tcPr>
          <w:p w14:paraId="169826CC" w14:textId="6F709476" w:rsidR="00527353" w:rsidRDefault="00943163" w:rsidP="00943163">
            <w:pPr>
              <w:rPr>
                <w:rFonts w:ascii="標楷體" w:eastAsia="標楷體" w:hAnsi="標楷體"/>
              </w:rPr>
            </w:pPr>
            <w:r>
              <w:rPr>
                <w:rFonts w:ascii="標楷體" w:eastAsia="標楷體" w:hAnsi="標楷體" w:hint="eastAsia"/>
              </w:rPr>
              <w:lastRenderedPageBreak/>
              <w:t>建議投標須知第二十八點開放共同投標及三十三點基本資格開放甲等自來</w:t>
            </w:r>
            <w:proofErr w:type="gramStart"/>
            <w:r>
              <w:rPr>
                <w:rFonts w:ascii="標楷體" w:eastAsia="標楷體" w:hAnsi="標楷體" w:hint="eastAsia"/>
              </w:rPr>
              <w:t>水程裝商</w:t>
            </w:r>
            <w:proofErr w:type="gramEnd"/>
            <w:r w:rsidR="00D0035E">
              <w:rPr>
                <w:rFonts w:ascii="標楷體" w:eastAsia="標楷體" w:hAnsi="標楷體" w:hint="eastAsia"/>
              </w:rPr>
              <w:t>，讓新廠商可藉由與有經驗之優良廠商共同承攬的方式參與公平競爭</w:t>
            </w:r>
            <w:r>
              <w:rPr>
                <w:rFonts w:ascii="標楷體" w:eastAsia="標楷體" w:hAnsi="標楷體" w:hint="eastAsia"/>
              </w:rPr>
              <w:t>。</w:t>
            </w:r>
          </w:p>
        </w:tc>
        <w:tc>
          <w:tcPr>
            <w:tcW w:w="2693" w:type="dxa"/>
          </w:tcPr>
          <w:p w14:paraId="661516F4" w14:textId="6A85242B" w:rsidR="00527353" w:rsidRDefault="00D0035E" w:rsidP="00D0035E">
            <w:pPr>
              <w:rPr>
                <w:rFonts w:ascii="標楷體" w:eastAsia="標楷體" w:hAnsi="標楷體"/>
              </w:rPr>
            </w:pPr>
            <w:r w:rsidRPr="00D0035E">
              <w:rPr>
                <w:rFonts w:ascii="標楷體" w:eastAsia="標楷體" w:hAnsi="標楷體" w:hint="eastAsia"/>
              </w:rPr>
              <w:t>本局參酌內政部國土管理署及其他縣市類似工程，考量本案施工項目及需求，依據政府採購法第25條，</w:t>
            </w:r>
            <w:r>
              <w:rPr>
                <w:rFonts w:ascii="標楷體" w:eastAsia="標楷體" w:hAnsi="標楷體" w:hint="eastAsia"/>
              </w:rPr>
              <w:t>本</w:t>
            </w:r>
            <w:r w:rsidRPr="00D0035E">
              <w:rPr>
                <w:rFonts w:ascii="標楷體" w:eastAsia="標楷體" w:hAnsi="標楷體" w:hint="eastAsia"/>
              </w:rPr>
              <w:t>案將更正為開放共同投標，並於基本資格增列甲等自來水管</w:t>
            </w:r>
            <w:proofErr w:type="gramStart"/>
            <w:r w:rsidRPr="00D0035E">
              <w:rPr>
                <w:rFonts w:ascii="標楷體" w:eastAsia="標楷體" w:hAnsi="標楷體" w:hint="eastAsia"/>
              </w:rPr>
              <w:t>承裝商及</w:t>
            </w:r>
            <w:proofErr w:type="gramEnd"/>
            <w:r w:rsidRPr="00D0035E">
              <w:rPr>
                <w:rFonts w:ascii="標楷體" w:eastAsia="標楷體" w:hAnsi="標楷體" w:hint="eastAsia"/>
              </w:rPr>
              <w:t>下水道用戶排水設備</w:t>
            </w:r>
            <w:proofErr w:type="gramStart"/>
            <w:r w:rsidRPr="00D0035E">
              <w:rPr>
                <w:rFonts w:ascii="標楷體" w:eastAsia="標楷體" w:hAnsi="標楷體" w:hint="eastAsia"/>
              </w:rPr>
              <w:t>承裝商</w:t>
            </w:r>
            <w:proofErr w:type="gramEnd"/>
            <w:r w:rsidRPr="00D0035E">
              <w:rPr>
                <w:rFonts w:ascii="標楷體" w:eastAsia="標楷體" w:hAnsi="標楷體" w:hint="eastAsia"/>
              </w:rPr>
              <w:t>，以示公平競爭。</w:t>
            </w:r>
          </w:p>
        </w:tc>
        <w:tc>
          <w:tcPr>
            <w:tcW w:w="4172" w:type="dxa"/>
          </w:tcPr>
          <w:p w14:paraId="14AE0060" w14:textId="77777777" w:rsidR="00D0035E" w:rsidRPr="00D0035E" w:rsidRDefault="00D0035E" w:rsidP="00D0035E">
            <w:pPr>
              <w:rPr>
                <w:rFonts w:ascii="標楷體" w:eastAsia="標楷體" w:hAnsi="標楷體"/>
              </w:rPr>
            </w:pPr>
            <w:r w:rsidRPr="00D0035E">
              <w:rPr>
                <w:rFonts w:ascii="標楷體" w:eastAsia="標楷體" w:hAnsi="標楷體" w:hint="eastAsia"/>
              </w:rPr>
              <w:t>投標須知</w:t>
            </w:r>
          </w:p>
          <w:p w14:paraId="7251148D" w14:textId="77777777" w:rsidR="00D0035E" w:rsidRPr="00D0035E" w:rsidRDefault="00D0035E" w:rsidP="00D0035E">
            <w:pPr>
              <w:pStyle w:val="71"/>
              <w:spacing w:line="400" w:lineRule="exact"/>
              <w:textDirection w:val="lrTbV"/>
              <w:rPr>
                <w:rFonts w:eastAsia="標楷體"/>
                <w:color w:val="000000" w:themeColor="text1"/>
                <w:spacing w:val="0"/>
                <w:szCs w:val="24"/>
              </w:rPr>
            </w:pPr>
            <w:r w:rsidRPr="00D0035E">
              <w:rPr>
                <w:rFonts w:ascii="標楷體" w:eastAsia="標楷體" w:hAnsi="標楷體" w:hint="eastAsia"/>
                <w:szCs w:val="24"/>
              </w:rPr>
              <w:t>二十八、</w:t>
            </w:r>
            <w:r w:rsidRPr="00D0035E">
              <w:rPr>
                <w:rFonts w:eastAsia="標楷體"/>
                <w:color w:val="000000" w:themeColor="text1"/>
                <w:spacing w:val="0"/>
                <w:szCs w:val="24"/>
              </w:rPr>
              <w:t>本採購：</w:t>
            </w:r>
          </w:p>
          <w:p w14:paraId="2B8E4F79" w14:textId="1498BDBA" w:rsidR="00D0035E" w:rsidRPr="00D0035E" w:rsidRDefault="00D0035E" w:rsidP="00D0035E">
            <w:pPr>
              <w:pStyle w:val="71"/>
              <w:spacing w:line="400" w:lineRule="exact"/>
              <w:ind w:leftChars="230" w:left="792" w:hangingChars="100" w:hanging="240"/>
              <w:textDirection w:val="lrTbV"/>
              <w:rPr>
                <w:rFonts w:eastAsia="標楷體"/>
                <w:color w:val="000000" w:themeColor="text1"/>
                <w:spacing w:val="0"/>
                <w:szCs w:val="24"/>
              </w:rPr>
            </w:pPr>
            <w:r>
              <w:rPr>
                <w:rFonts w:asciiTheme="minorEastAsia" w:eastAsiaTheme="minorEastAsia" w:hAnsiTheme="minorEastAsia" w:hint="eastAsia"/>
                <w:color w:val="000000" w:themeColor="text1"/>
                <w:spacing w:val="0"/>
                <w:szCs w:val="24"/>
              </w:rPr>
              <w:t>■</w:t>
            </w:r>
            <w:r w:rsidRPr="00D0035E">
              <w:rPr>
                <w:rFonts w:eastAsia="標楷體"/>
                <w:color w:val="000000" w:themeColor="text1"/>
                <w:spacing w:val="0"/>
                <w:szCs w:val="24"/>
              </w:rPr>
              <w:t>(1)</w:t>
            </w:r>
            <w:r w:rsidRPr="00D0035E">
              <w:rPr>
                <w:rFonts w:eastAsia="標楷體"/>
                <w:color w:val="000000" w:themeColor="text1"/>
                <w:spacing w:val="0"/>
                <w:szCs w:val="24"/>
              </w:rPr>
              <w:t>依採購法第</w:t>
            </w:r>
            <w:r w:rsidRPr="00D0035E">
              <w:rPr>
                <w:rFonts w:eastAsia="標楷體"/>
                <w:color w:val="000000" w:themeColor="text1"/>
                <w:spacing w:val="0"/>
                <w:szCs w:val="24"/>
              </w:rPr>
              <w:t>25</w:t>
            </w:r>
            <w:r w:rsidRPr="00D0035E">
              <w:rPr>
                <w:rFonts w:eastAsia="標楷體"/>
                <w:color w:val="000000" w:themeColor="text1"/>
                <w:spacing w:val="0"/>
                <w:szCs w:val="24"/>
              </w:rPr>
              <w:t>條規定允許廠商共同投標</w:t>
            </w:r>
            <w:r w:rsidRPr="00D0035E">
              <w:rPr>
                <w:rFonts w:eastAsia="標楷體"/>
                <w:color w:val="000000" w:themeColor="text1"/>
                <w:spacing w:val="0"/>
                <w:szCs w:val="24"/>
              </w:rPr>
              <w:t>(</w:t>
            </w:r>
            <w:r w:rsidRPr="00D0035E">
              <w:rPr>
                <w:rFonts w:eastAsia="標楷體"/>
                <w:color w:val="000000" w:themeColor="text1"/>
                <w:spacing w:val="0"/>
                <w:szCs w:val="24"/>
              </w:rPr>
              <w:t>招標</w:t>
            </w:r>
            <w:proofErr w:type="gramStart"/>
            <w:r w:rsidRPr="00D0035E">
              <w:rPr>
                <w:rFonts w:eastAsia="標楷體"/>
                <w:color w:val="000000" w:themeColor="text1"/>
                <w:spacing w:val="0"/>
                <w:szCs w:val="24"/>
              </w:rPr>
              <w:t>文件已附共同</w:t>
            </w:r>
            <w:proofErr w:type="gramEnd"/>
            <w:r w:rsidRPr="00D0035E">
              <w:rPr>
                <w:rFonts w:eastAsia="標楷體"/>
                <w:color w:val="000000" w:themeColor="text1"/>
                <w:spacing w:val="0"/>
                <w:szCs w:val="24"/>
              </w:rPr>
              <w:t>投標協議書範本，詳共同投標補充規定如附說明</w:t>
            </w:r>
            <w:r w:rsidRPr="00D0035E">
              <w:rPr>
                <w:rFonts w:eastAsia="標楷體"/>
                <w:color w:val="000000" w:themeColor="text1"/>
                <w:spacing w:val="0"/>
                <w:szCs w:val="24"/>
              </w:rPr>
              <w:t>2)</w:t>
            </w:r>
            <w:r w:rsidRPr="00D0035E">
              <w:rPr>
                <w:rFonts w:eastAsia="標楷體"/>
                <w:color w:val="000000" w:themeColor="text1"/>
                <w:spacing w:val="0"/>
                <w:szCs w:val="24"/>
              </w:rPr>
              <w:t>；廠商家數上限為</w:t>
            </w:r>
            <w:r>
              <w:rPr>
                <w:rFonts w:asciiTheme="minorEastAsia" w:eastAsiaTheme="minorEastAsia" w:hAnsiTheme="minorEastAsia" w:hint="eastAsia"/>
                <w:color w:val="000000" w:themeColor="text1"/>
                <w:spacing w:val="0"/>
                <w:szCs w:val="24"/>
              </w:rPr>
              <w:t>■</w:t>
            </w:r>
            <w:r w:rsidRPr="00D0035E">
              <w:rPr>
                <w:rFonts w:eastAsia="標楷體"/>
                <w:color w:val="000000" w:themeColor="text1"/>
                <w:spacing w:val="0"/>
                <w:szCs w:val="24"/>
              </w:rPr>
              <w:t>2</w:t>
            </w:r>
            <w:r w:rsidRPr="00D0035E">
              <w:rPr>
                <w:rFonts w:eastAsia="標楷體"/>
                <w:color w:val="000000" w:themeColor="text1"/>
                <w:spacing w:val="0"/>
                <w:szCs w:val="24"/>
              </w:rPr>
              <w:t>家；</w:t>
            </w:r>
            <w:r w:rsidRPr="00D0035E">
              <w:rPr>
                <w:rFonts w:ascii="SimHei" w:eastAsia="SimHei" w:hAnsi="SimHei" w:hint="eastAsia"/>
                <w:color w:val="000000" w:themeColor="text1"/>
                <w:spacing w:val="0"/>
                <w:szCs w:val="24"/>
              </w:rPr>
              <w:t>□</w:t>
            </w:r>
            <w:r w:rsidRPr="00D0035E">
              <w:rPr>
                <w:rFonts w:eastAsia="標楷體"/>
                <w:color w:val="000000" w:themeColor="text1"/>
                <w:spacing w:val="0"/>
                <w:szCs w:val="24"/>
              </w:rPr>
              <w:t>3</w:t>
            </w:r>
            <w:r w:rsidRPr="00D0035E">
              <w:rPr>
                <w:rFonts w:eastAsia="標楷體"/>
                <w:color w:val="000000" w:themeColor="text1"/>
                <w:spacing w:val="0"/>
                <w:szCs w:val="24"/>
              </w:rPr>
              <w:t>家；</w:t>
            </w:r>
            <w:r w:rsidRPr="00D0035E">
              <w:rPr>
                <w:rFonts w:ascii="SimHei" w:eastAsia="SimHei" w:hAnsi="SimHei" w:hint="eastAsia"/>
                <w:color w:val="000000" w:themeColor="text1"/>
                <w:spacing w:val="0"/>
                <w:szCs w:val="24"/>
              </w:rPr>
              <w:t>□</w:t>
            </w:r>
            <w:r w:rsidRPr="00D0035E">
              <w:rPr>
                <w:rFonts w:eastAsia="標楷體"/>
                <w:color w:val="000000" w:themeColor="text1"/>
                <w:spacing w:val="0"/>
                <w:szCs w:val="24"/>
              </w:rPr>
              <w:t>4</w:t>
            </w:r>
            <w:r w:rsidRPr="00D0035E">
              <w:rPr>
                <w:rFonts w:eastAsia="標楷體"/>
                <w:color w:val="000000" w:themeColor="text1"/>
                <w:spacing w:val="0"/>
                <w:szCs w:val="24"/>
              </w:rPr>
              <w:t>家；</w:t>
            </w:r>
            <w:r w:rsidRPr="00D0035E">
              <w:rPr>
                <w:rFonts w:ascii="SimHei" w:eastAsia="SimHei" w:hAnsi="SimHei" w:hint="eastAsia"/>
                <w:color w:val="000000" w:themeColor="text1"/>
                <w:spacing w:val="0"/>
                <w:szCs w:val="24"/>
              </w:rPr>
              <w:t>□</w:t>
            </w:r>
            <w:r w:rsidRPr="00D0035E">
              <w:rPr>
                <w:rFonts w:eastAsia="標楷體"/>
                <w:color w:val="000000" w:themeColor="text1"/>
                <w:spacing w:val="0"/>
                <w:szCs w:val="24"/>
              </w:rPr>
              <w:t>5</w:t>
            </w:r>
            <w:r w:rsidRPr="00D0035E">
              <w:rPr>
                <w:rFonts w:eastAsia="標楷體"/>
                <w:color w:val="000000" w:themeColor="text1"/>
                <w:spacing w:val="0"/>
                <w:szCs w:val="24"/>
              </w:rPr>
              <w:t>家。</w:t>
            </w:r>
          </w:p>
          <w:p w14:paraId="6FDCF7FF" w14:textId="77777777" w:rsidR="00527353" w:rsidRDefault="00D0035E" w:rsidP="00D0035E">
            <w:pPr>
              <w:jc w:val="center"/>
              <w:rPr>
                <w:rFonts w:eastAsia="標楷體"/>
                <w:color w:val="000000" w:themeColor="text1"/>
              </w:rPr>
            </w:pPr>
            <w:r w:rsidRPr="00D0035E">
              <w:rPr>
                <w:rFonts w:asciiTheme="minorEastAsia" w:hAnsiTheme="minorEastAsia" w:hint="eastAsia"/>
                <w:color w:val="000099"/>
              </w:rPr>
              <w:t xml:space="preserve"> </w:t>
            </w:r>
            <w:r w:rsidRPr="00D0035E">
              <w:rPr>
                <w:rFonts w:ascii="SimHei" w:eastAsia="SimHei" w:hAnsi="SimHei" w:hint="eastAsia"/>
                <w:color w:val="000000" w:themeColor="text1"/>
              </w:rPr>
              <w:t>□</w:t>
            </w:r>
            <w:r w:rsidRPr="00D0035E">
              <w:rPr>
                <w:rFonts w:eastAsia="標楷體"/>
                <w:color w:val="000000" w:themeColor="text1"/>
              </w:rPr>
              <w:t>(2)</w:t>
            </w:r>
            <w:r w:rsidRPr="00D0035E">
              <w:rPr>
                <w:rFonts w:eastAsia="標楷體"/>
                <w:color w:val="000000" w:themeColor="text1"/>
              </w:rPr>
              <w:t>不允許廠商共同投標。</w:t>
            </w:r>
          </w:p>
          <w:p w14:paraId="7CAD8C1B" w14:textId="77777777" w:rsidR="00D0035E" w:rsidRDefault="00D0035E" w:rsidP="00D0035E">
            <w:pPr>
              <w:rPr>
                <w:rFonts w:ascii="標楷體" w:eastAsia="標楷體" w:hAnsi="標楷體"/>
              </w:rPr>
            </w:pPr>
          </w:p>
          <w:p w14:paraId="06F80FEC" w14:textId="77777777" w:rsidR="00D0035E" w:rsidRDefault="00D0035E" w:rsidP="00D0035E">
            <w:pPr>
              <w:rPr>
                <w:rFonts w:eastAsia="標楷體"/>
                <w:snapToGrid w:val="0"/>
                <w:color w:val="000000" w:themeColor="text1"/>
              </w:rPr>
            </w:pPr>
            <w:r w:rsidRPr="00D0035E">
              <w:rPr>
                <w:rFonts w:eastAsia="標楷體" w:hint="eastAsia"/>
                <w:color w:val="000000" w:themeColor="text1"/>
              </w:rPr>
              <w:t>三十三、</w:t>
            </w:r>
            <w:r w:rsidRPr="00D0035E">
              <w:rPr>
                <w:rFonts w:eastAsia="標楷體" w:hint="eastAsia"/>
                <w:color w:val="000000" w:themeColor="text1"/>
              </w:rPr>
              <w:t>(1)</w:t>
            </w:r>
            <w:r w:rsidRPr="00D0035E">
              <w:rPr>
                <w:rFonts w:eastAsia="標楷體"/>
                <w:snapToGrid w:val="0"/>
                <w:color w:val="000000" w:themeColor="text1"/>
              </w:rPr>
              <w:t>基本資格</w:t>
            </w:r>
          </w:p>
          <w:p w14:paraId="6809A656" w14:textId="77777777" w:rsidR="00D0035E" w:rsidRPr="00D0035E" w:rsidRDefault="00D0035E" w:rsidP="00D0035E">
            <w:pPr>
              <w:pStyle w:val="71"/>
              <w:spacing w:line="400" w:lineRule="exact"/>
              <w:textDirection w:val="lrTbV"/>
              <w:rPr>
                <w:rFonts w:eastAsia="標楷體"/>
                <w:snapToGrid w:val="0"/>
                <w:spacing w:val="0"/>
                <w:szCs w:val="24"/>
              </w:rPr>
            </w:pPr>
            <w:r w:rsidRPr="00D0035E">
              <w:rPr>
                <w:rFonts w:eastAsia="標楷體" w:hint="eastAsia"/>
                <w:snapToGrid w:val="0"/>
                <w:spacing w:val="0"/>
                <w:szCs w:val="24"/>
              </w:rPr>
              <w:t>單獨投標：</w:t>
            </w:r>
          </w:p>
          <w:p w14:paraId="79F9C758" w14:textId="77777777" w:rsidR="00D0035E" w:rsidRPr="00D0035E" w:rsidRDefault="00D0035E" w:rsidP="00D0035E">
            <w:pPr>
              <w:pStyle w:val="71"/>
              <w:spacing w:line="400" w:lineRule="exact"/>
              <w:textDirection w:val="lrTbV"/>
              <w:rPr>
                <w:rFonts w:eastAsia="標楷體"/>
                <w:snapToGrid w:val="0"/>
                <w:spacing w:val="0"/>
                <w:szCs w:val="24"/>
                <w:u w:val="single"/>
                <w:shd w:val="pct15" w:color="auto" w:fill="FFFFFF"/>
              </w:rPr>
            </w:pPr>
            <w:r w:rsidRPr="00D0035E">
              <w:rPr>
                <w:rFonts w:eastAsia="標楷體" w:hint="eastAsia"/>
                <w:snapToGrid w:val="0"/>
                <w:spacing w:val="0"/>
                <w:szCs w:val="24"/>
                <w:u w:val="single"/>
                <w:shd w:val="pct15" w:color="auto" w:fill="FFFFFF"/>
              </w:rPr>
              <w:t>甲等綜合營造業或地下管線工程專業</w:t>
            </w:r>
          </w:p>
          <w:p w14:paraId="7E93A3B9" w14:textId="77777777" w:rsidR="00D0035E" w:rsidRPr="00D0035E" w:rsidRDefault="00D0035E" w:rsidP="00D0035E">
            <w:pPr>
              <w:pStyle w:val="71"/>
              <w:spacing w:line="400" w:lineRule="exact"/>
              <w:textDirection w:val="lrTbV"/>
              <w:rPr>
                <w:rFonts w:eastAsia="標楷體"/>
                <w:b/>
                <w:spacing w:val="0"/>
                <w:kern w:val="2"/>
                <w:sz w:val="20"/>
              </w:rPr>
            </w:pPr>
            <w:r w:rsidRPr="00D0035E">
              <w:rPr>
                <w:rFonts w:eastAsia="標楷體" w:hint="eastAsia"/>
                <w:snapToGrid w:val="0"/>
                <w:spacing w:val="0"/>
                <w:szCs w:val="24"/>
                <w:u w:val="single"/>
                <w:shd w:val="pct15" w:color="auto" w:fill="FFFFFF"/>
              </w:rPr>
              <w:t>營造業。</w:t>
            </w:r>
            <w:r w:rsidRPr="00D0035E">
              <w:rPr>
                <w:rFonts w:eastAsia="標楷體"/>
                <w:b/>
                <w:spacing w:val="0"/>
                <w:kern w:val="2"/>
                <w:sz w:val="20"/>
              </w:rPr>
              <w:t>(</w:t>
            </w:r>
            <w:r w:rsidRPr="00D0035E">
              <w:rPr>
                <w:rFonts w:eastAsia="標楷體"/>
                <w:b/>
                <w:spacing w:val="0"/>
                <w:kern w:val="2"/>
                <w:sz w:val="20"/>
              </w:rPr>
              <w:t>如規定需具有特定營業項目方可</w:t>
            </w:r>
          </w:p>
          <w:p w14:paraId="01B9C83E" w14:textId="77777777" w:rsidR="00D0035E" w:rsidRPr="00D0035E" w:rsidRDefault="00D0035E" w:rsidP="00D0035E">
            <w:pPr>
              <w:pStyle w:val="71"/>
              <w:spacing w:line="400" w:lineRule="exact"/>
              <w:textDirection w:val="lrTbV"/>
              <w:rPr>
                <w:rFonts w:eastAsia="標楷體"/>
                <w:b/>
                <w:spacing w:val="0"/>
                <w:kern w:val="2"/>
                <w:sz w:val="20"/>
              </w:rPr>
            </w:pPr>
            <w:r w:rsidRPr="00D0035E">
              <w:rPr>
                <w:rFonts w:eastAsia="標楷體"/>
                <w:b/>
                <w:spacing w:val="0"/>
                <w:kern w:val="2"/>
                <w:sz w:val="20"/>
              </w:rPr>
              <w:t>參與投標者，由招標機關以經濟部編訂之公</w:t>
            </w:r>
          </w:p>
          <w:p w14:paraId="6FE85AD1" w14:textId="77777777" w:rsidR="00D0035E" w:rsidRPr="00D0035E" w:rsidRDefault="00D0035E" w:rsidP="00D0035E">
            <w:pPr>
              <w:pStyle w:val="71"/>
              <w:spacing w:line="400" w:lineRule="exact"/>
              <w:textDirection w:val="lrTbV"/>
              <w:rPr>
                <w:rFonts w:eastAsia="標楷體"/>
                <w:b/>
                <w:spacing w:val="0"/>
                <w:kern w:val="2"/>
                <w:sz w:val="20"/>
              </w:rPr>
            </w:pPr>
            <w:r w:rsidRPr="00D0035E">
              <w:rPr>
                <w:rFonts w:eastAsia="標楷體"/>
                <w:b/>
                <w:spacing w:val="0"/>
                <w:kern w:val="2"/>
                <w:sz w:val="20"/>
              </w:rPr>
              <w:t>司行號營業項目代碼表所列之大類、</w:t>
            </w:r>
            <w:proofErr w:type="gramStart"/>
            <w:r w:rsidRPr="00D0035E">
              <w:rPr>
                <w:rFonts w:eastAsia="標楷體"/>
                <w:b/>
                <w:spacing w:val="0"/>
                <w:kern w:val="2"/>
                <w:sz w:val="20"/>
              </w:rPr>
              <w:t>中類</w:t>
            </w:r>
            <w:proofErr w:type="gramEnd"/>
            <w:r w:rsidRPr="00D0035E">
              <w:rPr>
                <w:rFonts w:eastAsia="標楷體"/>
                <w:b/>
                <w:spacing w:val="0"/>
                <w:kern w:val="2"/>
                <w:sz w:val="20"/>
              </w:rPr>
              <w:t>、</w:t>
            </w:r>
          </w:p>
          <w:p w14:paraId="75878601" w14:textId="4F439CEF" w:rsidR="00D0035E" w:rsidRDefault="00D0035E" w:rsidP="00D0035E">
            <w:pPr>
              <w:pStyle w:val="71"/>
              <w:spacing w:line="400" w:lineRule="exact"/>
              <w:textDirection w:val="lrTbV"/>
              <w:rPr>
                <w:rFonts w:eastAsia="標楷體"/>
                <w:b/>
                <w:spacing w:val="0"/>
                <w:kern w:val="2"/>
                <w:sz w:val="20"/>
              </w:rPr>
            </w:pPr>
            <w:r w:rsidRPr="00D0035E">
              <w:rPr>
                <w:rFonts w:eastAsia="標楷體"/>
                <w:b/>
                <w:spacing w:val="0"/>
                <w:kern w:val="2"/>
                <w:sz w:val="20"/>
              </w:rPr>
              <w:t>小類</w:t>
            </w:r>
            <w:proofErr w:type="gramStart"/>
            <w:r w:rsidRPr="00D0035E">
              <w:rPr>
                <w:rFonts w:eastAsia="標楷體"/>
                <w:b/>
                <w:spacing w:val="0"/>
                <w:kern w:val="2"/>
                <w:sz w:val="20"/>
              </w:rPr>
              <w:t>或細類項目</w:t>
            </w:r>
            <w:proofErr w:type="gramEnd"/>
            <w:r w:rsidRPr="00D0035E">
              <w:rPr>
                <w:rFonts w:eastAsia="標楷體"/>
                <w:b/>
                <w:spacing w:val="0"/>
                <w:kern w:val="2"/>
                <w:sz w:val="20"/>
              </w:rPr>
              <w:t>填寫</w:t>
            </w:r>
            <w:r w:rsidRPr="00D0035E">
              <w:rPr>
                <w:rFonts w:eastAsia="標楷體"/>
                <w:b/>
                <w:spacing w:val="0"/>
                <w:kern w:val="2"/>
                <w:sz w:val="20"/>
              </w:rPr>
              <w:t>)</w:t>
            </w:r>
          </w:p>
          <w:p w14:paraId="5A0DC9B6" w14:textId="77777777" w:rsidR="00D0035E" w:rsidRPr="00D0035E" w:rsidRDefault="00D0035E" w:rsidP="00D0035E">
            <w:pPr>
              <w:pStyle w:val="71"/>
              <w:spacing w:line="400" w:lineRule="exact"/>
              <w:textDirection w:val="lrTbV"/>
              <w:rPr>
                <w:rFonts w:eastAsia="標楷體"/>
                <w:b/>
                <w:spacing w:val="0"/>
                <w:kern w:val="2"/>
                <w:szCs w:val="24"/>
              </w:rPr>
            </w:pPr>
          </w:p>
          <w:p w14:paraId="521E8D58" w14:textId="6B2CDA2F" w:rsidR="00D0035E" w:rsidRDefault="00D0035E" w:rsidP="00D0035E">
            <w:pPr>
              <w:rPr>
                <w:rFonts w:ascii="標楷體" w:eastAsia="標楷體" w:hAnsi="標楷體"/>
              </w:rPr>
            </w:pPr>
            <w:r w:rsidRPr="00D0035E">
              <w:rPr>
                <w:rFonts w:eastAsia="標楷體" w:hint="eastAsia"/>
                <w:snapToGrid w:val="0"/>
              </w:rPr>
              <w:t>共同投標：</w:t>
            </w:r>
            <w:r w:rsidRPr="00D0035E">
              <w:rPr>
                <w:rFonts w:ascii="標楷體" w:eastAsia="標楷體" w:hAnsi="標楷體" w:hint="eastAsia"/>
              </w:rPr>
              <w:t>共同投標成員組成資格為，以「</w:t>
            </w:r>
            <w:r w:rsidRPr="00D0035E">
              <w:rPr>
                <w:rFonts w:ascii="標楷體" w:eastAsia="標楷體" w:hAnsi="標楷體" w:hint="eastAsia"/>
                <w:u w:val="single"/>
              </w:rPr>
              <w:t>甲等綜合營造業或地下管線工程專業營造業</w:t>
            </w:r>
            <w:r w:rsidRPr="00D0035E">
              <w:rPr>
                <w:rFonts w:ascii="標楷體" w:eastAsia="標楷體" w:hAnsi="標楷體" w:hint="eastAsia"/>
              </w:rPr>
              <w:t>」為</w:t>
            </w:r>
            <w:r w:rsidRPr="00D0035E">
              <w:rPr>
                <w:rFonts w:ascii="標楷體" w:eastAsia="標楷體" w:hAnsi="標楷體" w:hint="eastAsia"/>
                <w:b/>
                <w:bCs/>
              </w:rPr>
              <w:t>代表廠商</w:t>
            </w:r>
            <w:r w:rsidRPr="00D0035E">
              <w:rPr>
                <w:rFonts w:ascii="標楷體" w:eastAsia="標楷體" w:hAnsi="標楷體" w:hint="eastAsia"/>
              </w:rPr>
              <w:t>，</w:t>
            </w:r>
            <w:r w:rsidRPr="00D0035E">
              <w:rPr>
                <w:rFonts w:ascii="標楷體" w:eastAsia="標楷體" w:hAnsi="標楷體" w:hint="eastAsia"/>
                <w:b/>
                <w:bCs/>
              </w:rPr>
              <w:t>共同投標廠商</w:t>
            </w:r>
            <w:r w:rsidRPr="00D0035E">
              <w:rPr>
                <w:rFonts w:ascii="標楷體" w:eastAsia="標楷體" w:hAnsi="標楷體" w:hint="eastAsia"/>
              </w:rPr>
              <w:t>為「</w:t>
            </w:r>
            <w:r w:rsidRPr="00D0035E">
              <w:rPr>
                <w:rFonts w:ascii="標楷體" w:eastAsia="標楷體" w:hAnsi="標楷體" w:hint="eastAsia"/>
                <w:u w:val="single"/>
              </w:rPr>
              <w:t>下水道用戶排水設備承裝商或甲等自來水管承裝商</w:t>
            </w:r>
            <w:r w:rsidRPr="00D0035E">
              <w:rPr>
                <w:rFonts w:ascii="標楷體" w:eastAsia="標楷體" w:hAnsi="標楷體" w:hint="eastAsia"/>
              </w:rPr>
              <w:t>」</w:t>
            </w:r>
          </w:p>
        </w:tc>
      </w:tr>
    </w:tbl>
    <w:p w14:paraId="0DE06C3F" w14:textId="77777777" w:rsidR="00527353" w:rsidRPr="00527353" w:rsidRDefault="00527353" w:rsidP="00527353">
      <w:pPr>
        <w:jc w:val="center"/>
        <w:rPr>
          <w:rFonts w:ascii="標楷體" w:eastAsia="標楷體" w:hAnsi="標楷體"/>
        </w:rPr>
      </w:pPr>
    </w:p>
    <w:sectPr w:rsidR="00527353" w:rsidRPr="00527353" w:rsidSect="007A374D">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B2247" w14:textId="77777777" w:rsidR="007A374D" w:rsidRDefault="007A374D" w:rsidP="00527353">
      <w:pPr>
        <w:spacing w:after="0" w:line="240" w:lineRule="auto"/>
      </w:pPr>
      <w:r>
        <w:separator/>
      </w:r>
    </w:p>
  </w:endnote>
  <w:endnote w:type="continuationSeparator" w:id="0">
    <w:p w14:paraId="58B3AFE7" w14:textId="77777777" w:rsidR="007A374D" w:rsidRDefault="007A374D" w:rsidP="0052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全真楷書">
    <w:altName w:val="新細明體"/>
    <w:charset w:val="00"/>
    <w:family w:val="modern"/>
    <w:pitch w:val="fixed"/>
  </w:font>
  <w:font w:name="標楷體">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73149" w14:textId="77777777" w:rsidR="007A374D" w:rsidRDefault="007A374D" w:rsidP="00527353">
      <w:pPr>
        <w:spacing w:after="0" w:line="240" w:lineRule="auto"/>
      </w:pPr>
      <w:r>
        <w:separator/>
      </w:r>
    </w:p>
  </w:footnote>
  <w:footnote w:type="continuationSeparator" w:id="0">
    <w:p w14:paraId="4AB09647" w14:textId="77777777" w:rsidR="007A374D" w:rsidRDefault="007A374D" w:rsidP="00527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D80380"/>
    <w:multiLevelType w:val="hybridMultilevel"/>
    <w:tmpl w:val="C1ECFAE2"/>
    <w:lvl w:ilvl="0" w:tplc="35AED0B2">
      <w:start w:val="1"/>
      <w:numFmt w:val="taiwaneseCountingThousand"/>
      <w:suff w:val="nothing"/>
      <w:lvlText w:val="%1、"/>
      <w:lvlJc w:val="left"/>
      <w:pPr>
        <w:ind w:left="3740"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8904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A9"/>
    <w:rsid w:val="00331934"/>
    <w:rsid w:val="004359C8"/>
    <w:rsid w:val="00466170"/>
    <w:rsid w:val="00527353"/>
    <w:rsid w:val="007A374D"/>
    <w:rsid w:val="00943163"/>
    <w:rsid w:val="00B114F6"/>
    <w:rsid w:val="00BC7FA8"/>
    <w:rsid w:val="00D0035E"/>
    <w:rsid w:val="00EC6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1B061"/>
  <w15:chartTrackingRefBased/>
  <w15:docId w15:val="{576F8F3C-88D5-47AC-B7AA-C2810F1B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EC63A9"/>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EC63A9"/>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EC63A9"/>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EC63A9"/>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EC63A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C63A9"/>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EC63A9"/>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C63A9"/>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EC63A9"/>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C63A9"/>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EC63A9"/>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EC63A9"/>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EC63A9"/>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EC63A9"/>
    <w:rPr>
      <w:rFonts w:eastAsiaTheme="majorEastAsia" w:cstheme="majorBidi"/>
      <w:color w:val="0F4761" w:themeColor="accent1" w:themeShade="BF"/>
    </w:rPr>
  </w:style>
  <w:style w:type="character" w:customStyle="1" w:styleId="60">
    <w:name w:val="標題 6 字元"/>
    <w:basedOn w:val="a0"/>
    <w:link w:val="6"/>
    <w:uiPriority w:val="9"/>
    <w:semiHidden/>
    <w:rsid w:val="00EC63A9"/>
    <w:rPr>
      <w:rFonts w:eastAsiaTheme="majorEastAsia" w:cstheme="majorBidi"/>
      <w:color w:val="595959" w:themeColor="text1" w:themeTint="A6"/>
    </w:rPr>
  </w:style>
  <w:style w:type="character" w:customStyle="1" w:styleId="70">
    <w:name w:val="標題 7 字元"/>
    <w:basedOn w:val="a0"/>
    <w:link w:val="7"/>
    <w:uiPriority w:val="9"/>
    <w:semiHidden/>
    <w:rsid w:val="00EC63A9"/>
    <w:rPr>
      <w:rFonts w:eastAsiaTheme="majorEastAsia" w:cstheme="majorBidi"/>
      <w:color w:val="595959" w:themeColor="text1" w:themeTint="A6"/>
    </w:rPr>
  </w:style>
  <w:style w:type="character" w:customStyle="1" w:styleId="80">
    <w:name w:val="標題 8 字元"/>
    <w:basedOn w:val="a0"/>
    <w:link w:val="8"/>
    <w:uiPriority w:val="9"/>
    <w:semiHidden/>
    <w:rsid w:val="00EC63A9"/>
    <w:rPr>
      <w:rFonts w:eastAsiaTheme="majorEastAsia" w:cstheme="majorBidi"/>
      <w:color w:val="272727" w:themeColor="text1" w:themeTint="D8"/>
    </w:rPr>
  </w:style>
  <w:style w:type="character" w:customStyle="1" w:styleId="90">
    <w:name w:val="標題 9 字元"/>
    <w:basedOn w:val="a0"/>
    <w:link w:val="9"/>
    <w:uiPriority w:val="9"/>
    <w:semiHidden/>
    <w:rsid w:val="00EC63A9"/>
    <w:rPr>
      <w:rFonts w:eastAsiaTheme="majorEastAsia" w:cstheme="majorBidi"/>
      <w:color w:val="272727" w:themeColor="text1" w:themeTint="D8"/>
    </w:rPr>
  </w:style>
  <w:style w:type="paragraph" w:styleId="a3">
    <w:name w:val="Title"/>
    <w:basedOn w:val="a"/>
    <w:next w:val="a"/>
    <w:link w:val="a4"/>
    <w:uiPriority w:val="10"/>
    <w:qFormat/>
    <w:rsid w:val="00EC63A9"/>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EC63A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C63A9"/>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EC63A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C63A9"/>
    <w:pPr>
      <w:spacing w:before="160"/>
      <w:jc w:val="center"/>
    </w:pPr>
    <w:rPr>
      <w:i/>
      <w:iCs/>
      <w:color w:val="404040" w:themeColor="text1" w:themeTint="BF"/>
    </w:rPr>
  </w:style>
  <w:style w:type="character" w:customStyle="1" w:styleId="a8">
    <w:name w:val="引文 字元"/>
    <w:basedOn w:val="a0"/>
    <w:link w:val="a7"/>
    <w:uiPriority w:val="29"/>
    <w:rsid w:val="00EC63A9"/>
    <w:rPr>
      <w:i/>
      <w:iCs/>
      <w:color w:val="404040" w:themeColor="text1" w:themeTint="BF"/>
    </w:rPr>
  </w:style>
  <w:style w:type="paragraph" w:styleId="a9">
    <w:name w:val="List Paragraph"/>
    <w:basedOn w:val="a"/>
    <w:uiPriority w:val="34"/>
    <w:qFormat/>
    <w:rsid w:val="00EC63A9"/>
    <w:pPr>
      <w:ind w:left="720"/>
      <w:contextualSpacing/>
    </w:pPr>
  </w:style>
  <w:style w:type="character" w:styleId="aa">
    <w:name w:val="Intense Emphasis"/>
    <w:basedOn w:val="a0"/>
    <w:uiPriority w:val="21"/>
    <w:qFormat/>
    <w:rsid w:val="00EC63A9"/>
    <w:rPr>
      <w:i/>
      <w:iCs/>
      <w:color w:val="0F4761" w:themeColor="accent1" w:themeShade="BF"/>
    </w:rPr>
  </w:style>
  <w:style w:type="paragraph" w:styleId="ab">
    <w:name w:val="Intense Quote"/>
    <w:basedOn w:val="a"/>
    <w:next w:val="a"/>
    <w:link w:val="ac"/>
    <w:uiPriority w:val="30"/>
    <w:qFormat/>
    <w:rsid w:val="00EC63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EC63A9"/>
    <w:rPr>
      <w:i/>
      <w:iCs/>
      <w:color w:val="0F4761" w:themeColor="accent1" w:themeShade="BF"/>
    </w:rPr>
  </w:style>
  <w:style w:type="character" w:styleId="ad">
    <w:name w:val="Intense Reference"/>
    <w:basedOn w:val="a0"/>
    <w:uiPriority w:val="32"/>
    <w:qFormat/>
    <w:rsid w:val="00EC63A9"/>
    <w:rPr>
      <w:b/>
      <w:bCs/>
      <w:smallCaps/>
      <w:color w:val="0F4761" w:themeColor="accent1" w:themeShade="BF"/>
      <w:spacing w:val="5"/>
    </w:rPr>
  </w:style>
  <w:style w:type="paragraph" w:styleId="ae">
    <w:name w:val="header"/>
    <w:basedOn w:val="a"/>
    <w:link w:val="af"/>
    <w:uiPriority w:val="99"/>
    <w:unhideWhenUsed/>
    <w:rsid w:val="00527353"/>
    <w:pPr>
      <w:tabs>
        <w:tab w:val="center" w:pos="4153"/>
        <w:tab w:val="right" w:pos="8306"/>
      </w:tabs>
      <w:snapToGrid w:val="0"/>
    </w:pPr>
    <w:rPr>
      <w:sz w:val="20"/>
      <w:szCs w:val="20"/>
    </w:rPr>
  </w:style>
  <w:style w:type="character" w:customStyle="1" w:styleId="af">
    <w:name w:val="頁首 字元"/>
    <w:basedOn w:val="a0"/>
    <w:link w:val="ae"/>
    <w:uiPriority w:val="99"/>
    <w:rsid w:val="00527353"/>
    <w:rPr>
      <w:sz w:val="20"/>
      <w:szCs w:val="20"/>
    </w:rPr>
  </w:style>
  <w:style w:type="paragraph" w:styleId="af0">
    <w:name w:val="footer"/>
    <w:basedOn w:val="a"/>
    <w:link w:val="af1"/>
    <w:uiPriority w:val="99"/>
    <w:unhideWhenUsed/>
    <w:rsid w:val="00527353"/>
    <w:pPr>
      <w:tabs>
        <w:tab w:val="center" w:pos="4153"/>
        <w:tab w:val="right" w:pos="8306"/>
      </w:tabs>
      <w:snapToGrid w:val="0"/>
    </w:pPr>
    <w:rPr>
      <w:sz w:val="20"/>
      <w:szCs w:val="20"/>
    </w:rPr>
  </w:style>
  <w:style w:type="character" w:customStyle="1" w:styleId="af1">
    <w:name w:val="頁尾 字元"/>
    <w:basedOn w:val="a0"/>
    <w:link w:val="af0"/>
    <w:uiPriority w:val="99"/>
    <w:rsid w:val="00527353"/>
    <w:rPr>
      <w:sz w:val="20"/>
      <w:szCs w:val="20"/>
    </w:rPr>
  </w:style>
  <w:style w:type="table" w:styleId="af2">
    <w:name w:val="Table Grid"/>
    <w:basedOn w:val="a1"/>
    <w:uiPriority w:val="39"/>
    <w:rsid w:val="0052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樣式7"/>
    <w:basedOn w:val="a"/>
    <w:rsid w:val="00943163"/>
    <w:pPr>
      <w:kinsoku w:val="0"/>
      <w:adjustRightInd w:val="0"/>
      <w:spacing w:after="0" w:line="360" w:lineRule="exact"/>
      <w:ind w:left="1361" w:hanging="1361"/>
      <w:textAlignment w:val="baseline"/>
    </w:pPr>
    <w:rPr>
      <w:rFonts w:ascii="Times New Roman" w:eastAsia="全真楷書" w:hAnsi="Times New Roman" w:cs="Times New Roman"/>
      <w:spacing w:val="14"/>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wrb04</dc:creator>
  <cp:keywords/>
  <dc:description/>
  <cp:lastModifiedBy>水利局</cp:lastModifiedBy>
  <cp:revision>2</cp:revision>
  <dcterms:created xsi:type="dcterms:W3CDTF">2024-04-25T02:47:00Z</dcterms:created>
  <dcterms:modified xsi:type="dcterms:W3CDTF">2024-04-25T02:47:00Z</dcterms:modified>
</cp:coreProperties>
</file>