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51" w:rsidRPr="002430A5" w:rsidRDefault="005C1B51" w:rsidP="0011538D">
      <w:pPr>
        <w:spacing w:line="500" w:lineRule="exact"/>
        <w:jc w:val="both"/>
        <w:rPr>
          <w:rFonts w:ascii="標楷體" w:eastAsia="標楷體" w:hAnsi="標楷體"/>
        </w:rPr>
      </w:pPr>
      <w:bookmarkStart w:id="0" w:name="_GoBack"/>
      <w:r w:rsidRPr="002430A5">
        <w:rPr>
          <w:rFonts w:ascii="標楷體" w:eastAsia="標楷體" w:hAnsi="標楷體" w:hint="eastAsia"/>
          <w:sz w:val="40"/>
          <w:szCs w:val="40"/>
        </w:rPr>
        <w:t>臺灣地區與大陸地區人民關係條例施行細則部分條文修正條文</w:t>
      </w:r>
    </w:p>
    <w:bookmarkEnd w:id="0"/>
    <w:p w:rsidR="00DC1D21" w:rsidRPr="002430A5" w:rsidRDefault="00DC1D21" w:rsidP="00620AEA">
      <w:pPr>
        <w:autoSpaceDE w:val="0"/>
        <w:autoSpaceDN w:val="0"/>
        <w:adjustRightInd w:val="0"/>
        <w:snapToGrid w:val="0"/>
        <w:spacing w:line="460" w:lineRule="exact"/>
        <w:ind w:left="848" w:hangingChars="303" w:hanging="848"/>
        <w:jc w:val="both"/>
        <w:rPr>
          <w:rFonts w:ascii="標楷體" w:eastAsia="標楷體" w:hAnsi="標楷體" w:cs="標楷體"/>
          <w:kern w:val="0"/>
          <w:sz w:val="28"/>
          <w:szCs w:val="28"/>
          <w:lang w:val="zh-TW"/>
        </w:rPr>
      </w:pPr>
      <w:r w:rsidRPr="002430A5">
        <w:rPr>
          <w:rFonts w:ascii="標楷體" w:eastAsia="標楷體" w:hAnsi="標楷體" w:hint="eastAsia"/>
          <w:sz w:val="28"/>
          <w:szCs w:val="28"/>
        </w:rPr>
        <w:t xml:space="preserve">第二條    </w:t>
      </w:r>
      <w:r w:rsidRPr="002430A5">
        <w:rPr>
          <w:rFonts w:ascii="標楷體" w:eastAsia="標楷體" w:hAnsi="標楷體" w:cs="標楷體" w:hint="eastAsia"/>
          <w:kern w:val="0"/>
          <w:sz w:val="28"/>
          <w:szCs w:val="28"/>
          <w:lang w:val="zh-TW"/>
        </w:rPr>
        <w:t>本條例第一條、第四條、第六條、第四十一條、第六十二條、第六十三條、第七十九條之</w:t>
      </w:r>
      <w:proofErr w:type="gramStart"/>
      <w:r w:rsidRPr="002430A5">
        <w:rPr>
          <w:rFonts w:ascii="標楷體" w:eastAsia="標楷體" w:hAnsi="標楷體" w:cs="標楷體" w:hint="eastAsia"/>
          <w:kern w:val="0"/>
          <w:sz w:val="28"/>
          <w:szCs w:val="28"/>
          <w:lang w:val="zh-TW"/>
        </w:rPr>
        <w:t>一</w:t>
      </w:r>
      <w:proofErr w:type="gramEnd"/>
      <w:r w:rsidRPr="002430A5">
        <w:rPr>
          <w:rFonts w:ascii="標楷體" w:eastAsia="標楷體" w:hAnsi="標楷體" w:cs="標楷體" w:hint="eastAsia"/>
          <w:kern w:val="0"/>
          <w:sz w:val="28"/>
          <w:szCs w:val="28"/>
          <w:lang w:val="zh-TW"/>
        </w:rPr>
        <w:t>及第九十五條之三所稱人民，指自然人、法人、團體及其他機構。</w:t>
      </w:r>
    </w:p>
    <w:p w:rsidR="005C1B51" w:rsidRPr="002430A5" w:rsidRDefault="00DC1D21" w:rsidP="00620AEA">
      <w:pPr>
        <w:autoSpaceDE w:val="0"/>
        <w:autoSpaceDN w:val="0"/>
        <w:adjustRightInd w:val="0"/>
        <w:snapToGrid w:val="0"/>
        <w:spacing w:line="460" w:lineRule="exact"/>
        <w:ind w:leftChars="300" w:left="720" w:firstLineChars="250" w:firstLine="700"/>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本條例第七十八條所稱人民，指自然人及法人。</w:t>
      </w:r>
    </w:p>
    <w:p w:rsidR="00DC1D21" w:rsidRPr="002430A5" w:rsidRDefault="00DC1D21" w:rsidP="00620AEA">
      <w:pPr>
        <w:autoSpaceDE w:val="0"/>
        <w:autoSpaceDN w:val="0"/>
        <w:adjustRightInd w:val="0"/>
        <w:spacing w:line="460" w:lineRule="exact"/>
        <w:ind w:left="848" w:hangingChars="303" w:hanging="848"/>
        <w:rPr>
          <w:rFonts w:ascii="標楷體" w:eastAsia="標楷體" w:hAnsi="標楷體" w:cs="標楷體"/>
          <w:kern w:val="0"/>
          <w:sz w:val="28"/>
          <w:szCs w:val="28"/>
          <w:lang w:val="zh-TW"/>
        </w:rPr>
      </w:pPr>
      <w:r w:rsidRPr="002430A5">
        <w:rPr>
          <w:rFonts w:ascii="標楷體" w:eastAsia="標楷體" w:hAnsi="標楷體" w:hint="eastAsia"/>
          <w:sz w:val="28"/>
          <w:szCs w:val="28"/>
        </w:rPr>
        <w:t>第四</w:t>
      </w:r>
      <w:r w:rsidRPr="002430A5">
        <w:rPr>
          <w:rStyle w:val="a8"/>
          <w:rFonts w:ascii="標楷體" w:eastAsia="標楷體" w:hAnsi="標楷體" w:hint="eastAsia"/>
          <w:b w:val="0"/>
          <w:bCs w:val="0"/>
          <w:sz w:val="28"/>
          <w:szCs w:val="28"/>
        </w:rPr>
        <w:t xml:space="preserve">條 </w:t>
      </w:r>
      <w:r w:rsidRPr="002430A5">
        <w:rPr>
          <w:rFonts w:ascii="標楷體" w:eastAsia="標楷體" w:hAnsi="標楷體" w:hint="eastAsia"/>
          <w:sz w:val="28"/>
          <w:szCs w:val="28"/>
        </w:rPr>
        <w:t xml:space="preserve">   </w:t>
      </w:r>
      <w:r w:rsidRPr="002430A5">
        <w:rPr>
          <w:rFonts w:ascii="標楷體" w:eastAsia="標楷體" w:hAnsi="標楷體" w:cs="標楷體" w:hint="eastAsia"/>
          <w:kern w:val="0"/>
          <w:sz w:val="28"/>
          <w:szCs w:val="28"/>
          <w:lang w:val="zh-TW"/>
        </w:rPr>
        <w:t>本條例第二條第三款所定臺灣地區人民，包括下列人民：</w:t>
      </w:r>
    </w:p>
    <w:p w:rsidR="00991456" w:rsidRPr="002430A5" w:rsidRDefault="00DC1D21" w:rsidP="00620AEA">
      <w:pPr>
        <w:autoSpaceDE w:val="0"/>
        <w:autoSpaceDN w:val="0"/>
        <w:adjustRightInd w:val="0"/>
        <w:spacing w:line="460" w:lineRule="exact"/>
        <w:ind w:leftChars="573" w:left="1943" w:hangingChars="203" w:hanging="568"/>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一、曾在臺灣地區設有戶籍，中華民國九十年二月十九日以前轉換身分為大陸地區人民，依第六條規定回復臺灣地區人民身分者。</w:t>
      </w:r>
    </w:p>
    <w:p w:rsidR="00991456" w:rsidRPr="002430A5" w:rsidRDefault="00DC1D21" w:rsidP="00620AEA">
      <w:pPr>
        <w:autoSpaceDE w:val="0"/>
        <w:autoSpaceDN w:val="0"/>
        <w:adjustRightInd w:val="0"/>
        <w:spacing w:line="460" w:lineRule="exact"/>
        <w:ind w:leftChars="573" w:left="1943" w:hangingChars="203" w:hanging="568"/>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二、在臺灣地區出生，其</w:t>
      </w:r>
      <w:proofErr w:type="gramStart"/>
      <w:r w:rsidRPr="002430A5">
        <w:rPr>
          <w:rFonts w:ascii="標楷體" w:eastAsia="標楷體" w:hAnsi="標楷體" w:cs="標楷體" w:hint="eastAsia"/>
          <w:kern w:val="0"/>
          <w:sz w:val="28"/>
          <w:szCs w:val="28"/>
          <w:lang w:val="zh-TW"/>
        </w:rPr>
        <w:t>父母均為臺灣</w:t>
      </w:r>
      <w:proofErr w:type="gramEnd"/>
      <w:r w:rsidRPr="002430A5">
        <w:rPr>
          <w:rFonts w:ascii="標楷體" w:eastAsia="標楷體" w:hAnsi="標楷體" w:cs="標楷體" w:hint="eastAsia"/>
          <w:kern w:val="0"/>
          <w:sz w:val="28"/>
          <w:szCs w:val="28"/>
          <w:lang w:val="zh-TW"/>
        </w:rPr>
        <w:t>地區人民，或一方為臺灣地區人民，一方為大陸地區人民者。</w:t>
      </w:r>
    </w:p>
    <w:p w:rsidR="00991456" w:rsidRPr="002430A5" w:rsidRDefault="00DC1D21" w:rsidP="00620AEA">
      <w:pPr>
        <w:autoSpaceDE w:val="0"/>
        <w:autoSpaceDN w:val="0"/>
        <w:adjustRightInd w:val="0"/>
        <w:spacing w:line="460" w:lineRule="exact"/>
        <w:ind w:leftChars="573" w:left="1943" w:hangingChars="203" w:hanging="568"/>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三、在大陸地區出生，其</w:t>
      </w:r>
      <w:proofErr w:type="gramStart"/>
      <w:r w:rsidRPr="002430A5">
        <w:rPr>
          <w:rFonts w:ascii="標楷體" w:eastAsia="標楷體" w:hAnsi="標楷體" w:cs="標楷體" w:hint="eastAsia"/>
          <w:kern w:val="0"/>
          <w:sz w:val="28"/>
          <w:szCs w:val="28"/>
          <w:lang w:val="zh-TW"/>
        </w:rPr>
        <w:t>父母均為臺灣</w:t>
      </w:r>
      <w:proofErr w:type="gramEnd"/>
      <w:r w:rsidRPr="002430A5">
        <w:rPr>
          <w:rFonts w:ascii="標楷體" w:eastAsia="標楷體" w:hAnsi="標楷體" w:cs="標楷體" w:hint="eastAsia"/>
          <w:kern w:val="0"/>
          <w:sz w:val="28"/>
          <w:szCs w:val="28"/>
          <w:lang w:val="zh-TW"/>
        </w:rPr>
        <w:t>地區人民，未在大陸地區設有戶籍或領用大陸地區護照者。</w:t>
      </w:r>
    </w:p>
    <w:p w:rsidR="00991456" w:rsidRPr="002430A5" w:rsidRDefault="00DC1D21" w:rsidP="00620AEA">
      <w:pPr>
        <w:autoSpaceDE w:val="0"/>
        <w:autoSpaceDN w:val="0"/>
        <w:adjustRightInd w:val="0"/>
        <w:spacing w:line="460" w:lineRule="exact"/>
        <w:ind w:leftChars="573" w:left="1943" w:hangingChars="203" w:hanging="568"/>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四、</w:t>
      </w:r>
      <w:r w:rsidRPr="002430A5">
        <w:rPr>
          <w:rFonts w:ascii="標楷體" w:eastAsia="標楷體" w:hAnsi="標楷體" w:cs="細明體" w:hint="eastAsia"/>
          <w:kern w:val="0"/>
          <w:sz w:val="28"/>
          <w:szCs w:val="28"/>
          <w:lang w:val="zh-TW"/>
        </w:rPr>
        <w:t>在大陸地區出生，其父母一方為臺灣地區人民，一方為大陸地區人民，</w:t>
      </w:r>
      <w:r w:rsidRPr="002430A5">
        <w:rPr>
          <w:rFonts w:ascii="標楷體" w:eastAsia="標楷體" w:hAnsi="標楷體" w:cs="標楷體" w:hint="eastAsia"/>
          <w:kern w:val="0"/>
          <w:sz w:val="28"/>
          <w:szCs w:val="28"/>
          <w:lang w:val="zh-TW"/>
        </w:rPr>
        <w:t>未在大陸地區設有戶籍或領用大陸地區護照，並於</w:t>
      </w:r>
      <w:r w:rsidRPr="002430A5">
        <w:rPr>
          <w:rFonts w:ascii="標楷體" w:eastAsia="標楷體" w:hAnsi="標楷體" w:cs="細明體" w:hint="eastAsia"/>
          <w:kern w:val="0"/>
          <w:sz w:val="28"/>
          <w:szCs w:val="28"/>
          <w:lang w:val="zh-TW"/>
        </w:rPr>
        <w:t>出生後一年內在臺灣地區設有戶籍者。</w:t>
      </w:r>
    </w:p>
    <w:p w:rsidR="00DC1D21" w:rsidRPr="002430A5" w:rsidRDefault="00DC1D21" w:rsidP="00D91DDC">
      <w:pPr>
        <w:autoSpaceDE w:val="0"/>
        <w:autoSpaceDN w:val="0"/>
        <w:adjustRightInd w:val="0"/>
        <w:spacing w:line="460" w:lineRule="exact"/>
        <w:ind w:leftChars="573" w:left="1943" w:hangingChars="203" w:hanging="568"/>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五、依本條例第九條之二第一項規定，經內政部許可回復臺灣地區人民身分，並返回臺灣地區定居者。</w:t>
      </w:r>
    </w:p>
    <w:p w:rsidR="00DC1D21" w:rsidRPr="002430A5" w:rsidRDefault="00DC1D21" w:rsidP="00D91DDC">
      <w:pPr>
        <w:adjustRightInd w:val="0"/>
        <w:snapToGrid w:val="0"/>
        <w:spacing w:line="460" w:lineRule="exact"/>
        <w:ind w:left="848" w:hangingChars="303" w:hanging="848"/>
        <w:jc w:val="both"/>
        <w:rPr>
          <w:rFonts w:ascii="標楷體" w:eastAsia="標楷體" w:hAnsi="標楷體" w:cs="標楷體"/>
          <w:kern w:val="0"/>
          <w:sz w:val="28"/>
          <w:szCs w:val="28"/>
          <w:lang w:val="zh-TW"/>
        </w:rPr>
      </w:pPr>
      <w:r w:rsidRPr="002430A5">
        <w:rPr>
          <w:rFonts w:ascii="標楷體" w:eastAsia="標楷體" w:hAnsi="標楷體" w:cs="細明體" w:hint="eastAsia"/>
          <w:kern w:val="0"/>
          <w:sz w:val="28"/>
          <w:szCs w:val="28"/>
          <w:lang w:val="zh-TW"/>
        </w:rPr>
        <w:t xml:space="preserve">      </w:t>
      </w:r>
      <w:r w:rsidR="00991456" w:rsidRPr="002430A5">
        <w:rPr>
          <w:rFonts w:ascii="標楷體" w:eastAsia="標楷體" w:hAnsi="標楷體" w:cs="細明體" w:hint="eastAsia"/>
          <w:kern w:val="0"/>
          <w:sz w:val="28"/>
          <w:szCs w:val="28"/>
          <w:lang w:val="zh-TW"/>
        </w:rPr>
        <w:t xml:space="preserve">    </w:t>
      </w:r>
      <w:r w:rsidRPr="002430A5">
        <w:rPr>
          <w:rFonts w:ascii="標楷體" w:eastAsia="標楷體" w:hAnsi="標楷體" w:cs="標楷體" w:hint="eastAsia"/>
          <w:kern w:val="0"/>
          <w:sz w:val="28"/>
          <w:szCs w:val="28"/>
          <w:lang w:val="zh-TW"/>
        </w:rPr>
        <w:t>大陸地區人民經許可進入臺灣地區定居，並設有戶籍者，為臺灣地區人民。</w:t>
      </w:r>
    </w:p>
    <w:p w:rsidR="00DC1D21" w:rsidRPr="002430A5" w:rsidRDefault="00DC1D21" w:rsidP="00620AEA">
      <w:pPr>
        <w:autoSpaceDE w:val="0"/>
        <w:autoSpaceDN w:val="0"/>
        <w:adjustRightInd w:val="0"/>
        <w:spacing w:line="460" w:lineRule="exact"/>
        <w:ind w:left="848" w:hangingChars="303" w:hanging="848"/>
        <w:jc w:val="both"/>
        <w:rPr>
          <w:rFonts w:ascii="標楷體" w:eastAsia="標楷體" w:hAnsi="標楷體"/>
          <w:sz w:val="28"/>
          <w:szCs w:val="28"/>
        </w:rPr>
      </w:pPr>
      <w:r w:rsidRPr="002430A5">
        <w:rPr>
          <w:rFonts w:ascii="標楷體" w:eastAsia="標楷體" w:hAnsi="標楷體" w:hint="eastAsia"/>
          <w:sz w:val="28"/>
          <w:szCs w:val="28"/>
        </w:rPr>
        <w:t>第五</w:t>
      </w:r>
      <w:r w:rsidRPr="002430A5">
        <w:rPr>
          <w:rFonts w:ascii="標楷體" w:eastAsia="標楷體" w:hAnsi="標楷體" w:hint="eastAsia"/>
          <w:bCs/>
          <w:sz w:val="28"/>
          <w:szCs w:val="28"/>
        </w:rPr>
        <w:t>條</w:t>
      </w:r>
      <w:r w:rsidRPr="002430A5">
        <w:rPr>
          <w:rFonts w:ascii="標楷體" w:eastAsia="標楷體" w:hAnsi="標楷體" w:hint="eastAsia"/>
          <w:b/>
          <w:bCs/>
          <w:sz w:val="28"/>
          <w:szCs w:val="28"/>
        </w:rPr>
        <w:t xml:space="preserve"> </w:t>
      </w:r>
      <w:r w:rsidRPr="002430A5">
        <w:rPr>
          <w:rFonts w:ascii="標楷體" w:eastAsia="標楷體" w:hAnsi="標楷體" w:hint="eastAsia"/>
          <w:sz w:val="28"/>
          <w:szCs w:val="28"/>
        </w:rPr>
        <w:t xml:space="preserve"> </w:t>
      </w:r>
      <w:r w:rsidR="00991456" w:rsidRPr="002430A5">
        <w:rPr>
          <w:rFonts w:ascii="標楷體" w:eastAsia="標楷體" w:hAnsi="標楷體" w:hint="eastAsia"/>
          <w:sz w:val="28"/>
          <w:szCs w:val="28"/>
        </w:rPr>
        <w:t xml:space="preserve">  </w:t>
      </w:r>
      <w:r w:rsidRPr="002430A5">
        <w:rPr>
          <w:rFonts w:ascii="標楷體" w:eastAsia="標楷體" w:hAnsi="標楷體" w:hint="eastAsia"/>
          <w:sz w:val="28"/>
          <w:szCs w:val="28"/>
        </w:rPr>
        <w:t>本條例第二條第四款所定大陸地區人民，包括下列人民：</w:t>
      </w:r>
    </w:p>
    <w:p w:rsidR="00991456" w:rsidRPr="002430A5" w:rsidRDefault="00DC1D21" w:rsidP="00657433">
      <w:pPr>
        <w:overflowPunct w:val="0"/>
        <w:autoSpaceDE w:val="0"/>
        <w:autoSpaceDN w:val="0"/>
        <w:adjustRightInd w:val="0"/>
        <w:spacing w:line="460" w:lineRule="exact"/>
        <w:ind w:leftChars="584" w:left="1984" w:hangingChars="208" w:hanging="582"/>
        <w:jc w:val="both"/>
        <w:rPr>
          <w:rFonts w:ascii="標楷體" w:eastAsia="標楷體" w:hAnsi="標楷體"/>
          <w:sz w:val="28"/>
          <w:szCs w:val="28"/>
        </w:rPr>
      </w:pPr>
      <w:r w:rsidRPr="002430A5">
        <w:rPr>
          <w:rFonts w:ascii="標楷體" w:eastAsia="標楷體" w:hAnsi="標楷體" w:hint="eastAsia"/>
          <w:sz w:val="28"/>
          <w:szCs w:val="28"/>
        </w:rPr>
        <w:t>一、在臺灣地區或大陸地區出生，其</w:t>
      </w:r>
      <w:proofErr w:type="gramStart"/>
      <w:r w:rsidRPr="002430A5">
        <w:rPr>
          <w:rFonts w:ascii="標楷體" w:eastAsia="標楷體" w:hAnsi="標楷體" w:hint="eastAsia"/>
          <w:sz w:val="28"/>
          <w:szCs w:val="28"/>
        </w:rPr>
        <w:t>父母均為大陸</w:t>
      </w:r>
      <w:proofErr w:type="gramEnd"/>
      <w:r w:rsidRPr="002430A5">
        <w:rPr>
          <w:rFonts w:ascii="標楷體" w:eastAsia="標楷體" w:hAnsi="標楷體" w:hint="eastAsia"/>
          <w:sz w:val="28"/>
          <w:szCs w:val="28"/>
        </w:rPr>
        <w:t>地區人民者。</w:t>
      </w:r>
    </w:p>
    <w:p w:rsidR="00991456" w:rsidRPr="002430A5" w:rsidRDefault="00DC1D21" w:rsidP="00620AEA">
      <w:pPr>
        <w:autoSpaceDE w:val="0"/>
        <w:autoSpaceDN w:val="0"/>
        <w:adjustRightInd w:val="0"/>
        <w:spacing w:line="460" w:lineRule="exact"/>
        <w:ind w:leftChars="584" w:left="1984" w:hangingChars="208" w:hanging="582"/>
        <w:jc w:val="both"/>
        <w:rPr>
          <w:rFonts w:ascii="標楷體" w:eastAsia="標楷體" w:hAnsi="標楷體"/>
          <w:sz w:val="28"/>
          <w:szCs w:val="28"/>
        </w:rPr>
      </w:pPr>
      <w:r w:rsidRPr="002430A5">
        <w:rPr>
          <w:rFonts w:ascii="標楷體" w:eastAsia="標楷體" w:hAnsi="標楷體" w:hint="eastAsia"/>
          <w:sz w:val="28"/>
          <w:szCs w:val="28"/>
        </w:rPr>
        <w:t>二、在大陸地區出生，其父母一方為臺灣地區人民，一方為大陸地區人民，在大陸地區設有戶籍、領用大陸地區護照或未依前條第一項第四款規定在臺灣地區設有戶籍者。</w:t>
      </w:r>
    </w:p>
    <w:p w:rsidR="00991456" w:rsidRPr="002430A5" w:rsidRDefault="00DC1D21" w:rsidP="00620AEA">
      <w:pPr>
        <w:autoSpaceDE w:val="0"/>
        <w:autoSpaceDN w:val="0"/>
        <w:adjustRightInd w:val="0"/>
        <w:spacing w:line="460" w:lineRule="exact"/>
        <w:ind w:leftChars="584" w:left="1984" w:hangingChars="208" w:hanging="582"/>
        <w:jc w:val="both"/>
        <w:rPr>
          <w:rFonts w:ascii="標楷體" w:eastAsia="標楷體" w:hAnsi="標楷體"/>
          <w:sz w:val="28"/>
          <w:szCs w:val="28"/>
        </w:rPr>
      </w:pPr>
      <w:r w:rsidRPr="002430A5">
        <w:rPr>
          <w:rFonts w:ascii="標楷體" w:eastAsia="標楷體" w:hAnsi="標楷體" w:hint="eastAsia"/>
          <w:sz w:val="28"/>
          <w:szCs w:val="28"/>
        </w:rPr>
        <w:t>三、在臺灣地區設有戶籍，中華民國九十年二月十九日以前轉換身分為大陸地區人民，未依第六條規定回復臺灣地</w:t>
      </w:r>
      <w:r w:rsidRPr="002430A5">
        <w:rPr>
          <w:rFonts w:ascii="標楷體" w:eastAsia="標楷體" w:hAnsi="標楷體" w:hint="eastAsia"/>
          <w:sz w:val="28"/>
          <w:szCs w:val="28"/>
        </w:rPr>
        <w:lastRenderedPageBreak/>
        <w:t>區人民身分者。</w:t>
      </w:r>
    </w:p>
    <w:p w:rsidR="00DC1D21" w:rsidRPr="002430A5" w:rsidRDefault="00DC1D21" w:rsidP="00620AEA">
      <w:pPr>
        <w:autoSpaceDE w:val="0"/>
        <w:autoSpaceDN w:val="0"/>
        <w:adjustRightInd w:val="0"/>
        <w:spacing w:line="460" w:lineRule="exact"/>
        <w:ind w:leftChars="584" w:left="1984" w:hangingChars="208" w:hanging="582"/>
        <w:jc w:val="both"/>
        <w:rPr>
          <w:rFonts w:ascii="標楷體" w:eastAsia="標楷體" w:hAnsi="標楷體"/>
          <w:sz w:val="28"/>
          <w:szCs w:val="28"/>
        </w:rPr>
      </w:pPr>
      <w:r w:rsidRPr="002430A5">
        <w:rPr>
          <w:rFonts w:ascii="標楷體" w:eastAsia="標楷體" w:hAnsi="標楷體" w:hint="eastAsia"/>
          <w:sz w:val="28"/>
          <w:szCs w:val="28"/>
        </w:rPr>
        <w:t>四、依本條例第九條之一第二項規定在大陸地區設有戶籍或領用大陸地區護照，而喪失臺灣地區人民身分者。</w:t>
      </w:r>
    </w:p>
    <w:p w:rsidR="00991456" w:rsidRPr="002430A5" w:rsidRDefault="00DC1D21" w:rsidP="00620AEA">
      <w:pPr>
        <w:autoSpaceDE w:val="0"/>
        <w:autoSpaceDN w:val="0"/>
        <w:adjustRightInd w:val="0"/>
        <w:snapToGrid w:val="0"/>
        <w:spacing w:line="460" w:lineRule="exact"/>
        <w:ind w:left="848" w:hangingChars="303" w:hanging="848"/>
        <w:jc w:val="both"/>
        <w:rPr>
          <w:rFonts w:ascii="標楷體" w:eastAsia="標楷體" w:hAnsi="標楷體"/>
          <w:sz w:val="28"/>
          <w:szCs w:val="28"/>
        </w:rPr>
      </w:pPr>
      <w:r w:rsidRPr="002430A5">
        <w:rPr>
          <w:rFonts w:ascii="標楷體" w:eastAsia="標楷體" w:hAnsi="標楷體" w:hint="eastAsia"/>
          <w:sz w:val="28"/>
          <w:szCs w:val="28"/>
        </w:rPr>
        <w:t xml:space="preserve">第八條  </w:t>
      </w:r>
      <w:r w:rsidR="00991456" w:rsidRPr="002430A5">
        <w:rPr>
          <w:rFonts w:ascii="標楷體" w:eastAsia="標楷體" w:hAnsi="標楷體" w:hint="eastAsia"/>
          <w:sz w:val="28"/>
          <w:szCs w:val="28"/>
        </w:rPr>
        <w:t xml:space="preserve">  </w:t>
      </w:r>
      <w:r w:rsidRPr="002430A5">
        <w:rPr>
          <w:rFonts w:ascii="標楷體" w:eastAsia="標楷體" w:hAnsi="標楷體" w:hint="eastAsia"/>
          <w:sz w:val="28"/>
          <w:szCs w:val="28"/>
        </w:rPr>
        <w:t>本條例第四條第一項所定機構或第二項所定受委託之民間團體，於驗證大陸地區製作之文書時，應比對正、副本或其製作名義人簽字及</w:t>
      </w:r>
      <w:proofErr w:type="gramStart"/>
      <w:r w:rsidRPr="002430A5">
        <w:rPr>
          <w:rFonts w:ascii="標楷體" w:eastAsia="標楷體" w:hAnsi="標楷體" w:hint="eastAsia"/>
          <w:sz w:val="28"/>
          <w:szCs w:val="28"/>
        </w:rPr>
        <w:t>鈐</w:t>
      </w:r>
      <w:proofErr w:type="gramEnd"/>
      <w:r w:rsidRPr="002430A5">
        <w:rPr>
          <w:rFonts w:ascii="標楷體" w:eastAsia="標楷體" w:hAnsi="標楷體" w:hint="eastAsia"/>
          <w:sz w:val="28"/>
          <w:szCs w:val="28"/>
        </w:rPr>
        <w:t>印之真正，或為查證。</w:t>
      </w:r>
    </w:p>
    <w:p w:rsidR="00DC1D21" w:rsidRPr="002430A5" w:rsidRDefault="00DC1D21" w:rsidP="00620AEA">
      <w:pPr>
        <w:autoSpaceDE w:val="0"/>
        <w:autoSpaceDN w:val="0"/>
        <w:adjustRightInd w:val="0"/>
        <w:snapToGrid w:val="0"/>
        <w:spacing w:line="460" w:lineRule="exact"/>
        <w:ind w:leftChars="354" w:left="850" w:firstLineChars="203" w:firstLine="568"/>
        <w:jc w:val="both"/>
        <w:rPr>
          <w:rFonts w:ascii="標楷體" w:eastAsia="標楷體" w:hAnsi="標楷體"/>
          <w:sz w:val="28"/>
          <w:szCs w:val="28"/>
        </w:rPr>
      </w:pPr>
      <w:r w:rsidRPr="002430A5">
        <w:rPr>
          <w:rFonts w:ascii="標楷體" w:eastAsia="標楷體" w:hAnsi="標楷體" w:cs="標楷體" w:hint="eastAsia"/>
          <w:sz w:val="28"/>
          <w:szCs w:val="28"/>
          <w:lang w:val="zh-TW"/>
        </w:rPr>
        <w:t>文書驗證之申請，有下列各款情形之</w:t>
      </w:r>
      <w:proofErr w:type="gramStart"/>
      <w:r w:rsidRPr="002430A5">
        <w:rPr>
          <w:rFonts w:ascii="標楷體" w:eastAsia="標楷體" w:hAnsi="標楷體" w:cs="標楷體" w:hint="eastAsia"/>
          <w:sz w:val="28"/>
          <w:szCs w:val="28"/>
          <w:lang w:val="zh-TW"/>
        </w:rPr>
        <w:t>一</w:t>
      </w:r>
      <w:proofErr w:type="gramEnd"/>
      <w:r w:rsidRPr="002430A5">
        <w:rPr>
          <w:rFonts w:ascii="標楷體" w:eastAsia="標楷體" w:hAnsi="標楷體" w:cs="標楷體" w:hint="eastAsia"/>
          <w:sz w:val="28"/>
          <w:szCs w:val="28"/>
          <w:lang w:val="zh-TW"/>
        </w:rPr>
        <w:t>者，</w:t>
      </w:r>
      <w:r w:rsidRPr="002430A5">
        <w:rPr>
          <w:rFonts w:ascii="標楷體" w:eastAsia="標楷體" w:hAnsi="標楷體" w:hint="eastAsia"/>
          <w:sz w:val="28"/>
          <w:szCs w:val="28"/>
        </w:rPr>
        <w:t>前項之機構或民間團體</w:t>
      </w:r>
      <w:r w:rsidRPr="002430A5">
        <w:rPr>
          <w:rFonts w:ascii="標楷體" w:eastAsia="標楷體" w:hAnsi="標楷體" w:cs="標楷體" w:hint="eastAsia"/>
          <w:sz w:val="28"/>
          <w:szCs w:val="28"/>
          <w:lang w:val="zh-TW"/>
        </w:rPr>
        <w:t>應不予受理。但其情形得補正者，應先定期令其補正：</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一、申請事項不屬文書驗證之範圍。</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二、申請目的或文書內容明顯違反法令、國家利益，或有背於公共秩序、善良風俗或有其他不當情形。</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三、提出之文書明顯為偽造或變造。</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四、提出之文書未經大陸地區公證。</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五、未提出大陸地區公證書正本。</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六、申請人與申請之文書無利害關係。</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七、未繳納費用、未提出身分證明文件或其他相關文件。</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八、文書內容明顯有矛盾、錯誤、不實或有足以影響同一性之瑕疵。</w:t>
      </w:r>
    </w:p>
    <w:p w:rsidR="00DC1D21" w:rsidRPr="002430A5" w:rsidRDefault="00DC1D21" w:rsidP="00620AEA">
      <w:pPr>
        <w:autoSpaceDE w:val="0"/>
        <w:autoSpaceDN w:val="0"/>
        <w:adjustRightInd w:val="0"/>
        <w:snapToGrid w:val="0"/>
        <w:spacing w:line="460" w:lineRule="exact"/>
        <w:ind w:leftChars="591" w:left="1984" w:hangingChars="202" w:hanging="566"/>
        <w:jc w:val="both"/>
        <w:rPr>
          <w:rFonts w:ascii="標楷體" w:eastAsia="標楷體" w:hAnsi="標楷體" w:cs="標楷體"/>
          <w:sz w:val="28"/>
          <w:szCs w:val="28"/>
          <w:lang w:val="zh-TW"/>
        </w:rPr>
      </w:pPr>
      <w:r w:rsidRPr="002430A5">
        <w:rPr>
          <w:rFonts w:ascii="標楷體" w:eastAsia="標楷體" w:hAnsi="標楷體" w:cs="標楷體" w:hint="eastAsia"/>
          <w:sz w:val="28"/>
          <w:szCs w:val="28"/>
          <w:lang w:val="zh-TW"/>
        </w:rPr>
        <w:t>九、申請不合程式或不備其他要件。</w:t>
      </w:r>
    </w:p>
    <w:p w:rsidR="00DC1D21" w:rsidRPr="002430A5" w:rsidRDefault="00DC1D21" w:rsidP="00657433">
      <w:pPr>
        <w:adjustRightInd w:val="0"/>
        <w:snapToGrid w:val="0"/>
        <w:spacing w:line="460" w:lineRule="exact"/>
        <w:ind w:left="848" w:hangingChars="303" w:hanging="848"/>
        <w:jc w:val="both"/>
        <w:rPr>
          <w:rFonts w:ascii="標楷體" w:eastAsia="標楷體" w:hAnsi="標楷體"/>
          <w:sz w:val="28"/>
          <w:szCs w:val="28"/>
        </w:rPr>
      </w:pPr>
      <w:r w:rsidRPr="002430A5">
        <w:rPr>
          <w:rFonts w:ascii="標楷體" w:eastAsia="標楷體" w:hAnsi="標楷體" w:cs="標楷體" w:hint="eastAsia"/>
          <w:sz w:val="28"/>
          <w:szCs w:val="28"/>
          <w:lang w:val="zh-TW"/>
        </w:rPr>
        <w:t xml:space="preserve">   </w:t>
      </w:r>
      <w:r w:rsidR="00991456" w:rsidRPr="002430A5">
        <w:rPr>
          <w:rFonts w:ascii="標楷體" w:eastAsia="標楷體" w:hAnsi="標楷體" w:cs="標楷體" w:hint="eastAsia"/>
          <w:sz w:val="28"/>
          <w:szCs w:val="28"/>
          <w:lang w:val="zh-TW"/>
        </w:rPr>
        <w:t xml:space="preserve">       </w:t>
      </w:r>
      <w:r w:rsidRPr="002430A5">
        <w:rPr>
          <w:rFonts w:ascii="標楷體" w:eastAsia="標楷體" w:hAnsi="標楷體" w:cs="標楷體" w:hint="eastAsia"/>
          <w:sz w:val="28"/>
          <w:szCs w:val="28"/>
          <w:lang w:val="zh-TW"/>
        </w:rPr>
        <w:t>申請驗證之文書，經驗證屬實者，應驗發文件證明，並得於必要時為適當之註記</w:t>
      </w:r>
      <w:r w:rsidRPr="002430A5">
        <w:rPr>
          <w:rFonts w:ascii="標楷體" w:eastAsia="標楷體" w:hAnsi="標楷體" w:hint="eastAsia"/>
          <w:sz w:val="28"/>
          <w:szCs w:val="28"/>
        </w:rPr>
        <w:t>；經驗證有不實者，應駁回其申請。</w:t>
      </w:r>
    </w:p>
    <w:p w:rsidR="00DC1D21" w:rsidRPr="002430A5" w:rsidRDefault="00DC1D21" w:rsidP="00620AEA">
      <w:pPr>
        <w:adjustRightInd w:val="0"/>
        <w:snapToGrid w:val="0"/>
        <w:spacing w:line="460" w:lineRule="exact"/>
        <w:ind w:left="848" w:hangingChars="303" w:hanging="848"/>
        <w:rPr>
          <w:rFonts w:ascii="標楷體" w:eastAsia="標楷體" w:hAnsi="標楷體" w:cs="標楷體"/>
          <w:snapToGrid w:val="0"/>
          <w:kern w:val="0"/>
          <w:sz w:val="28"/>
          <w:szCs w:val="28"/>
          <w:lang w:val="zh-TW"/>
        </w:rPr>
      </w:pPr>
      <w:r w:rsidRPr="002430A5">
        <w:rPr>
          <w:rFonts w:ascii="標楷體" w:eastAsia="標楷體" w:hAnsi="標楷體" w:cs="標楷體" w:hint="eastAsia"/>
          <w:snapToGrid w:val="0"/>
          <w:kern w:val="0"/>
          <w:sz w:val="28"/>
          <w:szCs w:val="28"/>
          <w:lang w:val="zh-TW"/>
        </w:rPr>
        <w:t xml:space="preserve">第十四條  </w:t>
      </w:r>
      <w:r w:rsidR="00991456" w:rsidRPr="002430A5">
        <w:rPr>
          <w:rFonts w:ascii="標楷體" w:eastAsia="標楷體" w:hAnsi="標楷體" w:cs="標楷體" w:hint="eastAsia"/>
          <w:snapToGrid w:val="0"/>
          <w:kern w:val="0"/>
          <w:sz w:val="28"/>
          <w:szCs w:val="28"/>
          <w:lang w:val="zh-TW"/>
        </w:rPr>
        <w:t xml:space="preserve">  </w:t>
      </w:r>
      <w:r w:rsidRPr="002430A5">
        <w:rPr>
          <w:rFonts w:ascii="標楷體" w:eastAsia="標楷體" w:hAnsi="標楷體" w:cs="標楷體" w:hint="eastAsia"/>
          <w:snapToGrid w:val="0"/>
          <w:kern w:val="0"/>
          <w:sz w:val="28"/>
          <w:szCs w:val="28"/>
          <w:lang w:val="zh-TW"/>
        </w:rPr>
        <w:t>(刪除)</w:t>
      </w:r>
    </w:p>
    <w:p w:rsidR="00991456" w:rsidRPr="002430A5" w:rsidRDefault="00DC1D21" w:rsidP="00620AEA">
      <w:pPr>
        <w:pStyle w:val="p2"/>
        <w:tabs>
          <w:tab w:val="left" w:pos="-3240"/>
        </w:tabs>
        <w:adjustRightInd w:val="0"/>
        <w:snapToGrid w:val="0"/>
        <w:spacing w:before="0" w:beforeAutospacing="0" w:after="0" w:afterAutospacing="0" w:line="460" w:lineRule="exact"/>
        <w:ind w:leftChars="1" w:left="1133" w:right="0" w:hangingChars="404" w:hanging="1131"/>
        <w:jc w:val="both"/>
        <w:rPr>
          <w:rFonts w:ascii="標楷體" w:eastAsia="標楷體" w:hAnsi="標楷體" w:cs="標楷體"/>
          <w:snapToGrid w:val="0"/>
          <w:kern w:val="2"/>
          <w:sz w:val="28"/>
          <w:szCs w:val="28"/>
          <w:lang w:val="zh-TW"/>
        </w:rPr>
      </w:pPr>
      <w:r w:rsidRPr="002430A5">
        <w:rPr>
          <w:rFonts w:ascii="標楷體" w:eastAsia="標楷體" w:hAnsi="標楷體" w:hint="eastAsia"/>
          <w:snapToGrid w:val="0"/>
          <w:kern w:val="2"/>
          <w:sz w:val="28"/>
          <w:szCs w:val="28"/>
        </w:rPr>
        <w:t>第十五條</w:t>
      </w:r>
      <w:r w:rsidR="00286520">
        <w:rPr>
          <w:rFonts w:ascii="標楷體" w:eastAsia="標楷體" w:hAnsi="標楷體" w:hint="eastAsia"/>
          <w:snapToGrid w:val="0"/>
          <w:kern w:val="2"/>
          <w:sz w:val="28"/>
          <w:szCs w:val="28"/>
        </w:rPr>
        <w:t xml:space="preserve">　　</w:t>
      </w:r>
      <w:r w:rsidRPr="002430A5">
        <w:rPr>
          <w:rFonts w:ascii="標楷體" w:eastAsia="標楷體" w:hAnsi="標楷體" w:cs="標楷體" w:hint="eastAsia"/>
          <w:snapToGrid w:val="0"/>
          <w:kern w:val="2"/>
          <w:sz w:val="28"/>
          <w:szCs w:val="28"/>
          <w:lang w:val="zh-TW"/>
        </w:rPr>
        <w:t>本條例第十五條第一款所定非法進入臺灣地區，包括持偽造、變造</w:t>
      </w:r>
      <w:r w:rsidRPr="002430A5">
        <w:rPr>
          <w:rFonts w:ascii="標楷體" w:eastAsia="標楷體" w:hAnsi="標楷體" w:cs="標楷體" w:hint="eastAsia"/>
          <w:snapToGrid w:val="0"/>
          <w:kern w:val="2"/>
          <w:sz w:val="28"/>
          <w:szCs w:val="28"/>
        </w:rPr>
        <w:t>、冒用</w:t>
      </w:r>
      <w:proofErr w:type="gramStart"/>
      <w:r w:rsidRPr="002430A5">
        <w:rPr>
          <w:rFonts w:ascii="標楷體" w:eastAsia="標楷體" w:hAnsi="標楷體" w:cs="標楷體" w:hint="eastAsia"/>
          <w:snapToGrid w:val="0"/>
          <w:kern w:val="2"/>
          <w:sz w:val="28"/>
          <w:szCs w:val="28"/>
          <w:lang w:val="zh-TW"/>
        </w:rPr>
        <w:t>或持冒用</w:t>
      </w:r>
      <w:proofErr w:type="gramEnd"/>
      <w:r w:rsidRPr="002430A5">
        <w:rPr>
          <w:rFonts w:ascii="標楷體" w:eastAsia="標楷體" w:hAnsi="標楷體" w:cs="標楷體" w:hint="eastAsia"/>
          <w:snapToGrid w:val="0"/>
          <w:kern w:val="2"/>
          <w:sz w:val="28"/>
          <w:szCs w:val="28"/>
          <w:lang w:val="zh-TW"/>
        </w:rPr>
        <w:t>身分申請之護照、旅行證或其他相類之證書、有事實足</w:t>
      </w:r>
      <w:proofErr w:type="gramStart"/>
      <w:r w:rsidRPr="002430A5">
        <w:rPr>
          <w:rFonts w:ascii="標楷體" w:eastAsia="標楷體" w:hAnsi="標楷體" w:cs="標楷體" w:hint="eastAsia"/>
          <w:snapToGrid w:val="0"/>
          <w:kern w:val="2"/>
          <w:sz w:val="28"/>
          <w:szCs w:val="28"/>
          <w:lang w:val="zh-TW"/>
        </w:rPr>
        <w:t>認係通謀</w:t>
      </w:r>
      <w:proofErr w:type="gramEnd"/>
      <w:r w:rsidRPr="002430A5">
        <w:rPr>
          <w:rFonts w:ascii="標楷體" w:eastAsia="標楷體" w:hAnsi="標楷體" w:cs="標楷體" w:hint="eastAsia"/>
          <w:snapToGrid w:val="0"/>
          <w:kern w:val="2"/>
          <w:sz w:val="28"/>
          <w:szCs w:val="28"/>
          <w:lang w:val="zh-TW"/>
        </w:rPr>
        <w:t>虛偽結婚、偷渡或以其他非法之方法入境在內。</w:t>
      </w:r>
    </w:p>
    <w:p w:rsidR="00DC1D21" w:rsidRPr="002430A5" w:rsidRDefault="00DC1D21" w:rsidP="00286520">
      <w:pPr>
        <w:pStyle w:val="p2"/>
        <w:tabs>
          <w:tab w:val="left" w:pos="-3240"/>
        </w:tabs>
        <w:adjustRightInd w:val="0"/>
        <w:snapToGrid w:val="0"/>
        <w:spacing w:before="0" w:beforeAutospacing="0" w:after="0" w:afterAutospacing="0" w:line="460" w:lineRule="exact"/>
        <w:ind w:leftChars="472" w:left="1133" w:right="0" w:firstLineChars="202" w:firstLine="566"/>
        <w:jc w:val="both"/>
        <w:rPr>
          <w:rFonts w:ascii="標楷體" w:eastAsia="標楷體" w:hAnsi="標楷體"/>
          <w:snapToGrid w:val="0"/>
          <w:kern w:val="2"/>
          <w:sz w:val="28"/>
          <w:szCs w:val="28"/>
        </w:rPr>
      </w:pPr>
      <w:r w:rsidRPr="002430A5">
        <w:rPr>
          <w:rFonts w:ascii="標楷體" w:eastAsia="標楷體" w:hAnsi="標楷體" w:cs="標楷體" w:hint="eastAsia"/>
          <w:snapToGrid w:val="0"/>
          <w:sz w:val="28"/>
          <w:szCs w:val="28"/>
          <w:lang w:val="zh-TW"/>
        </w:rPr>
        <w:t>本條例第十八條第一項第一款所定未經許可入境者，包括持偽造、變造、</w:t>
      </w:r>
      <w:r w:rsidRPr="002430A5">
        <w:rPr>
          <w:rFonts w:ascii="標楷體" w:eastAsia="標楷體" w:hAnsi="標楷體" w:cs="標楷體" w:hint="eastAsia"/>
          <w:snapToGrid w:val="0"/>
          <w:sz w:val="28"/>
          <w:szCs w:val="28"/>
        </w:rPr>
        <w:t>冒用</w:t>
      </w:r>
      <w:proofErr w:type="gramStart"/>
      <w:r w:rsidRPr="002430A5">
        <w:rPr>
          <w:rFonts w:ascii="標楷體" w:eastAsia="標楷體" w:hAnsi="標楷體" w:cs="標楷體" w:hint="eastAsia"/>
          <w:snapToGrid w:val="0"/>
          <w:sz w:val="28"/>
          <w:szCs w:val="28"/>
          <w:lang w:val="zh-TW"/>
        </w:rPr>
        <w:t>或持冒用</w:t>
      </w:r>
      <w:proofErr w:type="gramEnd"/>
      <w:r w:rsidRPr="002430A5">
        <w:rPr>
          <w:rFonts w:ascii="標楷體" w:eastAsia="標楷體" w:hAnsi="標楷體" w:cs="標楷體" w:hint="eastAsia"/>
          <w:snapToGrid w:val="0"/>
          <w:sz w:val="28"/>
          <w:szCs w:val="28"/>
          <w:lang w:val="zh-TW"/>
        </w:rPr>
        <w:t>身分申請之護照、旅行證或其他相類之證書、偷渡或以其他非法之方法入境者在內。</w:t>
      </w:r>
    </w:p>
    <w:p w:rsidR="00DC1D21" w:rsidRPr="002430A5" w:rsidRDefault="00DC1D21" w:rsidP="00620AEA">
      <w:pPr>
        <w:tabs>
          <w:tab w:val="left" w:pos="1410"/>
        </w:tabs>
        <w:adjustRightInd w:val="0"/>
        <w:snapToGrid w:val="0"/>
        <w:spacing w:line="460" w:lineRule="exact"/>
        <w:ind w:left="1134" w:hangingChars="405" w:hanging="1134"/>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第十七條</w:t>
      </w:r>
      <w:r w:rsidR="00286520">
        <w:rPr>
          <w:rFonts w:ascii="標楷體" w:eastAsia="標楷體" w:hAnsi="標楷體" w:cs="標楷體" w:hint="eastAsia"/>
          <w:kern w:val="0"/>
          <w:sz w:val="28"/>
          <w:szCs w:val="28"/>
          <w:lang w:val="zh-TW"/>
        </w:rPr>
        <w:t xml:space="preserve">　　</w:t>
      </w:r>
      <w:r w:rsidRPr="002430A5">
        <w:rPr>
          <w:rFonts w:ascii="標楷體" w:eastAsia="標楷體" w:hAnsi="標楷體" w:cs="標楷體" w:hint="eastAsia"/>
          <w:kern w:val="0"/>
          <w:sz w:val="28"/>
          <w:szCs w:val="28"/>
          <w:lang w:val="zh-TW"/>
        </w:rPr>
        <w:t>本條例第十八條第一項第五款所定有事實足認為有危害國</w:t>
      </w:r>
      <w:r w:rsidRPr="002430A5">
        <w:rPr>
          <w:rFonts w:ascii="標楷體" w:eastAsia="標楷體" w:hAnsi="標楷體" w:cs="標楷體" w:hint="eastAsia"/>
          <w:kern w:val="0"/>
          <w:sz w:val="28"/>
          <w:szCs w:val="28"/>
          <w:lang w:val="zh-TW"/>
        </w:rPr>
        <w:lastRenderedPageBreak/>
        <w:t>家安全或社會安定之虞，指有下列情形之</w:t>
      </w:r>
      <w:proofErr w:type="gramStart"/>
      <w:r w:rsidRPr="002430A5">
        <w:rPr>
          <w:rFonts w:ascii="標楷體" w:eastAsia="標楷體" w:hAnsi="標楷體" w:cs="標楷體" w:hint="eastAsia"/>
          <w:kern w:val="0"/>
          <w:sz w:val="28"/>
          <w:szCs w:val="28"/>
          <w:lang w:val="zh-TW"/>
        </w:rPr>
        <w:t>一</w:t>
      </w:r>
      <w:proofErr w:type="gramEnd"/>
      <w:r w:rsidRPr="002430A5">
        <w:rPr>
          <w:rFonts w:ascii="標楷體" w:eastAsia="標楷體" w:hAnsi="標楷體" w:cs="標楷體" w:hint="eastAsia"/>
          <w:kern w:val="0"/>
          <w:sz w:val="28"/>
          <w:szCs w:val="28"/>
          <w:lang w:val="zh-TW"/>
        </w:rPr>
        <w:t>者：</w:t>
      </w:r>
    </w:p>
    <w:p w:rsidR="00DC1D21" w:rsidRPr="002430A5" w:rsidRDefault="00DC1D21" w:rsidP="00620AEA">
      <w:pPr>
        <w:pStyle w:val="00-"/>
        <w:tabs>
          <w:tab w:val="left" w:pos="1410"/>
        </w:tabs>
        <w:snapToGrid w:val="0"/>
        <w:spacing w:line="460" w:lineRule="exact"/>
        <w:ind w:leftChars="709" w:left="2268" w:hangingChars="202" w:hanging="566"/>
        <w:rPr>
          <w:rFonts w:ascii="標楷體" w:eastAsia="標楷體" w:hAnsi="標楷體" w:cs="標楷體"/>
          <w:kern w:val="2"/>
          <w:sz w:val="28"/>
          <w:szCs w:val="28"/>
          <w:lang w:val="zh-TW"/>
        </w:rPr>
      </w:pPr>
      <w:r w:rsidRPr="002430A5">
        <w:rPr>
          <w:rFonts w:ascii="標楷體" w:eastAsia="標楷體" w:hAnsi="標楷體" w:cs="標楷體" w:hint="eastAsia"/>
          <w:kern w:val="2"/>
          <w:sz w:val="28"/>
          <w:szCs w:val="28"/>
          <w:lang w:val="zh-TW"/>
        </w:rPr>
        <w:t>一、曾參加或資助內亂、外患團體或其活動而隱瞞不報。</w:t>
      </w:r>
    </w:p>
    <w:p w:rsidR="00DC1D21" w:rsidRPr="002430A5" w:rsidRDefault="00DC1D21" w:rsidP="00620AEA">
      <w:pPr>
        <w:pStyle w:val="00-"/>
        <w:tabs>
          <w:tab w:val="left" w:pos="1410"/>
        </w:tabs>
        <w:snapToGrid w:val="0"/>
        <w:spacing w:line="460" w:lineRule="exact"/>
        <w:ind w:leftChars="709" w:left="2268" w:hangingChars="202" w:hanging="566"/>
        <w:rPr>
          <w:rFonts w:ascii="標楷體" w:eastAsia="標楷體" w:hAnsi="標楷體" w:cs="標楷體"/>
          <w:kern w:val="2"/>
          <w:sz w:val="28"/>
          <w:szCs w:val="28"/>
          <w:lang w:val="zh-TW"/>
        </w:rPr>
      </w:pPr>
      <w:r w:rsidRPr="002430A5">
        <w:rPr>
          <w:rFonts w:ascii="標楷體" w:eastAsia="標楷體" w:hAnsi="標楷體" w:cs="標楷體" w:hint="eastAsia"/>
          <w:kern w:val="2"/>
          <w:sz w:val="28"/>
          <w:szCs w:val="28"/>
          <w:lang w:val="zh-TW"/>
        </w:rPr>
        <w:t>二、曾參加或資助恐怖或暴力非法組織或其活動而隱瞞不報。</w:t>
      </w:r>
    </w:p>
    <w:p w:rsidR="00DC1D21" w:rsidRPr="002430A5" w:rsidRDefault="00DC1D21" w:rsidP="00620AEA">
      <w:pPr>
        <w:pStyle w:val="00-"/>
        <w:tabs>
          <w:tab w:val="left" w:pos="1410"/>
        </w:tabs>
        <w:snapToGrid w:val="0"/>
        <w:spacing w:line="460" w:lineRule="exact"/>
        <w:ind w:leftChars="709" w:left="2268" w:hangingChars="202" w:hanging="566"/>
        <w:rPr>
          <w:rFonts w:ascii="標楷體" w:eastAsia="標楷體" w:hAnsi="標楷體" w:cs="標楷體"/>
          <w:kern w:val="2"/>
          <w:sz w:val="28"/>
          <w:szCs w:val="28"/>
          <w:lang w:val="zh-TW"/>
        </w:rPr>
      </w:pPr>
      <w:r w:rsidRPr="002430A5">
        <w:rPr>
          <w:rFonts w:ascii="標楷體" w:eastAsia="標楷體" w:hAnsi="標楷體" w:cs="標楷體" w:hint="eastAsia"/>
          <w:kern w:val="2"/>
          <w:sz w:val="28"/>
          <w:szCs w:val="28"/>
          <w:lang w:val="zh-TW"/>
        </w:rPr>
        <w:t>三、</w:t>
      </w:r>
      <w:r w:rsidRPr="002430A5">
        <w:rPr>
          <w:rFonts w:ascii="標楷體" w:eastAsia="標楷體" w:hAnsi="標楷體" w:hint="eastAsia"/>
          <w:snapToGrid w:val="0"/>
          <w:sz w:val="28"/>
          <w:szCs w:val="28"/>
        </w:rPr>
        <w:t>在臺灣地區外涉嫌犯罪。</w:t>
      </w:r>
    </w:p>
    <w:p w:rsidR="00DC1D21" w:rsidRPr="002430A5" w:rsidRDefault="00DC1D21" w:rsidP="00D91DDC">
      <w:pPr>
        <w:adjustRightInd w:val="0"/>
        <w:snapToGrid w:val="0"/>
        <w:spacing w:line="460" w:lineRule="exact"/>
        <w:ind w:leftChars="709" w:left="2268" w:hangingChars="202" w:hanging="566"/>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四、在臺灣地區有其他危害國家安全或社會安定之行為，並經有關機關裁處。</w:t>
      </w:r>
    </w:p>
    <w:p w:rsidR="00DC1D21" w:rsidRPr="002430A5" w:rsidRDefault="00DC1D21" w:rsidP="00620AEA">
      <w:pPr>
        <w:adjustRightInd w:val="0"/>
        <w:snapToGrid w:val="0"/>
        <w:spacing w:line="460" w:lineRule="exact"/>
        <w:ind w:left="848" w:hangingChars="303" w:hanging="848"/>
        <w:rPr>
          <w:rFonts w:ascii="標楷體" w:eastAsia="標楷體" w:hAnsi="標楷體" w:cs="標楷體"/>
          <w:snapToGrid w:val="0"/>
          <w:kern w:val="0"/>
          <w:sz w:val="28"/>
          <w:szCs w:val="28"/>
          <w:lang w:val="zh-TW"/>
        </w:rPr>
      </w:pPr>
      <w:r w:rsidRPr="002430A5">
        <w:rPr>
          <w:rFonts w:ascii="標楷體" w:eastAsia="標楷體" w:hAnsi="標楷體" w:cs="標楷體" w:hint="eastAsia"/>
          <w:snapToGrid w:val="0"/>
          <w:kern w:val="0"/>
          <w:sz w:val="28"/>
          <w:szCs w:val="28"/>
          <w:lang w:val="zh-TW"/>
        </w:rPr>
        <w:t xml:space="preserve">第十八條  </w:t>
      </w:r>
      <w:r w:rsidR="00901510" w:rsidRPr="002430A5">
        <w:rPr>
          <w:rFonts w:ascii="標楷體" w:eastAsia="標楷體" w:hAnsi="標楷體" w:cs="標楷體" w:hint="eastAsia"/>
          <w:snapToGrid w:val="0"/>
          <w:kern w:val="0"/>
          <w:sz w:val="28"/>
          <w:szCs w:val="28"/>
          <w:lang w:val="zh-TW"/>
        </w:rPr>
        <w:t xml:space="preserve">  </w:t>
      </w:r>
      <w:r w:rsidRPr="002430A5">
        <w:rPr>
          <w:rFonts w:ascii="標楷體" w:eastAsia="標楷體" w:hAnsi="標楷體" w:cs="標楷體" w:hint="eastAsia"/>
          <w:snapToGrid w:val="0"/>
          <w:kern w:val="0"/>
          <w:sz w:val="28"/>
          <w:szCs w:val="28"/>
          <w:lang w:val="zh-TW"/>
        </w:rPr>
        <w:t>(刪除)</w:t>
      </w:r>
    </w:p>
    <w:p w:rsidR="00DC1D21" w:rsidRPr="002430A5" w:rsidRDefault="00DC1D21" w:rsidP="00D91DDC">
      <w:pPr>
        <w:autoSpaceDE w:val="0"/>
        <w:autoSpaceDN w:val="0"/>
        <w:adjustRightInd w:val="0"/>
        <w:snapToGrid w:val="0"/>
        <w:spacing w:line="460" w:lineRule="exact"/>
        <w:ind w:left="1134" w:hangingChars="405" w:hanging="1134"/>
        <w:jc w:val="both"/>
        <w:rPr>
          <w:rFonts w:ascii="標楷體" w:eastAsia="標楷體" w:hAnsi="標楷體"/>
          <w:b/>
          <w:sz w:val="28"/>
          <w:szCs w:val="28"/>
        </w:rPr>
      </w:pPr>
      <w:r w:rsidRPr="002430A5">
        <w:rPr>
          <w:rFonts w:ascii="標楷體" w:eastAsia="標楷體" w:hAnsi="標楷體" w:hint="eastAsia"/>
          <w:sz w:val="28"/>
          <w:szCs w:val="28"/>
        </w:rPr>
        <w:t>第二十條</w:t>
      </w:r>
      <w:r w:rsidR="00286520">
        <w:rPr>
          <w:rFonts w:ascii="標楷體" w:eastAsia="標楷體" w:hAnsi="標楷體" w:hint="eastAsia"/>
          <w:sz w:val="28"/>
          <w:szCs w:val="28"/>
        </w:rPr>
        <w:t xml:space="preserve">　　</w:t>
      </w:r>
      <w:r w:rsidRPr="002430A5">
        <w:rPr>
          <w:rFonts w:ascii="標楷體" w:eastAsia="標楷體" w:hAnsi="標楷體" w:cs="細明體" w:hint="eastAsia"/>
          <w:kern w:val="0"/>
          <w:sz w:val="28"/>
          <w:szCs w:val="28"/>
          <w:lang w:val="zh-TW"/>
        </w:rPr>
        <w:t>本條例</w:t>
      </w:r>
      <w:r w:rsidRPr="002430A5">
        <w:rPr>
          <w:rFonts w:ascii="標楷體" w:eastAsia="標楷體" w:hAnsi="標楷體" w:hint="eastAsia"/>
          <w:sz w:val="28"/>
          <w:szCs w:val="28"/>
        </w:rPr>
        <w:t>第二十一條所定公教或公營事業機關 (構) 人員，不包括下列人員：</w:t>
      </w:r>
    </w:p>
    <w:p w:rsidR="00DC1D21" w:rsidRPr="002430A5" w:rsidRDefault="00DC1D21" w:rsidP="00D91DDC">
      <w:pPr>
        <w:overflowPunct w:val="0"/>
        <w:autoSpaceDE w:val="0"/>
        <w:autoSpaceDN w:val="0"/>
        <w:adjustRightInd w:val="0"/>
        <w:snapToGrid w:val="0"/>
        <w:spacing w:line="460" w:lineRule="exact"/>
        <w:ind w:leftChars="709" w:left="2128" w:hangingChars="152" w:hanging="426"/>
        <w:jc w:val="both"/>
        <w:rPr>
          <w:rFonts w:ascii="標楷體" w:eastAsia="標楷體" w:hAnsi="標楷體"/>
          <w:sz w:val="28"/>
          <w:szCs w:val="28"/>
        </w:rPr>
      </w:pPr>
      <w:r w:rsidRPr="002430A5">
        <w:rPr>
          <w:rFonts w:ascii="標楷體" w:eastAsia="標楷體" w:hAnsi="標楷體" w:hint="eastAsia"/>
          <w:sz w:val="28"/>
          <w:szCs w:val="28"/>
        </w:rPr>
        <w:t>一、經中央目的事業主管機關核可受聘擔任學術研究機構、社會教育機構、專科以上學校及戲劇藝術學校之研究員、副研究員、助理研究員、博士後研究、研究講座、客座教授、客座副教授、客座助理教授、客座專家、客座教師。</w:t>
      </w:r>
    </w:p>
    <w:p w:rsidR="00DC1D21" w:rsidRPr="002430A5" w:rsidRDefault="00DC1D21" w:rsidP="00620AEA">
      <w:pPr>
        <w:autoSpaceDE w:val="0"/>
        <w:autoSpaceDN w:val="0"/>
        <w:adjustRightInd w:val="0"/>
        <w:snapToGrid w:val="0"/>
        <w:spacing w:line="460" w:lineRule="exact"/>
        <w:ind w:leftChars="709" w:left="2128" w:hangingChars="152" w:hanging="426"/>
        <w:jc w:val="both"/>
        <w:rPr>
          <w:rFonts w:ascii="標楷體" w:eastAsia="標楷體" w:hAnsi="標楷體"/>
          <w:sz w:val="28"/>
          <w:szCs w:val="28"/>
        </w:rPr>
      </w:pPr>
      <w:r w:rsidRPr="002430A5">
        <w:rPr>
          <w:rFonts w:ascii="標楷體" w:eastAsia="標楷體" w:hAnsi="標楷體" w:hint="eastAsia"/>
          <w:sz w:val="28"/>
          <w:szCs w:val="28"/>
        </w:rPr>
        <w:t>二、經濟部及交通部所屬國營事業機關 (構) 之約</w:t>
      </w:r>
      <w:proofErr w:type="gramStart"/>
      <w:r w:rsidRPr="002430A5">
        <w:rPr>
          <w:rFonts w:ascii="標楷體" w:eastAsia="標楷體" w:hAnsi="標楷體" w:hint="eastAsia"/>
          <w:sz w:val="28"/>
          <w:szCs w:val="28"/>
        </w:rPr>
        <w:t>僱</w:t>
      </w:r>
      <w:proofErr w:type="gramEnd"/>
      <w:r w:rsidRPr="002430A5">
        <w:rPr>
          <w:rFonts w:ascii="標楷體" w:eastAsia="標楷體" w:hAnsi="標楷體" w:hint="eastAsia"/>
          <w:sz w:val="28"/>
          <w:szCs w:val="28"/>
        </w:rPr>
        <w:t>人員。</w:t>
      </w:r>
    </w:p>
    <w:p w:rsidR="00901510" w:rsidRPr="002430A5" w:rsidRDefault="00DC1D21" w:rsidP="00620AEA">
      <w:pPr>
        <w:autoSpaceDE w:val="0"/>
        <w:autoSpaceDN w:val="0"/>
        <w:adjustRightInd w:val="0"/>
        <w:snapToGrid w:val="0"/>
        <w:spacing w:line="460" w:lineRule="exact"/>
        <w:ind w:leftChars="472" w:left="1133" w:firstLineChars="200" w:firstLine="560"/>
        <w:jc w:val="both"/>
        <w:rPr>
          <w:rFonts w:ascii="標楷體" w:eastAsia="標楷體" w:hAnsi="標楷體"/>
          <w:sz w:val="28"/>
          <w:szCs w:val="28"/>
        </w:rPr>
      </w:pPr>
      <w:r w:rsidRPr="002430A5">
        <w:rPr>
          <w:rFonts w:ascii="標楷體" w:eastAsia="標楷體" w:hAnsi="標楷體" w:cs="細明體" w:hint="eastAsia"/>
          <w:kern w:val="0"/>
          <w:sz w:val="28"/>
          <w:szCs w:val="28"/>
          <w:lang w:val="zh-TW"/>
        </w:rPr>
        <w:t>本條例</w:t>
      </w:r>
      <w:r w:rsidRPr="002430A5">
        <w:rPr>
          <w:rFonts w:ascii="標楷體" w:eastAsia="標楷體" w:hAnsi="標楷體" w:hint="eastAsia"/>
          <w:sz w:val="28"/>
          <w:szCs w:val="28"/>
        </w:rPr>
        <w:t>第二十一條第一項所稱情報機關 (構) ，指國家安全局組織法第二條第一項所定之機關(構) ；所稱國防機關 (構) ，指國防部及其所屬機關 (構) 、部隊。</w:t>
      </w:r>
    </w:p>
    <w:p w:rsidR="00DC1D21" w:rsidRPr="002430A5" w:rsidRDefault="00DC1D21" w:rsidP="00D91DDC">
      <w:pPr>
        <w:autoSpaceDE w:val="0"/>
        <w:autoSpaceDN w:val="0"/>
        <w:adjustRightInd w:val="0"/>
        <w:snapToGrid w:val="0"/>
        <w:spacing w:line="460" w:lineRule="exact"/>
        <w:ind w:leftChars="472" w:left="1133" w:firstLineChars="200" w:firstLine="560"/>
        <w:jc w:val="both"/>
        <w:rPr>
          <w:rFonts w:ascii="標楷體" w:eastAsia="標楷體" w:hAnsi="標楷體"/>
          <w:sz w:val="28"/>
          <w:szCs w:val="28"/>
        </w:rPr>
      </w:pPr>
      <w:r w:rsidRPr="002430A5">
        <w:rPr>
          <w:rFonts w:ascii="標楷體" w:eastAsia="標楷體" w:hAnsi="標楷體" w:hint="eastAsia"/>
          <w:sz w:val="28"/>
          <w:szCs w:val="28"/>
        </w:rPr>
        <w:t>第一項人員，不得擔任涉及國家安全或機密科技研究之職務。</w:t>
      </w:r>
    </w:p>
    <w:p w:rsidR="00DC1D21" w:rsidRPr="002430A5" w:rsidRDefault="00DC1D21" w:rsidP="00D91DDC">
      <w:pPr>
        <w:autoSpaceDE w:val="0"/>
        <w:autoSpaceDN w:val="0"/>
        <w:adjustRightInd w:val="0"/>
        <w:spacing w:line="460" w:lineRule="exact"/>
        <w:ind w:left="1414" w:hangingChars="505" w:hanging="1414"/>
        <w:jc w:val="both"/>
        <w:rPr>
          <w:rFonts w:ascii="標楷體" w:eastAsia="標楷體" w:hAnsi="標楷體" w:cs="細明體"/>
          <w:kern w:val="0"/>
          <w:sz w:val="28"/>
          <w:szCs w:val="28"/>
          <w:lang w:val="zh-TW"/>
        </w:rPr>
      </w:pPr>
      <w:r w:rsidRPr="002430A5">
        <w:rPr>
          <w:rFonts w:ascii="標楷體" w:eastAsia="標楷體" w:hAnsi="標楷體" w:hint="eastAsia"/>
          <w:sz w:val="28"/>
          <w:szCs w:val="28"/>
        </w:rPr>
        <w:t xml:space="preserve">第二十二條　</w:t>
      </w:r>
      <w:r w:rsidR="00901510" w:rsidRPr="002430A5">
        <w:rPr>
          <w:rFonts w:ascii="標楷體" w:eastAsia="標楷體" w:hAnsi="標楷體" w:hint="eastAsia"/>
          <w:sz w:val="28"/>
          <w:szCs w:val="28"/>
        </w:rPr>
        <w:t xml:space="preserve">  </w:t>
      </w:r>
      <w:r w:rsidRPr="002430A5">
        <w:rPr>
          <w:rFonts w:ascii="標楷體" w:eastAsia="標楷體" w:hAnsi="標楷體" w:cs="細明體" w:hint="eastAsia"/>
          <w:kern w:val="0"/>
          <w:sz w:val="28"/>
          <w:szCs w:val="28"/>
          <w:lang w:val="zh-TW"/>
        </w:rPr>
        <w:t>依本條例第二十六條第一項規定</w:t>
      </w:r>
      <w:proofErr w:type="gramStart"/>
      <w:r w:rsidRPr="002430A5">
        <w:rPr>
          <w:rFonts w:ascii="標楷體" w:eastAsia="標楷體" w:hAnsi="標楷體" w:cs="細明體" w:hint="eastAsia"/>
          <w:kern w:val="0"/>
          <w:sz w:val="28"/>
          <w:szCs w:val="28"/>
          <w:lang w:val="zh-TW"/>
        </w:rPr>
        <w:t>申請改領一次</w:t>
      </w:r>
      <w:proofErr w:type="gramEnd"/>
      <w:r w:rsidRPr="002430A5">
        <w:rPr>
          <w:rFonts w:ascii="標楷體" w:eastAsia="標楷體" w:hAnsi="標楷體" w:cs="細明體" w:hint="eastAsia"/>
          <w:kern w:val="0"/>
          <w:sz w:val="28"/>
          <w:szCs w:val="28"/>
          <w:lang w:val="zh-TW"/>
        </w:rPr>
        <w:t>退休（職、伍）給與人員，應於赴大陸地區長期居住之三個月前，檢具下列文件，向原退休（職、伍）機關</w:t>
      </w:r>
      <w:proofErr w:type="gramStart"/>
      <w:r w:rsidRPr="002430A5">
        <w:rPr>
          <w:rFonts w:ascii="標楷體" w:eastAsia="標楷體" w:hAnsi="標楷體" w:cs="細明體" w:hint="eastAsia"/>
          <w:kern w:val="0"/>
          <w:sz w:val="28"/>
          <w:szCs w:val="28"/>
          <w:lang w:val="zh-TW"/>
        </w:rPr>
        <w:t>或所隸管區</w:t>
      </w:r>
      <w:proofErr w:type="gramEnd"/>
      <w:r w:rsidRPr="002430A5">
        <w:rPr>
          <w:rFonts w:ascii="標楷體" w:eastAsia="標楷體" w:hAnsi="標楷體" w:cs="細明體" w:hint="eastAsia"/>
          <w:kern w:val="0"/>
          <w:sz w:val="28"/>
          <w:szCs w:val="28"/>
          <w:lang w:val="zh-TW"/>
        </w:rPr>
        <w:t>提出申請：</w:t>
      </w:r>
    </w:p>
    <w:p w:rsidR="00DC1D21" w:rsidRPr="002430A5" w:rsidRDefault="00DC1D21" w:rsidP="00620AEA">
      <w:pPr>
        <w:autoSpaceDE w:val="0"/>
        <w:autoSpaceDN w:val="0"/>
        <w:adjustRightInd w:val="0"/>
        <w:spacing w:line="460" w:lineRule="exact"/>
        <w:ind w:leftChars="828" w:left="2553" w:hangingChars="202" w:hanging="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一、申請書。</w:t>
      </w:r>
    </w:p>
    <w:p w:rsidR="00DC1D21" w:rsidRPr="002430A5" w:rsidRDefault="00DC1D21" w:rsidP="00620AEA">
      <w:pPr>
        <w:autoSpaceDE w:val="0"/>
        <w:autoSpaceDN w:val="0"/>
        <w:adjustRightInd w:val="0"/>
        <w:spacing w:line="460" w:lineRule="exact"/>
        <w:ind w:leftChars="828" w:left="2553" w:hangingChars="202" w:hanging="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二、支領（或兼領）月退休（職、伍）給與證書。</w:t>
      </w:r>
    </w:p>
    <w:p w:rsidR="00DC1D21" w:rsidRPr="002430A5" w:rsidRDefault="00DC1D21" w:rsidP="00620AEA">
      <w:pPr>
        <w:autoSpaceDE w:val="0"/>
        <w:autoSpaceDN w:val="0"/>
        <w:adjustRightInd w:val="0"/>
        <w:spacing w:line="460" w:lineRule="exact"/>
        <w:ind w:leftChars="828" w:left="2553" w:hangingChars="202" w:hanging="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三、申請人全戶戶籍謄本。</w:t>
      </w:r>
    </w:p>
    <w:p w:rsidR="00DC1D21" w:rsidRPr="002430A5" w:rsidRDefault="00DC1D21" w:rsidP="00620AEA">
      <w:pPr>
        <w:autoSpaceDE w:val="0"/>
        <w:autoSpaceDN w:val="0"/>
        <w:adjustRightInd w:val="0"/>
        <w:spacing w:line="460" w:lineRule="exact"/>
        <w:ind w:leftChars="828" w:left="2553" w:hangingChars="202" w:hanging="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四、經許可或查驗赴大陸地區之證明文件。</w:t>
      </w:r>
    </w:p>
    <w:p w:rsidR="00DC1D21" w:rsidRPr="002430A5" w:rsidRDefault="00DC1D21" w:rsidP="00620AEA">
      <w:pPr>
        <w:autoSpaceDE w:val="0"/>
        <w:autoSpaceDN w:val="0"/>
        <w:adjustRightInd w:val="0"/>
        <w:spacing w:line="460" w:lineRule="exact"/>
        <w:ind w:leftChars="828" w:left="2553" w:hangingChars="202" w:hanging="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五、決定在大陸地區長期居住之意願書。</w:t>
      </w:r>
    </w:p>
    <w:p w:rsidR="00DC1D21" w:rsidRPr="002430A5" w:rsidRDefault="00DC1D21" w:rsidP="00620AEA">
      <w:pPr>
        <w:autoSpaceDE w:val="0"/>
        <w:autoSpaceDN w:val="0"/>
        <w:adjustRightInd w:val="0"/>
        <w:spacing w:line="460" w:lineRule="exact"/>
        <w:ind w:leftChars="828" w:left="2553" w:hangingChars="202" w:hanging="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lastRenderedPageBreak/>
        <w:t>六、在臺灣地區有受扶養人者，經公證之受扶養人同意書。</w:t>
      </w:r>
    </w:p>
    <w:p w:rsidR="00DC1D21" w:rsidRPr="002430A5" w:rsidRDefault="00DC1D21" w:rsidP="00620AEA">
      <w:pPr>
        <w:autoSpaceDE w:val="0"/>
        <w:autoSpaceDN w:val="0"/>
        <w:adjustRightInd w:val="0"/>
        <w:spacing w:line="460" w:lineRule="exact"/>
        <w:ind w:leftChars="828" w:left="2553" w:hangingChars="202" w:hanging="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七、</w:t>
      </w:r>
      <w:proofErr w:type="gramStart"/>
      <w:r w:rsidRPr="002430A5">
        <w:rPr>
          <w:rFonts w:ascii="標楷體" w:eastAsia="標楷體" w:hAnsi="標楷體" w:cs="細明體" w:hint="eastAsia"/>
          <w:kern w:val="0"/>
          <w:sz w:val="28"/>
          <w:szCs w:val="28"/>
          <w:lang w:val="zh-TW"/>
        </w:rPr>
        <w:t>申請改領一次</w:t>
      </w:r>
      <w:proofErr w:type="gramEnd"/>
      <w:r w:rsidRPr="002430A5">
        <w:rPr>
          <w:rFonts w:ascii="標楷體" w:eastAsia="標楷體" w:hAnsi="標楷體" w:cs="細明體" w:hint="eastAsia"/>
          <w:kern w:val="0"/>
          <w:sz w:val="28"/>
          <w:szCs w:val="28"/>
          <w:lang w:val="zh-TW"/>
        </w:rPr>
        <w:t>退休（職、伍）給與時之前</w:t>
      </w:r>
      <w:proofErr w:type="gramStart"/>
      <w:r w:rsidRPr="002430A5">
        <w:rPr>
          <w:rFonts w:ascii="標楷體" w:eastAsia="標楷體" w:hAnsi="標楷體" w:cs="細明體" w:hint="eastAsia"/>
          <w:kern w:val="0"/>
          <w:sz w:val="28"/>
          <w:szCs w:val="28"/>
          <w:lang w:val="zh-TW"/>
        </w:rPr>
        <w:t>三</w:t>
      </w:r>
      <w:proofErr w:type="gramEnd"/>
      <w:r w:rsidRPr="002430A5">
        <w:rPr>
          <w:rFonts w:ascii="標楷體" w:eastAsia="標楷體" w:hAnsi="標楷體" w:cs="細明體" w:hint="eastAsia"/>
          <w:kern w:val="0"/>
          <w:sz w:val="28"/>
          <w:szCs w:val="28"/>
          <w:lang w:val="zh-TW"/>
        </w:rPr>
        <w:t>年內，赴大陸地區居、停留，合計逾一百八十三日之相關證明文件。</w:t>
      </w:r>
    </w:p>
    <w:p w:rsidR="00DC1D21" w:rsidRPr="002430A5" w:rsidRDefault="00DC1D21" w:rsidP="00286520">
      <w:pPr>
        <w:autoSpaceDE w:val="0"/>
        <w:autoSpaceDN w:val="0"/>
        <w:adjustRightInd w:val="0"/>
        <w:spacing w:line="460" w:lineRule="exact"/>
        <w:ind w:leftChars="590" w:left="1416" w:firstLineChars="200" w:firstLine="560"/>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前項第四款所定查驗文件，無法事前繳驗者，原退休（職、伍）機關得於申請人出境後一個月內，以書面向內政部移民署查證，並將查證結果通知核定機關。</w:t>
      </w:r>
    </w:p>
    <w:p w:rsidR="00DC1D21" w:rsidRPr="002430A5" w:rsidRDefault="00DC1D21" w:rsidP="00D91DDC">
      <w:pPr>
        <w:adjustRightInd w:val="0"/>
        <w:snapToGrid w:val="0"/>
        <w:spacing w:line="460" w:lineRule="exact"/>
        <w:ind w:leftChars="590" w:left="1416" w:firstLineChars="202" w:firstLine="566"/>
        <w:jc w:val="both"/>
        <w:rPr>
          <w:rFonts w:ascii="標楷體" w:eastAsia="標楷體" w:hAnsi="標楷體" w:cs="細明體"/>
          <w:kern w:val="0"/>
          <w:sz w:val="28"/>
          <w:szCs w:val="28"/>
          <w:lang w:val="zh-TW"/>
        </w:rPr>
      </w:pPr>
      <w:r w:rsidRPr="002430A5">
        <w:rPr>
          <w:rFonts w:ascii="標楷體" w:eastAsia="標楷體" w:hAnsi="標楷體" w:cs="細明體" w:hint="eastAsia"/>
          <w:kern w:val="0"/>
          <w:sz w:val="28"/>
          <w:szCs w:val="28"/>
          <w:lang w:val="zh-TW"/>
        </w:rPr>
        <w:t>原退休（職、伍）機關</w:t>
      </w:r>
      <w:proofErr w:type="gramStart"/>
      <w:r w:rsidRPr="002430A5">
        <w:rPr>
          <w:rFonts w:ascii="標楷體" w:eastAsia="標楷體" w:hAnsi="標楷體" w:cs="細明體" w:hint="eastAsia"/>
          <w:kern w:val="0"/>
          <w:sz w:val="28"/>
          <w:szCs w:val="28"/>
          <w:lang w:val="zh-TW"/>
        </w:rPr>
        <w:t>或所隸管區</w:t>
      </w:r>
      <w:proofErr w:type="gramEnd"/>
      <w:r w:rsidRPr="002430A5">
        <w:rPr>
          <w:rFonts w:ascii="標楷體" w:eastAsia="標楷體" w:hAnsi="標楷體" w:cs="細明體" w:hint="eastAsia"/>
          <w:kern w:val="0"/>
          <w:sz w:val="28"/>
          <w:szCs w:val="28"/>
          <w:lang w:val="zh-TW"/>
        </w:rPr>
        <w:t>受理第一項申請後，應詳細審核並轉報核發各該月退休（職、伍）給與之主管機關於二個月內核定。其經核准者，申請人應於赴大陸地區前一個月內，</w:t>
      </w:r>
      <w:proofErr w:type="gramStart"/>
      <w:r w:rsidRPr="002430A5">
        <w:rPr>
          <w:rFonts w:ascii="標楷體" w:eastAsia="標楷體" w:hAnsi="標楷體" w:cs="細明體" w:hint="eastAsia"/>
          <w:kern w:val="0"/>
          <w:sz w:val="28"/>
          <w:szCs w:val="28"/>
          <w:lang w:val="zh-TW"/>
        </w:rPr>
        <w:t>檢具入出境</w:t>
      </w:r>
      <w:proofErr w:type="gramEnd"/>
      <w:r w:rsidRPr="002430A5">
        <w:rPr>
          <w:rFonts w:ascii="標楷體" w:eastAsia="標楷體" w:hAnsi="標楷體" w:cs="細明體" w:hint="eastAsia"/>
          <w:kern w:val="0"/>
          <w:sz w:val="28"/>
          <w:szCs w:val="28"/>
          <w:lang w:val="zh-TW"/>
        </w:rPr>
        <w:t>等有關證明文件，</w:t>
      </w:r>
      <w:proofErr w:type="gramStart"/>
      <w:r w:rsidRPr="002430A5">
        <w:rPr>
          <w:rFonts w:ascii="標楷體" w:eastAsia="標楷體" w:hAnsi="標楷體" w:cs="細明體" w:hint="eastAsia"/>
          <w:kern w:val="0"/>
          <w:sz w:val="28"/>
          <w:szCs w:val="28"/>
          <w:lang w:val="zh-TW"/>
        </w:rPr>
        <w:t>送請支給</w:t>
      </w:r>
      <w:proofErr w:type="gramEnd"/>
      <w:r w:rsidRPr="002430A5">
        <w:rPr>
          <w:rFonts w:ascii="標楷體" w:eastAsia="標楷體" w:hAnsi="標楷體" w:cs="細明體" w:hint="eastAsia"/>
          <w:kern w:val="0"/>
          <w:sz w:val="28"/>
          <w:szCs w:val="28"/>
          <w:lang w:val="zh-TW"/>
        </w:rPr>
        <w:t>機關審定後辦理付款手續。</w:t>
      </w:r>
    </w:p>
    <w:p w:rsidR="00901510" w:rsidRPr="002430A5" w:rsidRDefault="00DC1D21" w:rsidP="00620AEA">
      <w:pPr>
        <w:adjustRightInd w:val="0"/>
        <w:spacing w:line="460" w:lineRule="exact"/>
        <w:ind w:left="1134" w:hangingChars="405" w:hanging="1134"/>
        <w:jc w:val="both"/>
        <w:rPr>
          <w:rFonts w:ascii="標楷體" w:eastAsia="標楷體" w:hAnsi="標楷體"/>
          <w:b/>
          <w:sz w:val="28"/>
          <w:szCs w:val="28"/>
        </w:rPr>
      </w:pPr>
      <w:r w:rsidRPr="002430A5">
        <w:rPr>
          <w:rFonts w:ascii="標楷體" w:eastAsia="標楷體" w:hAnsi="標楷體" w:hint="eastAsia"/>
          <w:sz w:val="28"/>
          <w:szCs w:val="28"/>
        </w:rPr>
        <w:t>第四十條</w:t>
      </w:r>
      <w:r w:rsidR="00D91DDC">
        <w:rPr>
          <w:rFonts w:ascii="標楷體" w:eastAsia="標楷體" w:hAnsi="標楷體" w:hint="eastAsia"/>
          <w:sz w:val="28"/>
          <w:szCs w:val="28"/>
        </w:rPr>
        <w:t xml:space="preserve">　　</w:t>
      </w:r>
      <w:r w:rsidRPr="002430A5">
        <w:rPr>
          <w:rFonts w:ascii="標楷體" w:eastAsia="標楷體" w:hAnsi="標楷體" w:hint="eastAsia"/>
          <w:sz w:val="28"/>
          <w:szCs w:val="28"/>
        </w:rPr>
        <w:t>本條例第二十八條及第二十八條之一所稱中華民國船舶，指船舶法第五條第一項所定之船舶；所稱中華民國航空器，指依民用航空法規定在中華民國申請登記之航空器。</w:t>
      </w:r>
    </w:p>
    <w:p w:rsidR="00901510" w:rsidRPr="002430A5" w:rsidRDefault="00DC1D21" w:rsidP="00D91DDC">
      <w:pPr>
        <w:adjustRightInd w:val="0"/>
        <w:spacing w:line="460" w:lineRule="exact"/>
        <w:ind w:leftChars="472" w:left="1133" w:firstLineChars="202" w:firstLine="566"/>
        <w:jc w:val="both"/>
        <w:rPr>
          <w:rFonts w:ascii="標楷體" w:eastAsia="標楷體" w:hAnsi="標楷體"/>
          <w:b/>
          <w:sz w:val="28"/>
          <w:szCs w:val="28"/>
        </w:rPr>
      </w:pPr>
      <w:r w:rsidRPr="002430A5">
        <w:rPr>
          <w:rFonts w:ascii="標楷體" w:eastAsia="標楷體" w:hAnsi="標楷體" w:hint="eastAsia"/>
          <w:sz w:val="28"/>
          <w:szCs w:val="28"/>
        </w:rPr>
        <w:t>本條例第二十九條第一項所稱大陸船舶、民用航空器，指在大陸地區登記之船舶、航空器，但不包括軍用船舶、航空器；所稱</w:t>
      </w:r>
      <w:proofErr w:type="gramStart"/>
      <w:r w:rsidRPr="002430A5">
        <w:rPr>
          <w:rFonts w:ascii="標楷體" w:eastAsia="標楷體" w:hAnsi="標楷體" w:hint="eastAsia"/>
          <w:sz w:val="28"/>
          <w:szCs w:val="28"/>
        </w:rPr>
        <w:t>臺</w:t>
      </w:r>
      <w:proofErr w:type="gramEnd"/>
      <w:r w:rsidRPr="002430A5">
        <w:rPr>
          <w:rFonts w:ascii="標楷體" w:eastAsia="標楷體" w:hAnsi="標楷體" w:hint="eastAsia"/>
          <w:sz w:val="28"/>
          <w:szCs w:val="28"/>
        </w:rPr>
        <w:t>北飛航情報區，指國際民航組織所劃定，由臺灣地區負責提供飛航情報服務及</w:t>
      </w:r>
      <w:proofErr w:type="gramStart"/>
      <w:r w:rsidRPr="002430A5">
        <w:rPr>
          <w:rFonts w:ascii="標楷體" w:eastAsia="標楷體" w:hAnsi="標楷體" w:hint="eastAsia"/>
          <w:sz w:val="28"/>
          <w:szCs w:val="28"/>
        </w:rPr>
        <w:t>執行守助業務</w:t>
      </w:r>
      <w:proofErr w:type="gramEnd"/>
      <w:r w:rsidRPr="002430A5">
        <w:rPr>
          <w:rFonts w:ascii="標楷體" w:eastAsia="標楷體" w:hAnsi="標楷體" w:hint="eastAsia"/>
          <w:sz w:val="28"/>
          <w:szCs w:val="28"/>
        </w:rPr>
        <w:t>之空域。</w:t>
      </w:r>
    </w:p>
    <w:p w:rsidR="00901510" w:rsidRPr="002430A5" w:rsidRDefault="00DC1D21" w:rsidP="00D91DDC">
      <w:pPr>
        <w:adjustRightInd w:val="0"/>
        <w:spacing w:line="460" w:lineRule="exact"/>
        <w:ind w:leftChars="472" w:left="1133" w:firstLineChars="202" w:firstLine="566"/>
        <w:jc w:val="both"/>
        <w:rPr>
          <w:rFonts w:ascii="標楷體" w:eastAsia="標楷體" w:hAnsi="標楷體"/>
          <w:b/>
          <w:sz w:val="28"/>
          <w:szCs w:val="28"/>
        </w:rPr>
      </w:pPr>
      <w:r w:rsidRPr="002430A5">
        <w:rPr>
          <w:rFonts w:ascii="標楷體" w:eastAsia="標楷體" w:hAnsi="標楷體" w:hint="eastAsia"/>
          <w:sz w:val="28"/>
          <w:szCs w:val="28"/>
        </w:rPr>
        <w:t>非屬中華民國、外國、香港或澳門船舶，而由大陸地區人民所有、承租、管理、營運或擔任船長、駕駛之船舶，視同大陸船舶。</w:t>
      </w:r>
    </w:p>
    <w:p w:rsidR="00901510" w:rsidRPr="002430A5" w:rsidRDefault="00DC1D21" w:rsidP="00286520">
      <w:pPr>
        <w:adjustRightInd w:val="0"/>
        <w:spacing w:line="460" w:lineRule="exact"/>
        <w:ind w:leftChars="472" w:left="1133" w:firstLineChars="202" w:firstLine="566"/>
        <w:jc w:val="both"/>
        <w:rPr>
          <w:rFonts w:ascii="標楷體" w:eastAsia="標楷體" w:hAnsi="標楷體"/>
          <w:b/>
          <w:sz w:val="28"/>
          <w:szCs w:val="28"/>
        </w:rPr>
      </w:pPr>
      <w:r w:rsidRPr="002430A5">
        <w:rPr>
          <w:rFonts w:ascii="標楷體" w:eastAsia="標楷體" w:hAnsi="標楷體" w:hint="eastAsia"/>
          <w:sz w:val="28"/>
          <w:szCs w:val="28"/>
        </w:rPr>
        <w:t>本條例第三十條第一項所稱外國船舶、民用航空器，指於臺灣地區及大陸地區以外地區登記之船舶、航空器；所稱定期航線，指在一定港口或機場間經營經常性客貨運送之路線。</w:t>
      </w:r>
    </w:p>
    <w:p w:rsidR="00DC1D21" w:rsidRPr="002430A5" w:rsidRDefault="00DC1D21" w:rsidP="00286520">
      <w:pPr>
        <w:adjustRightInd w:val="0"/>
        <w:spacing w:line="460" w:lineRule="exact"/>
        <w:ind w:leftChars="472" w:left="1133" w:firstLineChars="202" w:firstLine="566"/>
        <w:jc w:val="both"/>
        <w:rPr>
          <w:rFonts w:ascii="標楷體" w:eastAsia="標楷體" w:hAnsi="標楷體"/>
          <w:b/>
          <w:sz w:val="28"/>
          <w:szCs w:val="28"/>
        </w:rPr>
      </w:pPr>
      <w:r w:rsidRPr="002430A5">
        <w:rPr>
          <w:rFonts w:ascii="標楷體" w:eastAsia="標楷體" w:hAnsi="標楷體" w:hint="eastAsia"/>
          <w:sz w:val="28"/>
          <w:szCs w:val="28"/>
        </w:rPr>
        <w:t>本條例第二十八條、第二十八條之一、第二十九條第一項及第三十條第一項所稱其他運輸工具，</w:t>
      </w:r>
      <w:proofErr w:type="gramStart"/>
      <w:r w:rsidRPr="002430A5">
        <w:rPr>
          <w:rFonts w:ascii="標楷體" w:eastAsia="標楷體" w:hAnsi="標楷體" w:hint="eastAsia"/>
          <w:sz w:val="28"/>
          <w:szCs w:val="28"/>
        </w:rPr>
        <w:t>指凡可</w:t>
      </w:r>
      <w:proofErr w:type="gramEnd"/>
      <w:r w:rsidRPr="002430A5">
        <w:rPr>
          <w:rFonts w:ascii="標楷體" w:eastAsia="標楷體" w:hAnsi="標楷體" w:hint="eastAsia"/>
          <w:sz w:val="28"/>
          <w:szCs w:val="28"/>
        </w:rPr>
        <w:t>利用為航空或航海之器物。</w:t>
      </w:r>
    </w:p>
    <w:p w:rsidR="00DC1D21" w:rsidRPr="002430A5" w:rsidRDefault="00DC1D21" w:rsidP="00620AEA">
      <w:pPr>
        <w:pStyle w:val="p2"/>
        <w:tabs>
          <w:tab w:val="left" w:pos="-3240"/>
          <w:tab w:val="left" w:pos="1410"/>
        </w:tabs>
        <w:adjustRightInd w:val="0"/>
        <w:snapToGrid w:val="0"/>
        <w:spacing w:before="0" w:beforeAutospacing="0" w:after="0" w:afterAutospacing="0" w:line="460" w:lineRule="exact"/>
        <w:ind w:left="1417" w:right="0" w:hangingChars="506" w:hanging="1417"/>
        <w:jc w:val="both"/>
        <w:rPr>
          <w:rFonts w:ascii="標楷體" w:eastAsia="標楷體" w:hAnsi="標楷體"/>
          <w:b/>
          <w:kern w:val="2"/>
          <w:sz w:val="28"/>
          <w:szCs w:val="28"/>
        </w:rPr>
      </w:pPr>
      <w:r w:rsidRPr="002430A5">
        <w:rPr>
          <w:rFonts w:ascii="標楷體" w:eastAsia="標楷體" w:hAnsi="標楷體" w:hint="eastAsia"/>
          <w:kern w:val="2"/>
          <w:sz w:val="28"/>
          <w:szCs w:val="28"/>
        </w:rPr>
        <w:lastRenderedPageBreak/>
        <w:t>第四十二條</w:t>
      </w:r>
      <w:r w:rsidR="00286520">
        <w:rPr>
          <w:rFonts w:ascii="標楷體" w:eastAsia="標楷體" w:hAnsi="標楷體" w:hint="eastAsia"/>
          <w:kern w:val="2"/>
          <w:sz w:val="28"/>
          <w:szCs w:val="28"/>
        </w:rPr>
        <w:t xml:space="preserve">　　</w:t>
      </w:r>
      <w:r w:rsidRPr="002430A5">
        <w:rPr>
          <w:rFonts w:ascii="標楷體" w:eastAsia="標楷體" w:hAnsi="標楷體" w:cs="標楷體" w:hint="eastAsia"/>
          <w:kern w:val="2"/>
          <w:sz w:val="28"/>
          <w:szCs w:val="28"/>
          <w:lang w:val="zh-TW"/>
        </w:rPr>
        <w:t>大陸船舶未經許可進入臺灣地區限制或禁止水域，主管機關依下列規定處置：</w:t>
      </w:r>
    </w:p>
    <w:p w:rsidR="00DC1D21" w:rsidRPr="002430A5" w:rsidRDefault="00DC1D21" w:rsidP="00620AEA">
      <w:pPr>
        <w:autoSpaceDE w:val="0"/>
        <w:autoSpaceDN w:val="0"/>
        <w:adjustRightInd w:val="0"/>
        <w:spacing w:line="460" w:lineRule="exact"/>
        <w:ind w:leftChars="827" w:left="2551" w:hangingChars="202" w:hanging="566"/>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一、進入限制水域者，予以驅離；可疑者，命令停船，實施檢查。驅離無效或涉及走私者，扣留其船舶、物品及留置其人員。</w:t>
      </w:r>
    </w:p>
    <w:p w:rsidR="00DC1D21" w:rsidRPr="002430A5" w:rsidRDefault="00DC1D21" w:rsidP="00620AEA">
      <w:pPr>
        <w:autoSpaceDE w:val="0"/>
        <w:autoSpaceDN w:val="0"/>
        <w:adjustRightInd w:val="0"/>
        <w:spacing w:line="460" w:lineRule="exact"/>
        <w:ind w:leftChars="827" w:left="2551" w:hangingChars="202" w:hanging="566"/>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二、進入禁止水域者，強制驅離；可疑者，命令停船，實施檢查。驅離無效、涉及走私或從事非法漁業行為者，扣留其船舶、物品及留置其人員。</w:t>
      </w:r>
    </w:p>
    <w:p w:rsidR="00DC1D21" w:rsidRPr="002430A5" w:rsidRDefault="00DC1D21" w:rsidP="00620AEA">
      <w:pPr>
        <w:tabs>
          <w:tab w:val="left" w:pos="1410"/>
        </w:tabs>
        <w:autoSpaceDE w:val="0"/>
        <w:autoSpaceDN w:val="0"/>
        <w:adjustRightInd w:val="0"/>
        <w:spacing w:line="460" w:lineRule="exact"/>
        <w:ind w:leftChars="827" w:left="2551" w:hangingChars="202" w:hanging="566"/>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三、進入限制、禁止水域</w:t>
      </w:r>
      <w:r w:rsidRPr="002430A5">
        <w:rPr>
          <w:rFonts w:ascii="標楷體" w:eastAsia="標楷體" w:hAnsi="標楷體" w:hint="eastAsia"/>
          <w:sz w:val="28"/>
          <w:szCs w:val="28"/>
        </w:rPr>
        <w:t>有塗抹或隱蔽船名、無船名、拒絕停船受檢、</w:t>
      </w:r>
      <w:r w:rsidRPr="002430A5">
        <w:rPr>
          <w:rFonts w:ascii="標楷體" w:eastAsia="標楷體" w:hAnsi="標楷體" w:cs="標楷體" w:hint="eastAsia"/>
          <w:kern w:val="0"/>
          <w:sz w:val="28"/>
          <w:szCs w:val="28"/>
          <w:lang w:val="zh-TW"/>
        </w:rPr>
        <w:t>從事漁撈或其他違法行為者</w:t>
      </w:r>
      <w:r w:rsidRPr="002430A5">
        <w:rPr>
          <w:rFonts w:ascii="標楷體" w:eastAsia="標楷體" w:hAnsi="標楷體" w:hint="eastAsia"/>
          <w:sz w:val="28"/>
          <w:szCs w:val="28"/>
        </w:rPr>
        <w:t>，得扣留其船舶、物品及留置其人員。</w:t>
      </w:r>
    </w:p>
    <w:p w:rsidR="00DC1D21" w:rsidRPr="002430A5" w:rsidRDefault="00DC1D21" w:rsidP="00620AEA">
      <w:pPr>
        <w:adjustRightInd w:val="0"/>
        <w:spacing w:line="460" w:lineRule="exact"/>
        <w:ind w:leftChars="827" w:left="2551" w:hangingChars="202" w:hanging="566"/>
        <w:jc w:val="both"/>
        <w:rPr>
          <w:rFonts w:ascii="標楷體" w:eastAsia="標楷體" w:hAnsi="標楷體" w:cs="標楷體"/>
          <w:kern w:val="0"/>
          <w:sz w:val="28"/>
          <w:szCs w:val="28"/>
          <w:lang w:val="zh-TW"/>
        </w:rPr>
      </w:pPr>
      <w:r w:rsidRPr="002430A5">
        <w:rPr>
          <w:rFonts w:ascii="標楷體" w:eastAsia="標楷體" w:hAnsi="標楷體" w:cs="標楷體" w:hint="eastAsia"/>
          <w:kern w:val="0"/>
          <w:sz w:val="28"/>
          <w:szCs w:val="28"/>
          <w:lang w:val="zh-TW"/>
        </w:rPr>
        <w:t>四、前三款之大陸船舶有拒絕停船或抗拒扣留之行為者，得予警告射擊；經警告無效者，得直接射擊船體強制停航；有敵對之行為者，得予以擊</w:t>
      </w:r>
      <w:proofErr w:type="gramStart"/>
      <w:r w:rsidRPr="002430A5">
        <w:rPr>
          <w:rFonts w:ascii="標楷體" w:eastAsia="標楷體" w:hAnsi="標楷體" w:cs="標楷體" w:hint="eastAsia"/>
          <w:kern w:val="0"/>
          <w:sz w:val="28"/>
          <w:szCs w:val="28"/>
          <w:lang w:val="zh-TW"/>
        </w:rPr>
        <w:t>燬</w:t>
      </w:r>
      <w:proofErr w:type="gramEnd"/>
      <w:r w:rsidRPr="002430A5">
        <w:rPr>
          <w:rFonts w:ascii="標楷體" w:eastAsia="標楷體" w:hAnsi="標楷體" w:cs="標楷體" w:hint="eastAsia"/>
          <w:kern w:val="0"/>
          <w:sz w:val="28"/>
          <w:szCs w:val="28"/>
          <w:lang w:val="zh-TW"/>
        </w:rPr>
        <w:t>。</w:t>
      </w:r>
    </w:p>
    <w:p w:rsidR="00DC1D21" w:rsidRPr="002430A5" w:rsidRDefault="00DC1D21" w:rsidP="00286520">
      <w:pPr>
        <w:adjustRightInd w:val="0"/>
        <w:snapToGrid w:val="0"/>
        <w:spacing w:line="460" w:lineRule="exact"/>
        <w:ind w:leftChars="590" w:left="1416" w:firstLineChars="202" w:firstLine="566"/>
        <w:jc w:val="both"/>
        <w:rPr>
          <w:rFonts w:ascii="標楷體" w:eastAsia="標楷體" w:hAnsi="標楷體"/>
          <w:sz w:val="28"/>
          <w:szCs w:val="28"/>
        </w:rPr>
      </w:pPr>
      <w:r w:rsidRPr="002430A5">
        <w:rPr>
          <w:rFonts w:ascii="標楷體" w:eastAsia="標楷體" w:hAnsi="標楷體" w:hint="eastAsia"/>
          <w:sz w:val="28"/>
          <w:szCs w:val="28"/>
        </w:rPr>
        <w:t>前項第二款、第四十三條第一項第二款及第四十五條所稱非法漁業行為，指使用毒物、炸藥或其他爆裂物、電氣或其他麻醉物</w:t>
      </w:r>
      <w:proofErr w:type="gramStart"/>
      <w:r w:rsidRPr="002430A5">
        <w:rPr>
          <w:rFonts w:ascii="標楷體" w:eastAsia="標楷體" w:hAnsi="標楷體" w:hint="eastAsia"/>
          <w:sz w:val="28"/>
          <w:szCs w:val="28"/>
        </w:rPr>
        <w:t>採</w:t>
      </w:r>
      <w:proofErr w:type="gramEnd"/>
      <w:r w:rsidRPr="002430A5">
        <w:rPr>
          <w:rFonts w:ascii="標楷體" w:eastAsia="標楷體" w:hAnsi="標楷體" w:hint="eastAsia"/>
          <w:sz w:val="28"/>
          <w:szCs w:val="28"/>
        </w:rPr>
        <w:t>捕水產動植物。</w:t>
      </w:r>
    </w:p>
    <w:p w:rsidR="00DC1D21" w:rsidRPr="002430A5" w:rsidRDefault="00DC1D21" w:rsidP="00620AEA">
      <w:pPr>
        <w:adjustRightInd w:val="0"/>
        <w:spacing w:line="460" w:lineRule="exact"/>
        <w:ind w:left="1414" w:hangingChars="505" w:hanging="1414"/>
        <w:jc w:val="both"/>
        <w:rPr>
          <w:rFonts w:ascii="標楷體" w:eastAsia="標楷體" w:hAnsi="標楷體"/>
          <w:sz w:val="28"/>
          <w:szCs w:val="28"/>
        </w:rPr>
      </w:pPr>
      <w:r w:rsidRPr="002430A5">
        <w:rPr>
          <w:rFonts w:ascii="標楷體" w:eastAsia="標楷體" w:hAnsi="標楷體" w:hint="eastAsia"/>
          <w:sz w:val="28"/>
          <w:szCs w:val="28"/>
        </w:rPr>
        <w:t>第四十三條</w:t>
      </w:r>
      <w:r w:rsidR="00286520">
        <w:rPr>
          <w:rFonts w:ascii="標楷體" w:eastAsia="標楷體" w:hAnsi="標楷體" w:hint="eastAsia"/>
          <w:sz w:val="28"/>
          <w:szCs w:val="28"/>
        </w:rPr>
        <w:t xml:space="preserve">　　</w:t>
      </w:r>
      <w:r w:rsidRPr="002430A5">
        <w:rPr>
          <w:rFonts w:ascii="標楷體" w:eastAsia="標楷體" w:hAnsi="標楷體" w:hint="eastAsia"/>
          <w:sz w:val="28"/>
          <w:szCs w:val="28"/>
        </w:rPr>
        <w:t>依前條規定扣留之船舶，由有關機關查證其船上人員有下列情形之</w:t>
      </w:r>
      <w:proofErr w:type="gramStart"/>
      <w:r w:rsidRPr="002430A5">
        <w:rPr>
          <w:rFonts w:ascii="標楷體" w:eastAsia="標楷體" w:hAnsi="標楷體" w:hint="eastAsia"/>
          <w:sz w:val="28"/>
          <w:szCs w:val="28"/>
        </w:rPr>
        <w:t>一</w:t>
      </w:r>
      <w:proofErr w:type="gramEnd"/>
      <w:r w:rsidRPr="002430A5">
        <w:rPr>
          <w:rFonts w:ascii="標楷體" w:eastAsia="標楷體" w:hAnsi="標楷體" w:hint="eastAsia"/>
          <w:sz w:val="28"/>
          <w:szCs w:val="28"/>
        </w:rPr>
        <w:t>者，沒入之：</w:t>
      </w:r>
    </w:p>
    <w:p w:rsidR="00DC1D21" w:rsidRPr="002430A5" w:rsidRDefault="00DC1D21" w:rsidP="00620AEA">
      <w:pPr>
        <w:adjustRightInd w:val="0"/>
        <w:spacing w:line="460" w:lineRule="exact"/>
        <w:ind w:leftChars="353" w:left="847" w:firstLineChars="406" w:firstLine="1137"/>
        <w:jc w:val="both"/>
        <w:rPr>
          <w:rFonts w:ascii="標楷體" w:eastAsia="標楷體" w:hAnsi="標楷體"/>
          <w:sz w:val="28"/>
          <w:szCs w:val="28"/>
        </w:rPr>
      </w:pPr>
      <w:r w:rsidRPr="002430A5">
        <w:rPr>
          <w:rFonts w:ascii="標楷體" w:eastAsia="標楷體" w:hAnsi="標楷體" w:hint="eastAsia"/>
          <w:sz w:val="28"/>
          <w:szCs w:val="28"/>
        </w:rPr>
        <w:t>一、搶劫臺灣地區船舶之行為。</w:t>
      </w:r>
    </w:p>
    <w:p w:rsidR="00DC1D21" w:rsidRPr="002430A5" w:rsidRDefault="00DC1D21" w:rsidP="00620AEA">
      <w:pPr>
        <w:adjustRightInd w:val="0"/>
        <w:spacing w:line="460" w:lineRule="exact"/>
        <w:ind w:leftChars="353" w:left="847" w:firstLineChars="406" w:firstLine="1137"/>
        <w:jc w:val="both"/>
        <w:rPr>
          <w:rFonts w:ascii="標楷體" w:eastAsia="標楷體" w:hAnsi="標楷體"/>
          <w:sz w:val="28"/>
          <w:szCs w:val="28"/>
        </w:rPr>
      </w:pPr>
      <w:r w:rsidRPr="002430A5">
        <w:rPr>
          <w:rFonts w:ascii="標楷體" w:eastAsia="標楷體" w:hAnsi="標楷體" w:hint="eastAsia"/>
          <w:sz w:val="28"/>
          <w:szCs w:val="28"/>
        </w:rPr>
        <w:t>二、對臺灣地區有走私或從事非法漁業行為。</w:t>
      </w:r>
    </w:p>
    <w:p w:rsidR="00DC1D21" w:rsidRPr="002430A5" w:rsidRDefault="00DC1D21" w:rsidP="00620AEA">
      <w:pPr>
        <w:adjustRightInd w:val="0"/>
        <w:spacing w:line="460" w:lineRule="exact"/>
        <w:ind w:leftChars="353" w:left="847" w:firstLineChars="406" w:firstLine="1137"/>
        <w:jc w:val="both"/>
        <w:rPr>
          <w:rFonts w:ascii="標楷體" w:eastAsia="標楷體" w:hAnsi="標楷體"/>
          <w:sz w:val="28"/>
          <w:szCs w:val="28"/>
        </w:rPr>
      </w:pPr>
      <w:r w:rsidRPr="002430A5">
        <w:rPr>
          <w:rFonts w:ascii="標楷體" w:eastAsia="標楷體" w:hAnsi="標楷體" w:hint="eastAsia"/>
          <w:sz w:val="28"/>
          <w:szCs w:val="28"/>
        </w:rPr>
        <w:t>三、搭載人員非法入境或出境之行為。</w:t>
      </w:r>
    </w:p>
    <w:p w:rsidR="00DC1D21" w:rsidRPr="002430A5" w:rsidRDefault="00DC1D21" w:rsidP="00620AEA">
      <w:pPr>
        <w:adjustRightInd w:val="0"/>
        <w:spacing w:line="460" w:lineRule="exact"/>
        <w:ind w:leftChars="353" w:left="847" w:firstLineChars="406" w:firstLine="1137"/>
        <w:jc w:val="both"/>
        <w:rPr>
          <w:rFonts w:ascii="標楷體" w:eastAsia="標楷體" w:hAnsi="標楷體"/>
          <w:sz w:val="28"/>
          <w:szCs w:val="28"/>
        </w:rPr>
      </w:pPr>
      <w:r w:rsidRPr="002430A5">
        <w:rPr>
          <w:rFonts w:ascii="標楷體" w:eastAsia="標楷體" w:hAnsi="標楷體" w:hint="eastAsia"/>
          <w:sz w:val="28"/>
          <w:szCs w:val="28"/>
        </w:rPr>
        <w:t>四、對執行檢查任務之船艦有敵對之行為。</w:t>
      </w:r>
    </w:p>
    <w:p w:rsidR="00DC1D21" w:rsidRPr="002430A5" w:rsidRDefault="00DC1D21" w:rsidP="00620AEA">
      <w:pPr>
        <w:adjustRightInd w:val="0"/>
        <w:spacing w:line="460" w:lineRule="exact"/>
        <w:ind w:leftChars="590" w:left="1416" w:firstLineChars="202" w:firstLine="566"/>
        <w:jc w:val="both"/>
        <w:rPr>
          <w:rFonts w:ascii="標楷體" w:eastAsia="標楷體" w:hAnsi="標楷體"/>
          <w:sz w:val="28"/>
          <w:szCs w:val="28"/>
        </w:rPr>
      </w:pPr>
      <w:r w:rsidRPr="002430A5">
        <w:rPr>
          <w:rFonts w:ascii="標楷體" w:eastAsia="標楷體" w:hAnsi="標楷體" w:hint="eastAsia"/>
          <w:sz w:val="28"/>
          <w:szCs w:val="28"/>
        </w:rPr>
        <w:t>扣留之船舶有塗抹或隱蔽船名、無船名、拒絕停船受檢、從事漁撈、其他違法行為，或經主管機關查證該船有被扣留二次以上紀錄者，得沒入之。</w:t>
      </w:r>
    </w:p>
    <w:p w:rsidR="00DC1D21" w:rsidRPr="002430A5" w:rsidRDefault="00DC1D21" w:rsidP="00286520">
      <w:pPr>
        <w:adjustRightInd w:val="0"/>
        <w:snapToGrid w:val="0"/>
        <w:spacing w:line="460" w:lineRule="exact"/>
        <w:ind w:leftChars="590" w:left="1416" w:firstLineChars="202" w:firstLine="566"/>
        <w:jc w:val="both"/>
        <w:rPr>
          <w:rFonts w:ascii="標楷體" w:eastAsia="標楷體" w:hAnsi="標楷體"/>
          <w:sz w:val="28"/>
          <w:szCs w:val="28"/>
        </w:rPr>
      </w:pPr>
      <w:r w:rsidRPr="002430A5">
        <w:rPr>
          <w:rFonts w:ascii="標楷體" w:eastAsia="標楷體" w:hAnsi="標楷體" w:hint="eastAsia"/>
          <w:sz w:val="28"/>
          <w:szCs w:val="28"/>
        </w:rPr>
        <w:t>扣留之船舶無前二項所定情形，且未涉及違法情事者，得予以發還。</w:t>
      </w:r>
    </w:p>
    <w:p w:rsidR="00DC1D21" w:rsidRPr="002430A5" w:rsidRDefault="00DC1D21" w:rsidP="00286520">
      <w:pPr>
        <w:adjustRightInd w:val="0"/>
        <w:snapToGrid w:val="0"/>
        <w:spacing w:line="460" w:lineRule="exact"/>
        <w:ind w:left="1417" w:hangingChars="506" w:hanging="1417"/>
        <w:jc w:val="both"/>
        <w:rPr>
          <w:rFonts w:ascii="標楷體" w:eastAsia="標楷體" w:hAnsi="標楷體"/>
          <w:kern w:val="0"/>
          <w:sz w:val="28"/>
          <w:szCs w:val="28"/>
        </w:rPr>
      </w:pPr>
      <w:r w:rsidRPr="002430A5">
        <w:rPr>
          <w:rFonts w:ascii="標楷體" w:eastAsia="標楷體" w:hAnsi="標楷體" w:hint="eastAsia"/>
          <w:sz w:val="28"/>
          <w:szCs w:val="28"/>
        </w:rPr>
        <w:t>第四十五條</w:t>
      </w:r>
      <w:r w:rsidR="00286520">
        <w:rPr>
          <w:rFonts w:ascii="標楷體" w:eastAsia="標楷體" w:hAnsi="標楷體" w:hint="eastAsia"/>
          <w:sz w:val="28"/>
          <w:szCs w:val="28"/>
        </w:rPr>
        <w:t xml:space="preserve">　　</w:t>
      </w:r>
      <w:r w:rsidRPr="002430A5">
        <w:rPr>
          <w:rFonts w:ascii="標楷體" w:eastAsia="標楷體" w:hAnsi="標楷體" w:hint="eastAsia"/>
          <w:kern w:val="0"/>
          <w:sz w:val="28"/>
          <w:szCs w:val="28"/>
        </w:rPr>
        <w:t>前條所定主管機關依第四十二條規定扣留之物品，屬違禁、走私物品、用以從事非法漁業行為之漁具或漁獲物者，</w:t>
      </w:r>
      <w:r w:rsidRPr="002430A5">
        <w:rPr>
          <w:rFonts w:ascii="標楷體" w:eastAsia="標楷體" w:hAnsi="標楷體" w:hint="eastAsia"/>
          <w:kern w:val="0"/>
          <w:sz w:val="28"/>
          <w:szCs w:val="28"/>
        </w:rPr>
        <w:lastRenderedPageBreak/>
        <w:t>沒入之；扣留之物品係用以從事漁撈、其他違法行為，或</w:t>
      </w:r>
      <w:r w:rsidRPr="002430A5">
        <w:rPr>
          <w:rFonts w:ascii="標楷體" w:eastAsia="標楷體" w:hAnsi="標楷體" w:hint="eastAsia"/>
          <w:sz w:val="28"/>
          <w:szCs w:val="28"/>
        </w:rPr>
        <w:t>有塗抹、隱蔽船名、無船名、拒絕停船受檢情形而扣留</w:t>
      </w:r>
      <w:r w:rsidRPr="002430A5">
        <w:rPr>
          <w:rFonts w:ascii="標楷體" w:eastAsia="標楷體" w:hAnsi="標楷體" w:hint="eastAsia"/>
          <w:kern w:val="0"/>
          <w:sz w:val="28"/>
          <w:szCs w:val="28"/>
        </w:rPr>
        <w:t>之漁具、漁獲物或其他物品，得沒入之；其餘未涉及違法情事者，得予以發還。但持有人涉嫌犯罪移送司法機關處理者，其相關證物應</w:t>
      </w:r>
      <w:proofErr w:type="gramStart"/>
      <w:r w:rsidRPr="002430A5">
        <w:rPr>
          <w:rFonts w:ascii="標楷體" w:eastAsia="標楷體" w:hAnsi="標楷體" w:hint="eastAsia"/>
          <w:kern w:val="0"/>
          <w:sz w:val="28"/>
          <w:szCs w:val="28"/>
        </w:rPr>
        <w:t>併</w:t>
      </w:r>
      <w:proofErr w:type="gramEnd"/>
      <w:r w:rsidRPr="002430A5">
        <w:rPr>
          <w:rFonts w:ascii="標楷體" w:eastAsia="標楷體" w:hAnsi="標楷體" w:hint="eastAsia"/>
          <w:kern w:val="0"/>
          <w:sz w:val="28"/>
          <w:szCs w:val="28"/>
        </w:rPr>
        <w:t>同移送。</w:t>
      </w:r>
    </w:p>
    <w:p w:rsidR="00620AEA" w:rsidRPr="002430A5" w:rsidRDefault="00DC1D21" w:rsidP="00620AEA">
      <w:pPr>
        <w:autoSpaceDE w:val="0"/>
        <w:autoSpaceDN w:val="0"/>
        <w:adjustRightInd w:val="0"/>
        <w:snapToGrid w:val="0"/>
        <w:spacing w:line="460" w:lineRule="exact"/>
        <w:ind w:leftChars="1" w:left="1416" w:hangingChars="505" w:hanging="1414"/>
        <w:jc w:val="both"/>
        <w:rPr>
          <w:rFonts w:ascii="標楷體" w:eastAsia="標楷體" w:hAnsi="標楷體" w:cs="標楷體"/>
          <w:kern w:val="0"/>
          <w:sz w:val="28"/>
          <w:szCs w:val="28"/>
          <w:lang w:val="zh-TW"/>
        </w:rPr>
      </w:pPr>
      <w:r w:rsidRPr="002430A5">
        <w:rPr>
          <w:rFonts w:ascii="標楷體" w:eastAsia="標楷體" w:hAnsi="標楷體" w:hint="eastAsia"/>
          <w:sz w:val="28"/>
          <w:szCs w:val="28"/>
        </w:rPr>
        <w:t>第四十六條</w:t>
      </w:r>
      <w:r w:rsidR="00286520">
        <w:rPr>
          <w:rFonts w:ascii="標楷體" w:eastAsia="標楷體" w:hAnsi="標楷體" w:hint="eastAsia"/>
          <w:sz w:val="28"/>
          <w:szCs w:val="28"/>
        </w:rPr>
        <w:t xml:space="preserve">　　</w:t>
      </w:r>
      <w:r w:rsidRPr="002430A5">
        <w:rPr>
          <w:rFonts w:ascii="標楷體" w:eastAsia="標楷體" w:hAnsi="標楷體" w:cs="標楷體" w:hint="eastAsia"/>
          <w:kern w:val="0"/>
          <w:sz w:val="28"/>
          <w:szCs w:val="28"/>
          <w:lang w:val="zh-TW"/>
        </w:rPr>
        <w:t>本條例第三十三條、第三十三條之</w:t>
      </w:r>
      <w:proofErr w:type="gramStart"/>
      <w:r w:rsidRPr="002430A5">
        <w:rPr>
          <w:rFonts w:ascii="標楷體" w:eastAsia="標楷體" w:hAnsi="標楷體" w:cs="標楷體" w:hint="eastAsia"/>
          <w:kern w:val="0"/>
          <w:sz w:val="28"/>
          <w:szCs w:val="28"/>
          <w:lang w:val="zh-TW"/>
        </w:rPr>
        <w:t>一</w:t>
      </w:r>
      <w:proofErr w:type="gramEnd"/>
      <w:r w:rsidRPr="002430A5">
        <w:rPr>
          <w:rFonts w:ascii="標楷體" w:eastAsia="標楷體" w:hAnsi="標楷體" w:cs="標楷體" w:hint="eastAsia"/>
          <w:kern w:val="0"/>
          <w:sz w:val="28"/>
          <w:szCs w:val="28"/>
          <w:lang w:val="zh-TW"/>
        </w:rPr>
        <w:t>及第七十二條所稱主管機關，指中央主管機關。</w:t>
      </w:r>
    </w:p>
    <w:p w:rsidR="00DC1D21" w:rsidRPr="002430A5" w:rsidRDefault="00DC1D21" w:rsidP="00286520">
      <w:pPr>
        <w:autoSpaceDE w:val="0"/>
        <w:autoSpaceDN w:val="0"/>
        <w:adjustRightInd w:val="0"/>
        <w:snapToGrid w:val="0"/>
        <w:spacing w:line="460" w:lineRule="exact"/>
        <w:ind w:leftChars="590" w:left="1416" w:firstLineChars="203" w:firstLine="568"/>
        <w:jc w:val="both"/>
        <w:rPr>
          <w:rFonts w:ascii="標楷體" w:eastAsia="標楷體" w:hAnsi="標楷體" w:cs="標楷體"/>
          <w:kern w:val="0"/>
          <w:sz w:val="28"/>
          <w:szCs w:val="28"/>
          <w:lang w:val="zh-TW"/>
        </w:rPr>
      </w:pPr>
      <w:r w:rsidRPr="002430A5">
        <w:rPr>
          <w:rFonts w:ascii="標楷體" w:eastAsia="標楷體" w:hAnsi="標楷體" w:hint="eastAsia"/>
          <w:sz w:val="28"/>
          <w:szCs w:val="28"/>
        </w:rPr>
        <w:t>前項中</w:t>
      </w:r>
      <w:r w:rsidRPr="002430A5">
        <w:rPr>
          <w:rFonts w:ascii="標楷體" w:eastAsia="標楷體" w:hAnsi="標楷體" w:cs="標楷體" w:hint="eastAsia"/>
          <w:kern w:val="0"/>
          <w:sz w:val="28"/>
          <w:szCs w:val="28"/>
          <w:lang w:val="zh-TW"/>
        </w:rPr>
        <w:t>央主管機關，依所涉事項之性質定之。不能定其主管機關者，由行政院大陸委員會確定之。</w:t>
      </w:r>
    </w:p>
    <w:p w:rsidR="00DC1D21" w:rsidRPr="002430A5" w:rsidRDefault="00DC1D21" w:rsidP="00620AEA">
      <w:pPr>
        <w:pStyle w:val="p2"/>
        <w:tabs>
          <w:tab w:val="left" w:pos="-3240"/>
        </w:tabs>
        <w:adjustRightInd w:val="0"/>
        <w:snapToGrid w:val="0"/>
        <w:spacing w:before="0" w:beforeAutospacing="0" w:after="0" w:afterAutospacing="0" w:line="460" w:lineRule="exact"/>
        <w:ind w:left="286" w:right="0" w:hangingChars="102" w:hanging="286"/>
        <w:jc w:val="both"/>
        <w:rPr>
          <w:rFonts w:ascii="標楷體" w:eastAsia="標楷體" w:hAnsi="標楷體" w:cs="標楷體"/>
          <w:kern w:val="2"/>
          <w:sz w:val="28"/>
          <w:szCs w:val="28"/>
          <w:lang w:val="zh-TW"/>
        </w:rPr>
      </w:pPr>
      <w:r w:rsidRPr="002430A5">
        <w:rPr>
          <w:rFonts w:ascii="標楷體" w:eastAsia="標楷體" w:hAnsi="標楷體" w:hint="eastAsia"/>
          <w:kern w:val="2"/>
          <w:sz w:val="28"/>
          <w:szCs w:val="28"/>
        </w:rPr>
        <w:t xml:space="preserve">第五十四條 </w:t>
      </w:r>
      <w:r w:rsidR="00620AEA" w:rsidRPr="002430A5">
        <w:rPr>
          <w:rFonts w:ascii="標楷體" w:eastAsia="標楷體" w:hAnsi="標楷體" w:hint="eastAsia"/>
          <w:kern w:val="2"/>
          <w:sz w:val="28"/>
          <w:szCs w:val="28"/>
        </w:rPr>
        <w:t xml:space="preserve">  </w:t>
      </w:r>
      <w:r w:rsidRPr="002430A5">
        <w:rPr>
          <w:rFonts w:ascii="標楷體" w:eastAsia="標楷體" w:hAnsi="標楷體" w:hint="eastAsia"/>
          <w:kern w:val="2"/>
          <w:sz w:val="28"/>
          <w:szCs w:val="28"/>
        </w:rPr>
        <w:t xml:space="preserve"> (刪除)</w:t>
      </w:r>
    </w:p>
    <w:p w:rsidR="00DC1D21" w:rsidRPr="002430A5" w:rsidRDefault="00DC1D21" w:rsidP="00286520">
      <w:pPr>
        <w:adjustRightInd w:val="0"/>
        <w:snapToGrid w:val="0"/>
        <w:spacing w:line="460" w:lineRule="exact"/>
        <w:ind w:left="1417" w:hangingChars="506" w:hanging="1417"/>
        <w:jc w:val="both"/>
        <w:rPr>
          <w:rFonts w:ascii="標楷體" w:eastAsia="標楷體" w:hAnsi="標楷體"/>
          <w:sz w:val="28"/>
          <w:szCs w:val="28"/>
        </w:rPr>
      </w:pPr>
      <w:r w:rsidRPr="002430A5">
        <w:rPr>
          <w:rFonts w:ascii="標楷體" w:eastAsia="標楷體" w:hAnsi="標楷體" w:hint="eastAsia"/>
          <w:sz w:val="28"/>
          <w:szCs w:val="28"/>
        </w:rPr>
        <w:t>第五十五條</w:t>
      </w:r>
      <w:r w:rsidR="00286520">
        <w:rPr>
          <w:rFonts w:ascii="標楷體" w:eastAsia="標楷體" w:hAnsi="標楷體" w:hint="eastAsia"/>
          <w:sz w:val="28"/>
          <w:szCs w:val="28"/>
        </w:rPr>
        <w:t xml:space="preserve">　　</w:t>
      </w:r>
      <w:r w:rsidRPr="002430A5">
        <w:rPr>
          <w:rFonts w:ascii="標楷體" w:eastAsia="標楷體" w:hAnsi="標楷體" w:cs="標楷體" w:hint="eastAsia"/>
          <w:kern w:val="0"/>
          <w:sz w:val="28"/>
          <w:szCs w:val="28"/>
        </w:rPr>
        <w:t>本條例第四十條所稱有關法令，指商品檢驗法、動物傳染病防治條例、野生動物保育法、藥事法、關稅法、海關緝私條例、菸酒管理法、傳染病防治法、植物防疫檢疫法、食品安全衛生管理法、健康食品管理法及其他相關法令。</w:t>
      </w:r>
    </w:p>
    <w:sectPr w:rsidR="00DC1D21" w:rsidRPr="002430A5" w:rsidSect="00017C33">
      <w:headerReference w:type="default"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67" w:rsidRDefault="00FF6B67" w:rsidP="00A01220">
      <w:r>
        <w:separator/>
      </w:r>
    </w:p>
  </w:endnote>
  <w:endnote w:type="continuationSeparator" w:id="0">
    <w:p w:rsidR="00FF6B67" w:rsidRDefault="00FF6B67" w:rsidP="00A01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仿宋體 Std W4">
    <w:altName w:val="Arial Unicode MS"/>
    <w:panose1 w:val="00000000000000000000"/>
    <w:charset w:val="88"/>
    <w:family w:val="roman"/>
    <w:notTrueType/>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B51" w:rsidRDefault="004F123A">
    <w:pPr>
      <w:pStyle w:val="a5"/>
      <w:jc w:val="center"/>
    </w:pPr>
    <w:r w:rsidRPr="004F123A">
      <w:fldChar w:fldCharType="begin"/>
    </w:r>
    <w:r w:rsidR="006E47C3">
      <w:instrText xml:space="preserve"> PAGE   \* MERGEFORMAT </w:instrText>
    </w:r>
    <w:r w:rsidRPr="004F123A">
      <w:fldChar w:fldCharType="separate"/>
    </w:r>
    <w:r w:rsidR="00570FA9" w:rsidRPr="00570FA9">
      <w:rPr>
        <w:noProof/>
        <w:lang w:val="zh-TW"/>
      </w:rPr>
      <w:t>1</w:t>
    </w:r>
    <w:r>
      <w:rPr>
        <w:noProof/>
        <w:lang w:val="zh-TW"/>
      </w:rPr>
      <w:fldChar w:fldCharType="end"/>
    </w:r>
  </w:p>
  <w:p w:rsidR="005C1B51" w:rsidRDefault="005C1B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67" w:rsidRDefault="00FF6B67" w:rsidP="00A01220">
      <w:r>
        <w:separator/>
      </w:r>
    </w:p>
  </w:footnote>
  <w:footnote w:type="continuationSeparator" w:id="0">
    <w:p w:rsidR="00FF6B67" w:rsidRDefault="00FF6B67" w:rsidP="00A01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B51" w:rsidRDefault="005C1B51" w:rsidP="00503A28">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2F2"/>
    <w:multiLevelType w:val="hybridMultilevel"/>
    <w:tmpl w:val="CFEC3082"/>
    <w:lvl w:ilvl="0" w:tplc="0284DFC2">
      <w:start w:val="1"/>
      <w:numFmt w:val="taiwaneseCountingThousand"/>
      <w:lvlText w:val="%1、"/>
      <w:lvlJc w:val="left"/>
      <w:pPr>
        <w:tabs>
          <w:tab w:val="num" w:pos="482"/>
        </w:tabs>
        <w:ind w:left="482" w:hanging="480"/>
      </w:pPr>
      <w:rPr>
        <w:rFonts w:cs="Times New Roman" w:hint="default"/>
      </w:rPr>
    </w:lvl>
    <w:lvl w:ilvl="1" w:tplc="04090019" w:tentative="1">
      <w:start w:val="1"/>
      <w:numFmt w:val="ideographTraditional"/>
      <w:lvlText w:val="%2、"/>
      <w:lvlJc w:val="left"/>
      <w:pPr>
        <w:tabs>
          <w:tab w:val="num" w:pos="962"/>
        </w:tabs>
        <w:ind w:left="962" w:hanging="480"/>
      </w:pPr>
      <w:rPr>
        <w:rFonts w:cs="Times New Roman"/>
      </w:rPr>
    </w:lvl>
    <w:lvl w:ilvl="2" w:tplc="0409001B" w:tentative="1">
      <w:start w:val="1"/>
      <w:numFmt w:val="lowerRoman"/>
      <w:lvlText w:val="%3."/>
      <w:lvlJc w:val="right"/>
      <w:pPr>
        <w:tabs>
          <w:tab w:val="num" w:pos="1442"/>
        </w:tabs>
        <w:ind w:left="1442" w:hanging="480"/>
      </w:pPr>
      <w:rPr>
        <w:rFonts w:cs="Times New Roman"/>
      </w:rPr>
    </w:lvl>
    <w:lvl w:ilvl="3" w:tplc="0409000F" w:tentative="1">
      <w:start w:val="1"/>
      <w:numFmt w:val="decimal"/>
      <w:lvlText w:val="%4."/>
      <w:lvlJc w:val="left"/>
      <w:pPr>
        <w:tabs>
          <w:tab w:val="num" w:pos="1922"/>
        </w:tabs>
        <w:ind w:left="1922" w:hanging="480"/>
      </w:pPr>
      <w:rPr>
        <w:rFonts w:cs="Times New Roman"/>
      </w:rPr>
    </w:lvl>
    <w:lvl w:ilvl="4" w:tplc="04090019" w:tentative="1">
      <w:start w:val="1"/>
      <w:numFmt w:val="ideographTraditional"/>
      <w:lvlText w:val="%5、"/>
      <w:lvlJc w:val="left"/>
      <w:pPr>
        <w:tabs>
          <w:tab w:val="num" w:pos="2402"/>
        </w:tabs>
        <w:ind w:left="2402" w:hanging="480"/>
      </w:pPr>
      <w:rPr>
        <w:rFonts w:cs="Times New Roman"/>
      </w:rPr>
    </w:lvl>
    <w:lvl w:ilvl="5" w:tplc="0409001B" w:tentative="1">
      <w:start w:val="1"/>
      <w:numFmt w:val="lowerRoman"/>
      <w:lvlText w:val="%6."/>
      <w:lvlJc w:val="right"/>
      <w:pPr>
        <w:tabs>
          <w:tab w:val="num" w:pos="2882"/>
        </w:tabs>
        <w:ind w:left="2882" w:hanging="480"/>
      </w:pPr>
      <w:rPr>
        <w:rFonts w:cs="Times New Roman"/>
      </w:rPr>
    </w:lvl>
    <w:lvl w:ilvl="6" w:tplc="0409000F" w:tentative="1">
      <w:start w:val="1"/>
      <w:numFmt w:val="decimal"/>
      <w:lvlText w:val="%7."/>
      <w:lvlJc w:val="left"/>
      <w:pPr>
        <w:tabs>
          <w:tab w:val="num" w:pos="3362"/>
        </w:tabs>
        <w:ind w:left="3362" w:hanging="480"/>
      </w:pPr>
      <w:rPr>
        <w:rFonts w:cs="Times New Roman"/>
      </w:rPr>
    </w:lvl>
    <w:lvl w:ilvl="7" w:tplc="04090019" w:tentative="1">
      <w:start w:val="1"/>
      <w:numFmt w:val="ideographTraditional"/>
      <w:lvlText w:val="%8、"/>
      <w:lvlJc w:val="left"/>
      <w:pPr>
        <w:tabs>
          <w:tab w:val="num" w:pos="3842"/>
        </w:tabs>
        <w:ind w:left="3842" w:hanging="480"/>
      </w:pPr>
      <w:rPr>
        <w:rFonts w:cs="Times New Roman"/>
      </w:rPr>
    </w:lvl>
    <w:lvl w:ilvl="8" w:tplc="0409001B" w:tentative="1">
      <w:start w:val="1"/>
      <w:numFmt w:val="lowerRoman"/>
      <w:lvlText w:val="%9."/>
      <w:lvlJc w:val="right"/>
      <w:pPr>
        <w:tabs>
          <w:tab w:val="num" w:pos="4322"/>
        </w:tabs>
        <w:ind w:left="4322" w:hanging="480"/>
      </w:pPr>
      <w:rPr>
        <w:rFonts w:cs="Times New Roman"/>
      </w:rPr>
    </w:lvl>
  </w:abstractNum>
  <w:abstractNum w:abstractNumId="1">
    <w:nsid w:val="06A17173"/>
    <w:multiLevelType w:val="hybridMultilevel"/>
    <w:tmpl w:val="874AA51A"/>
    <w:lvl w:ilvl="0" w:tplc="1A26698C">
      <w:start w:val="1"/>
      <w:numFmt w:val="taiwaneseCountingThousand"/>
      <w:lvlText w:val="%1、"/>
      <w:lvlJc w:val="left"/>
      <w:pPr>
        <w:ind w:left="475" w:hanging="480"/>
      </w:pPr>
      <w:rPr>
        <w:rFonts w:cs="Times New Roman" w:hint="default"/>
      </w:rPr>
    </w:lvl>
    <w:lvl w:ilvl="1" w:tplc="4EA68F02">
      <w:start w:val="1"/>
      <w:numFmt w:val="taiwaneseCountingThousand"/>
      <w:lvlText w:val="%2、"/>
      <w:lvlJc w:val="left"/>
      <w:pPr>
        <w:ind w:left="955" w:hanging="480"/>
      </w:pPr>
      <w:rPr>
        <w:rFonts w:cs="Times New Roman" w:hint="default"/>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2">
    <w:nsid w:val="108F0334"/>
    <w:multiLevelType w:val="hybridMultilevel"/>
    <w:tmpl w:val="B956AC4E"/>
    <w:lvl w:ilvl="0" w:tplc="6BA64446">
      <w:start w:val="1"/>
      <w:numFmt w:val="taiwaneseCountingThousand"/>
      <w:lvlText w:val="%1、"/>
      <w:lvlJc w:val="left"/>
      <w:pPr>
        <w:ind w:left="2704" w:hanging="720"/>
      </w:pPr>
      <w:rPr>
        <w:rFonts w:cs="Times New Roman" w:hint="default"/>
      </w:rPr>
    </w:lvl>
    <w:lvl w:ilvl="1" w:tplc="04090019" w:tentative="1">
      <w:start w:val="1"/>
      <w:numFmt w:val="ideographTraditional"/>
      <w:lvlText w:val="%2、"/>
      <w:lvlJc w:val="left"/>
      <w:pPr>
        <w:ind w:left="2944" w:hanging="480"/>
      </w:pPr>
      <w:rPr>
        <w:rFonts w:cs="Times New Roman"/>
      </w:rPr>
    </w:lvl>
    <w:lvl w:ilvl="2" w:tplc="0409001B" w:tentative="1">
      <w:start w:val="1"/>
      <w:numFmt w:val="lowerRoman"/>
      <w:lvlText w:val="%3."/>
      <w:lvlJc w:val="right"/>
      <w:pPr>
        <w:ind w:left="3424" w:hanging="480"/>
      </w:pPr>
      <w:rPr>
        <w:rFonts w:cs="Times New Roman"/>
      </w:rPr>
    </w:lvl>
    <w:lvl w:ilvl="3" w:tplc="0409000F" w:tentative="1">
      <w:start w:val="1"/>
      <w:numFmt w:val="decimal"/>
      <w:lvlText w:val="%4."/>
      <w:lvlJc w:val="left"/>
      <w:pPr>
        <w:ind w:left="3904" w:hanging="480"/>
      </w:pPr>
      <w:rPr>
        <w:rFonts w:cs="Times New Roman"/>
      </w:rPr>
    </w:lvl>
    <w:lvl w:ilvl="4" w:tplc="04090019" w:tentative="1">
      <w:start w:val="1"/>
      <w:numFmt w:val="ideographTraditional"/>
      <w:lvlText w:val="%5、"/>
      <w:lvlJc w:val="left"/>
      <w:pPr>
        <w:ind w:left="4384" w:hanging="480"/>
      </w:pPr>
      <w:rPr>
        <w:rFonts w:cs="Times New Roman"/>
      </w:rPr>
    </w:lvl>
    <w:lvl w:ilvl="5" w:tplc="0409001B" w:tentative="1">
      <w:start w:val="1"/>
      <w:numFmt w:val="lowerRoman"/>
      <w:lvlText w:val="%6."/>
      <w:lvlJc w:val="right"/>
      <w:pPr>
        <w:ind w:left="4864" w:hanging="480"/>
      </w:pPr>
      <w:rPr>
        <w:rFonts w:cs="Times New Roman"/>
      </w:rPr>
    </w:lvl>
    <w:lvl w:ilvl="6" w:tplc="0409000F" w:tentative="1">
      <w:start w:val="1"/>
      <w:numFmt w:val="decimal"/>
      <w:lvlText w:val="%7."/>
      <w:lvlJc w:val="left"/>
      <w:pPr>
        <w:ind w:left="5344" w:hanging="480"/>
      </w:pPr>
      <w:rPr>
        <w:rFonts w:cs="Times New Roman"/>
      </w:rPr>
    </w:lvl>
    <w:lvl w:ilvl="7" w:tplc="04090019" w:tentative="1">
      <w:start w:val="1"/>
      <w:numFmt w:val="ideographTraditional"/>
      <w:lvlText w:val="%8、"/>
      <w:lvlJc w:val="left"/>
      <w:pPr>
        <w:ind w:left="5824" w:hanging="480"/>
      </w:pPr>
      <w:rPr>
        <w:rFonts w:cs="Times New Roman"/>
      </w:rPr>
    </w:lvl>
    <w:lvl w:ilvl="8" w:tplc="0409001B" w:tentative="1">
      <w:start w:val="1"/>
      <w:numFmt w:val="lowerRoman"/>
      <w:lvlText w:val="%9."/>
      <w:lvlJc w:val="right"/>
      <w:pPr>
        <w:ind w:left="6304" w:hanging="480"/>
      </w:pPr>
      <w:rPr>
        <w:rFonts w:cs="Times New Roman"/>
      </w:rPr>
    </w:lvl>
  </w:abstractNum>
  <w:abstractNum w:abstractNumId="3">
    <w:nsid w:val="203011C4"/>
    <w:multiLevelType w:val="hybridMultilevel"/>
    <w:tmpl w:val="C7943122"/>
    <w:lvl w:ilvl="0" w:tplc="47E6C4C2">
      <w:start w:val="1"/>
      <w:numFmt w:val="taiwaneseCountingThousand"/>
      <w:lvlText w:val="%1、"/>
      <w:lvlJc w:val="left"/>
      <w:pPr>
        <w:ind w:left="720" w:hanging="480"/>
      </w:pPr>
      <w:rPr>
        <w:rFonts w:ascii="標楷體" w:eastAsia="標楷體" w:hAnsi="標楷體"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5A7466C3"/>
    <w:multiLevelType w:val="hybridMultilevel"/>
    <w:tmpl w:val="A934C5F4"/>
    <w:lvl w:ilvl="0" w:tplc="294EF112">
      <w:start w:val="1"/>
      <w:numFmt w:val="taiwaneseCountingThousand"/>
      <w:lvlText w:val="%1、"/>
      <w:lvlJc w:val="left"/>
      <w:pPr>
        <w:ind w:left="730" w:hanging="480"/>
      </w:pPr>
      <w:rPr>
        <w:rFonts w:cs="Times New Roman" w:hint="eastAsia"/>
      </w:rPr>
    </w:lvl>
    <w:lvl w:ilvl="1" w:tplc="04090019" w:tentative="1">
      <w:start w:val="1"/>
      <w:numFmt w:val="ideographTraditional"/>
      <w:lvlText w:val="%2、"/>
      <w:lvlJc w:val="left"/>
      <w:pPr>
        <w:ind w:left="1210" w:hanging="480"/>
      </w:pPr>
      <w:rPr>
        <w:rFonts w:cs="Times New Roman"/>
      </w:rPr>
    </w:lvl>
    <w:lvl w:ilvl="2" w:tplc="0409001B" w:tentative="1">
      <w:start w:val="1"/>
      <w:numFmt w:val="lowerRoman"/>
      <w:lvlText w:val="%3."/>
      <w:lvlJc w:val="right"/>
      <w:pPr>
        <w:ind w:left="1690" w:hanging="480"/>
      </w:pPr>
      <w:rPr>
        <w:rFonts w:cs="Times New Roman"/>
      </w:rPr>
    </w:lvl>
    <w:lvl w:ilvl="3" w:tplc="0409000F" w:tentative="1">
      <w:start w:val="1"/>
      <w:numFmt w:val="decimal"/>
      <w:lvlText w:val="%4."/>
      <w:lvlJc w:val="left"/>
      <w:pPr>
        <w:ind w:left="2170" w:hanging="480"/>
      </w:pPr>
      <w:rPr>
        <w:rFonts w:cs="Times New Roman"/>
      </w:rPr>
    </w:lvl>
    <w:lvl w:ilvl="4" w:tplc="04090019" w:tentative="1">
      <w:start w:val="1"/>
      <w:numFmt w:val="ideographTraditional"/>
      <w:lvlText w:val="%5、"/>
      <w:lvlJc w:val="left"/>
      <w:pPr>
        <w:ind w:left="2650" w:hanging="480"/>
      </w:pPr>
      <w:rPr>
        <w:rFonts w:cs="Times New Roman"/>
      </w:rPr>
    </w:lvl>
    <w:lvl w:ilvl="5" w:tplc="0409001B" w:tentative="1">
      <w:start w:val="1"/>
      <w:numFmt w:val="lowerRoman"/>
      <w:lvlText w:val="%6."/>
      <w:lvlJc w:val="right"/>
      <w:pPr>
        <w:ind w:left="3130" w:hanging="480"/>
      </w:pPr>
      <w:rPr>
        <w:rFonts w:cs="Times New Roman"/>
      </w:rPr>
    </w:lvl>
    <w:lvl w:ilvl="6" w:tplc="0409000F" w:tentative="1">
      <w:start w:val="1"/>
      <w:numFmt w:val="decimal"/>
      <w:lvlText w:val="%7."/>
      <w:lvlJc w:val="left"/>
      <w:pPr>
        <w:ind w:left="3610" w:hanging="480"/>
      </w:pPr>
      <w:rPr>
        <w:rFonts w:cs="Times New Roman"/>
      </w:rPr>
    </w:lvl>
    <w:lvl w:ilvl="7" w:tplc="04090019" w:tentative="1">
      <w:start w:val="1"/>
      <w:numFmt w:val="ideographTraditional"/>
      <w:lvlText w:val="%8、"/>
      <w:lvlJc w:val="left"/>
      <w:pPr>
        <w:ind w:left="4090" w:hanging="480"/>
      </w:pPr>
      <w:rPr>
        <w:rFonts w:cs="Times New Roman"/>
      </w:rPr>
    </w:lvl>
    <w:lvl w:ilvl="8" w:tplc="0409001B" w:tentative="1">
      <w:start w:val="1"/>
      <w:numFmt w:val="lowerRoman"/>
      <w:lvlText w:val="%9."/>
      <w:lvlJc w:val="right"/>
      <w:pPr>
        <w:ind w:left="4570" w:hanging="480"/>
      </w:pPr>
      <w:rPr>
        <w:rFonts w:cs="Times New Roman"/>
      </w:rPr>
    </w:lvl>
  </w:abstractNum>
  <w:abstractNum w:abstractNumId="5">
    <w:nsid w:val="61A37B52"/>
    <w:multiLevelType w:val="hybridMultilevel"/>
    <w:tmpl w:val="8BE2E726"/>
    <w:lvl w:ilvl="0" w:tplc="2F60F5D8">
      <w:start w:val="1"/>
      <w:numFmt w:val="taiwaneseCountingThousand"/>
      <w:lvlText w:val="%1、"/>
      <w:lvlJc w:val="left"/>
      <w:pPr>
        <w:ind w:left="730" w:hanging="480"/>
      </w:pPr>
      <w:rPr>
        <w:rFonts w:cs="Times New Roman" w:hint="eastAsia"/>
      </w:rPr>
    </w:lvl>
    <w:lvl w:ilvl="1" w:tplc="04090019" w:tentative="1">
      <w:start w:val="1"/>
      <w:numFmt w:val="ideographTraditional"/>
      <w:lvlText w:val="%2、"/>
      <w:lvlJc w:val="left"/>
      <w:pPr>
        <w:ind w:left="1210" w:hanging="480"/>
      </w:pPr>
      <w:rPr>
        <w:rFonts w:cs="Times New Roman"/>
      </w:rPr>
    </w:lvl>
    <w:lvl w:ilvl="2" w:tplc="0409001B" w:tentative="1">
      <w:start w:val="1"/>
      <w:numFmt w:val="lowerRoman"/>
      <w:lvlText w:val="%3."/>
      <w:lvlJc w:val="right"/>
      <w:pPr>
        <w:ind w:left="1690" w:hanging="480"/>
      </w:pPr>
      <w:rPr>
        <w:rFonts w:cs="Times New Roman"/>
      </w:rPr>
    </w:lvl>
    <w:lvl w:ilvl="3" w:tplc="0409000F" w:tentative="1">
      <w:start w:val="1"/>
      <w:numFmt w:val="decimal"/>
      <w:lvlText w:val="%4."/>
      <w:lvlJc w:val="left"/>
      <w:pPr>
        <w:ind w:left="2170" w:hanging="480"/>
      </w:pPr>
      <w:rPr>
        <w:rFonts w:cs="Times New Roman"/>
      </w:rPr>
    </w:lvl>
    <w:lvl w:ilvl="4" w:tplc="04090019" w:tentative="1">
      <w:start w:val="1"/>
      <w:numFmt w:val="ideographTraditional"/>
      <w:lvlText w:val="%5、"/>
      <w:lvlJc w:val="left"/>
      <w:pPr>
        <w:ind w:left="2650" w:hanging="480"/>
      </w:pPr>
      <w:rPr>
        <w:rFonts w:cs="Times New Roman"/>
      </w:rPr>
    </w:lvl>
    <w:lvl w:ilvl="5" w:tplc="0409001B" w:tentative="1">
      <w:start w:val="1"/>
      <w:numFmt w:val="lowerRoman"/>
      <w:lvlText w:val="%6."/>
      <w:lvlJc w:val="right"/>
      <w:pPr>
        <w:ind w:left="3130" w:hanging="480"/>
      </w:pPr>
      <w:rPr>
        <w:rFonts w:cs="Times New Roman"/>
      </w:rPr>
    </w:lvl>
    <w:lvl w:ilvl="6" w:tplc="0409000F" w:tentative="1">
      <w:start w:val="1"/>
      <w:numFmt w:val="decimal"/>
      <w:lvlText w:val="%7."/>
      <w:lvlJc w:val="left"/>
      <w:pPr>
        <w:ind w:left="3610" w:hanging="480"/>
      </w:pPr>
      <w:rPr>
        <w:rFonts w:cs="Times New Roman"/>
      </w:rPr>
    </w:lvl>
    <w:lvl w:ilvl="7" w:tplc="04090019" w:tentative="1">
      <w:start w:val="1"/>
      <w:numFmt w:val="ideographTraditional"/>
      <w:lvlText w:val="%8、"/>
      <w:lvlJc w:val="left"/>
      <w:pPr>
        <w:ind w:left="4090" w:hanging="480"/>
      </w:pPr>
      <w:rPr>
        <w:rFonts w:cs="Times New Roman"/>
      </w:rPr>
    </w:lvl>
    <w:lvl w:ilvl="8" w:tplc="0409001B" w:tentative="1">
      <w:start w:val="1"/>
      <w:numFmt w:val="lowerRoman"/>
      <w:lvlText w:val="%9."/>
      <w:lvlJc w:val="right"/>
      <w:pPr>
        <w:ind w:left="4570" w:hanging="480"/>
      </w:pPr>
      <w:rPr>
        <w:rFonts w:cs="Times New Roman"/>
      </w:rPr>
    </w:lvl>
  </w:abstractNum>
  <w:abstractNum w:abstractNumId="6">
    <w:nsid w:val="69A52452"/>
    <w:multiLevelType w:val="hybridMultilevel"/>
    <w:tmpl w:val="9D0AFA6E"/>
    <w:lvl w:ilvl="0" w:tplc="FF88D08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1994894"/>
    <w:multiLevelType w:val="hybridMultilevel"/>
    <w:tmpl w:val="C7943122"/>
    <w:lvl w:ilvl="0" w:tplc="47E6C4C2">
      <w:start w:val="1"/>
      <w:numFmt w:val="taiwaneseCountingThousand"/>
      <w:lvlText w:val="%1、"/>
      <w:lvlJc w:val="left"/>
      <w:pPr>
        <w:ind w:left="720" w:hanging="480"/>
      </w:pPr>
      <w:rPr>
        <w:rFonts w:ascii="標楷體" w:eastAsia="標楷體" w:hAnsi="標楷體"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0"/>
  </w:num>
  <w:num w:numId="2">
    <w:abstractNumId w:val="1"/>
  </w:num>
  <w:num w:numId="3">
    <w:abstractNumId w:val="7"/>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C33"/>
    <w:rsid w:val="000134F7"/>
    <w:rsid w:val="00017C33"/>
    <w:rsid w:val="00031BBD"/>
    <w:rsid w:val="00032D42"/>
    <w:rsid w:val="000378A3"/>
    <w:rsid w:val="00044CD0"/>
    <w:rsid w:val="00066EEA"/>
    <w:rsid w:val="000724B8"/>
    <w:rsid w:val="00087DBE"/>
    <w:rsid w:val="00094B97"/>
    <w:rsid w:val="000C5FF5"/>
    <w:rsid w:val="000D0B25"/>
    <w:rsid w:val="000F75FA"/>
    <w:rsid w:val="00106B69"/>
    <w:rsid w:val="0011538D"/>
    <w:rsid w:val="0012643A"/>
    <w:rsid w:val="00136922"/>
    <w:rsid w:val="00156B83"/>
    <w:rsid w:val="00172D52"/>
    <w:rsid w:val="00197A2F"/>
    <w:rsid w:val="001A1B69"/>
    <w:rsid w:val="001B1AA8"/>
    <w:rsid w:val="001B3560"/>
    <w:rsid w:val="001D116F"/>
    <w:rsid w:val="001D6ED9"/>
    <w:rsid w:val="00224132"/>
    <w:rsid w:val="00233CDD"/>
    <w:rsid w:val="002430A5"/>
    <w:rsid w:val="002447F6"/>
    <w:rsid w:val="00263246"/>
    <w:rsid w:val="00266E7E"/>
    <w:rsid w:val="00286520"/>
    <w:rsid w:val="002D387C"/>
    <w:rsid w:val="003027A1"/>
    <w:rsid w:val="00306120"/>
    <w:rsid w:val="003314D8"/>
    <w:rsid w:val="0038167F"/>
    <w:rsid w:val="003F2299"/>
    <w:rsid w:val="0040592B"/>
    <w:rsid w:val="00453688"/>
    <w:rsid w:val="004A1575"/>
    <w:rsid w:val="004B53C0"/>
    <w:rsid w:val="004C415C"/>
    <w:rsid w:val="004D1E33"/>
    <w:rsid w:val="004D409E"/>
    <w:rsid w:val="004E469E"/>
    <w:rsid w:val="004F123A"/>
    <w:rsid w:val="00503A28"/>
    <w:rsid w:val="00513368"/>
    <w:rsid w:val="0051631D"/>
    <w:rsid w:val="00521023"/>
    <w:rsid w:val="0054767A"/>
    <w:rsid w:val="00565EE1"/>
    <w:rsid w:val="00570FA9"/>
    <w:rsid w:val="005B6EE6"/>
    <w:rsid w:val="005C041B"/>
    <w:rsid w:val="005C1B51"/>
    <w:rsid w:val="005D6D1D"/>
    <w:rsid w:val="005F4FFC"/>
    <w:rsid w:val="005F6632"/>
    <w:rsid w:val="00620AEA"/>
    <w:rsid w:val="00637BB7"/>
    <w:rsid w:val="00656832"/>
    <w:rsid w:val="00657433"/>
    <w:rsid w:val="00663F8C"/>
    <w:rsid w:val="00676DA4"/>
    <w:rsid w:val="006A4006"/>
    <w:rsid w:val="006C4B8A"/>
    <w:rsid w:val="006E47C3"/>
    <w:rsid w:val="006F26F1"/>
    <w:rsid w:val="006F304A"/>
    <w:rsid w:val="007045E4"/>
    <w:rsid w:val="007048E0"/>
    <w:rsid w:val="007147B7"/>
    <w:rsid w:val="00723A16"/>
    <w:rsid w:val="00736729"/>
    <w:rsid w:val="00746E24"/>
    <w:rsid w:val="007635D0"/>
    <w:rsid w:val="00765FC2"/>
    <w:rsid w:val="007671F2"/>
    <w:rsid w:val="007966A1"/>
    <w:rsid w:val="007966A2"/>
    <w:rsid w:val="007B6980"/>
    <w:rsid w:val="007C09F0"/>
    <w:rsid w:val="007C2142"/>
    <w:rsid w:val="007D3B5F"/>
    <w:rsid w:val="007E00C4"/>
    <w:rsid w:val="007F2433"/>
    <w:rsid w:val="0081328A"/>
    <w:rsid w:val="0082245C"/>
    <w:rsid w:val="00823AB0"/>
    <w:rsid w:val="00831B5E"/>
    <w:rsid w:val="00892B47"/>
    <w:rsid w:val="0089392A"/>
    <w:rsid w:val="008958E6"/>
    <w:rsid w:val="00896E51"/>
    <w:rsid w:val="008972E7"/>
    <w:rsid w:val="008D45F4"/>
    <w:rsid w:val="00901510"/>
    <w:rsid w:val="00916B18"/>
    <w:rsid w:val="00931FFF"/>
    <w:rsid w:val="009365EA"/>
    <w:rsid w:val="00944F3B"/>
    <w:rsid w:val="0095587F"/>
    <w:rsid w:val="009560DC"/>
    <w:rsid w:val="0098399C"/>
    <w:rsid w:val="00991456"/>
    <w:rsid w:val="009C32C9"/>
    <w:rsid w:val="009C4BB3"/>
    <w:rsid w:val="009F3A11"/>
    <w:rsid w:val="00A01220"/>
    <w:rsid w:val="00A13958"/>
    <w:rsid w:val="00A62765"/>
    <w:rsid w:val="00A64A48"/>
    <w:rsid w:val="00AA2DD6"/>
    <w:rsid w:val="00AB7C63"/>
    <w:rsid w:val="00AC754A"/>
    <w:rsid w:val="00AE2872"/>
    <w:rsid w:val="00B03007"/>
    <w:rsid w:val="00B043DD"/>
    <w:rsid w:val="00B12240"/>
    <w:rsid w:val="00B159BB"/>
    <w:rsid w:val="00B24FB0"/>
    <w:rsid w:val="00B40635"/>
    <w:rsid w:val="00B50296"/>
    <w:rsid w:val="00B621A0"/>
    <w:rsid w:val="00B62307"/>
    <w:rsid w:val="00B63EEC"/>
    <w:rsid w:val="00B7012B"/>
    <w:rsid w:val="00B80F31"/>
    <w:rsid w:val="00B929DA"/>
    <w:rsid w:val="00BC640C"/>
    <w:rsid w:val="00BD5A5A"/>
    <w:rsid w:val="00BE504F"/>
    <w:rsid w:val="00C03D68"/>
    <w:rsid w:val="00C073C8"/>
    <w:rsid w:val="00C32F6A"/>
    <w:rsid w:val="00C428CE"/>
    <w:rsid w:val="00C54FD3"/>
    <w:rsid w:val="00C6768A"/>
    <w:rsid w:val="00C74237"/>
    <w:rsid w:val="00CB2A7A"/>
    <w:rsid w:val="00CD1A6D"/>
    <w:rsid w:val="00CF4FEB"/>
    <w:rsid w:val="00CF59D6"/>
    <w:rsid w:val="00D0268C"/>
    <w:rsid w:val="00D11B5C"/>
    <w:rsid w:val="00D12A55"/>
    <w:rsid w:val="00D61971"/>
    <w:rsid w:val="00D8062E"/>
    <w:rsid w:val="00D84DF6"/>
    <w:rsid w:val="00D84FC7"/>
    <w:rsid w:val="00D91DDC"/>
    <w:rsid w:val="00DB72FA"/>
    <w:rsid w:val="00DC1D21"/>
    <w:rsid w:val="00DF29BD"/>
    <w:rsid w:val="00E00C50"/>
    <w:rsid w:val="00E22285"/>
    <w:rsid w:val="00E2305A"/>
    <w:rsid w:val="00E33B41"/>
    <w:rsid w:val="00E4146C"/>
    <w:rsid w:val="00E426DA"/>
    <w:rsid w:val="00E7684F"/>
    <w:rsid w:val="00E9223A"/>
    <w:rsid w:val="00E94AD0"/>
    <w:rsid w:val="00E96985"/>
    <w:rsid w:val="00EA1360"/>
    <w:rsid w:val="00ED30E6"/>
    <w:rsid w:val="00ED718F"/>
    <w:rsid w:val="00EF38CD"/>
    <w:rsid w:val="00F03122"/>
    <w:rsid w:val="00F27667"/>
    <w:rsid w:val="00F32FD5"/>
    <w:rsid w:val="00F43FF3"/>
    <w:rsid w:val="00F96CFB"/>
    <w:rsid w:val="00FB64A1"/>
    <w:rsid w:val="00FC0C27"/>
    <w:rsid w:val="00FC4B1A"/>
    <w:rsid w:val="00FC637A"/>
    <w:rsid w:val="00FF6B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3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0122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01220"/>
    <w:rPr>
      <w:rFonts w:ascii="Times New Roman" w:eastAsia="新細明體" w:hAnsi="Times New Roman" w:cs="Times New Roman"/>
      <w:sz w:val="20"/>
      <w:szCs w:val="20"/>
    </w:rPr>
  </w:style>
  <w:style w:type="paragraph" w:styleId="a5">
    <w:name w:val="footer"/>
    <w:basedOn w:val="a"/>
    <w:link w:val="a6"/>
    <w:uiPriority w:val="99"/>
    <w:rsid w:val="00A01220"/>
    <w:pPr>
      <w:tabs>
        <w:tab w:val="center" w:pos="4153"/>
        <w:tab w:val="right" w:pos="8306"/>
      </w:tabs>
      <w:snapToGrid w:val="0"/>
    </w:pPr>
    <w:rPr>
      <w:sz w:val="20"/>
      <w:szCs w:val="20"/>
    </w:rPr>
  </w:style>
  <w:style w:type="character" w:customStyle="1" w:styleId="a6">
    <w:name w:val="頁尾 字元"/>
    <w:basedOn w:val="a0"/>
    <w:link w:val="a5"/>
    <w:uiPriority w:val="99"/>
    <w:locked/>
    <w:rsid w:val="00A01220"/>
    <w:rPr>
      <w:rFonts w:ascii="Times New Roman" w:eastAsia="新細明體" w:hAnsi="Times New Roman" w:cs="Times New Roman"/>
      <w:sz w:val="20"/>
      <w:szCs w:val="20"/>
    </w:rPr>
  </w:style>
  <w:style w:type="paragraph" w:customStyle="1" w:styleId="p2">
    <w:name w:val="p2"/>
    <w:basedOn w:val="a"/>
    <w:uiPriority w:val="99"/>
    <w:rsid w:val="0082245C"/>
    <w:pPr>
      <w:widowControl/>
      <w:spacing w:before="100" w:beforeAutospacing="1" w:after="100" w:afterAutospacing="1"/>
      <w:ind w:left="1600" w:right="400" w:hanging="720"/>
    </w:pPr>
    <w:rPr>
      <w:rFonts w:ascii="新細明體" w:hAnsi="新細明體" w:cs="新細明體"/>
      <w:kern w:val="0"/>
    </w:rPr>
  </w:style>
  <w:style w:type="paragraph" w:styleId="a7">
    <w:name w:val="List Paragraph"/>
    <w:basedOn w:val="a"/>
    <w:uiPriority w:val="99"/>
    <w:qFormat/>
    <w:rsid w:val="0082245C"/>
    <w:pPr>
      <w:ind w:leftChars="200" w:left="480"/>
    </w:pPr>
  </w:style>
  <w:style w:type="character" w:styleId="a8">
    <w:name w:val="Strong"/>
    <w:basedOn w:val="a0"/>
    <w:qFormat/>
    <w:rsid w:val="0082245C"/>
    <w:rPr>
      <w:rFonts w:cs="Times New Roman"/>
      <w:b/>
      <w:bCs/>
    </w:rPr>
  </w:style>
  <w:style w:type="paragraph" w:customStyle="1" w:styleId="00-">
    <w:name w:val="00-條內文一"/>
    <w:basedOn w:val="a"/>
    <w:rsid w:val="00DC1D21"/>
    <w:pPr>
      <w:overflowPunct w:val="0"/>
      <w:topLinePunct/>
      <w:adjustRightInd w:val="0"/>
      <w:spacing w:line="280" w:lineRule="exact"/>
      <w:ind w:leftChars="200" w:left="800" w:hangingChars="200" w:hanging="400"/>
      <w:jc w:val="both"/>
    </w:pPr>
    <w:rPr>
      <w:rFonts w:eastAsia="華康仿宋體 Std W4" w:cs="新細明體"/>
      <w:kern w:val="0"/>
      <w:sz w:val="20"/>
      <w:szCs w:val="20"/>
    </w:rPr>
  </w:style>
</w:styles>
</file>

<file path=word/webSettings.xml><?xml version="1.0" encoding="utf-8"?>
<w:webSettings xmlns:r="http://schemas.openxmlformats.org/officeDocument/2006/relationships" xmlns:w="http://schemas.openxmlformats.org/wordprocessingml/2006/main">
  <w:divs>
    <w:div w:id="355035355">
      <w:bodyDiv w:val="1"/>
      <w:marLeft w:val="0"/>
      <w:marRight w:val="0"/>
      <w:marTop w:val="0"/>
      <w:marBottom w:val="0"/>
      <w:divBdr>
        <w:top w:val="none" w:sz="0" w:space="0" w:color="auto"/>
        <w:left w:val="none" w:sz="0" w:space="0" w:color="auto"/>
        <w:bottom w:val="none" w:sz="0" w:space="0" w:color="auto"/>
        <w:right w:val="none" w:sz="0" w:space="0" w:color="auto"/>
      </w:divBdr>
    </w:div>
    <w:div w:id="893544034">
      <w:bodyDiv w:val="1"/>
      <w:marLeft w:val="0"/>
      <w:marRight w:val="0"/>
      <w:marTop w:val="0"/>
      <w:marBottom w:val="0"/>
      <w:divBdr>
        <w:top w:val="none" w:sz="0" w:space="0" w:color="auto"/>
        <w:left w:val="none" w:sz="0" w:space="0" w:color="auto"/>
        <w:bottom w:val="none" w:sz="0" w:space="0" w:color="auto"/>
        <w:right w:val="none" w:sz="0" w:space="0" w:color="auto"/>
      </w:divBdr>
    </w:div>
    <w:div w:id="1007485794">
      <w:bodyDiv w:val="1"/>
      <w:marLeft w:val="0"/>
      <w:marRight w:val="0"/>
      <w:marTop w:val="0"/>
      <w:marBottom w:val="0"/>
      <w:divBdr>
        <w:top w:val="none" w:sz="0" w:space="0" w:color="auto"/>
        <w:left w:val="none" w:sz="0" w:space="0" w:color="auto"/>
        <w:bottom w:val="none" w:sz="0" w:space="0" w:color="auto"/>
        <w:right w:val="none" w:sz="0" w:space="0" w:color="auto"/>
      </w:divBdr>
    </w:div>
    <w:div w:id="1013722425">
      <w:bodyDiv w:val="1"/>
      <w:marLeft w:val="0"/>
      <w:marRight w:val="0"/>
      <w:marTop w:val="0"/>
      <w:marBottom w:val="0"/>
      <w:divBdr>
        <w:top w:val="none" w:sz="0" w:space="0" w:color="auto"/>
        <w:left w:val="none" w:sz="0" w:space="0" w:color="auto"/>
        <w:bottom w:val="none" w:sz="0" w:space="0" w:color="auto"/>
        <w:right w:val="none" w:sz="0" w:space="0" w:color="auto"/>
      </w:divBdr>
    </w:div>
    <w:div w:id="1043561315">
      <w:bodyDiv w:val="1"/>
      <w:marLeft w:val="0"/>
      <w:marRight w:val="0"/>
      <w:marTop w:val="0"/>
      <w:marBottom w:val="0"/>
      <w:divBdr>
        <w:top w:val="none" w:sz="0" w:space="0" w:color="auto"/>
        <w:left w:val="none" w:sz="0" w:space="0" w:color="auto"/>
        <w:bottom w:val="none" w:sz="0" w:space="0" w:color="auto"/>
        <w:right w:val="none" w:sz="0" w:space="0" w:color="auto"/>
      </w:divBdr>
    </w:div>
    <w:div w:id="1499612915">
      <w:bodyDiv w:val="1"/>
      <w:marLeft w:val="0"/>
      <w:marRight w:val="0"/>
      <w:marTop w:val="0"/>
      <w:marBottom w:val="0"/>
      <w:divBdr>
        <w:top w:val="none" w:sz="0" w:space="0" w:color="auto"/>
        <w:left w:val="none" w:sz="0" w:space="0" w:color="auto"/>
        <w:bottom w:val="none" w:sz="0" w:space="0" w:color="auto"/>
        <w:right w:val="none" w:sz="0" w:space="0" w:color="auto"/>
      </w:divBdr>
    </w:div>
    <w:div w:id="1551108722">
      <w:bodyDiv w:val="1"/>
      <w:marLeft w:val="0"/>
      <w:marRight w:val="0"/>
      <w:marTop w:val="0"/>
      <w:marBottom w:val="0"/>
      <w:divBdr>
        <w:top w:val="none" w:sz="0" w:space="0" w:color="auto"/>
        <w:left w:val="none" w:sz="0" w:space="0" w:color="auto"/>
        <w:bottom w:val="none" w:sz="0" w:space="0" w:color="auto"/>
        <w:right w:val="none" w:sz="0" w:space="0" w:color="auto"/>
      </w:divBdr>
    </w:div>
    <w:div w:id="1577977687">
      <w:bodyDiv w:val="1"/>
      <w:marLeft w:val="0"/>
      <w:marRight w:val="0"/>
      <w:marTop w:val="0"/>
      <w:marBottom w:val="0"/>
      <w:divBdr>
        <w:top w:val="none" w:sz="0" w:space="0" w:color="auto"/>
        <w:left w:val="none" w:sz="0" w:space="0" w:color="auto"/>
        <w:bottom w:val="none" w:sz="0" w:space="0" w:color="auto"/>
        <w:right w:val="none" w:sz="0" w:space="0" w:color="auto"/>
      </w:divBdr>
    </w:div>
    <w:div w:id="1582567342">
      <w:bodyDiv w:val="1"/>
      <w:marLeft w:val="0"/>
      <w:marRight w:val="0"/>
      <w:marTop w:val="0"/>
      <w:marBottom w:val="0"/>
      <w:divBdr>
        <w:top w:val="none" w:sz="0" w:space="0" w:color="auto"/>
        <w:left w:val="none" w:sz="0" w:space="0" w:color="auto"/>
        <w:bottom w:val="none" w:sz="0" w:space="0" w:color="auto"/>
        <w:right w:val="none" w:sz="0" w:space="0" w:color="auto"/>
      </w:divBdr>
    </w:div>
    <w:div w:id="1592425730">
      <w:bodyDiv w:val="1"/>
      <w:marLeft w:val="0"/>
      <w:marRight w:val="0"/>
      <w:marTop w:val="0"/>
      <w:marBottom w:val="0"/>
      <w:divBdr>
        <w:top w:val="none" w:sz="0" w:space="0" w:color="auto"/>
        <w:left w:val="none" w:sz="0" w:space="0" w:color="auto"/>
        <w:bottom w:val="none" w:sz="0" w:space="0" w:color="auto"/>
        <w:right w:val="none" w:sz="0" w:space="0" w:color="auto"/>
      </w:divBdr>
    </w:div>
    <w:div w:id="1809317940">
      <w:bodyDiv w:val="1"/>
      <w:marLeft w:val="0"/>
      <w:marRight w:val="0"/>
      <w:marTop w:val="0"/>
      <w:marBottom w:val="0"/>
      <w:divBdr>
        <w:top w:val="none" w:sz="0" w:space="0" w:color="auto"/>
        <w:left w:val="none" w:sz="0" w:space="0" w:color="auto"/>
        <w:bottom w:val="none" w:sz="0" w:space="0" w:color="auto"/>
        <w:right w:val="none" w:sz="0" w:space="0" w:color="auto"/>
      </w:divBdr>
    </w:div>
    <w:div w:id="1881939890">
      <w:bodyDiv w:val="1"/>
      <w:marLeft w:val="0"/>
      <w:marRight w:val="0"/>
      <w:marTop w:val="0"/>
      <w:marBottom w:val="0"/>
      <w:divBdr>
        <w:top w:val="none" w:sz="0" w:space="0" w:color="auto"/>
        <w:left w:val="none" w:sz="0" w:space="0" w:color="auto"/>
        <w:bottom w:val="none" w:sz="0" w:space="0" w:color="auto"/>
        <w:right w:val="none" w:sz="0" w:space="0" w:color="auto"/>
      </w:divBdr>
    </w:div>
    <w:div w:id="19220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臺灣地區與大陸地區人民關係條例施行細則部分條文修正條文</dc:title>
  <dc:creator>鍾莉芳</dc:creator>
  <cp:lastModifiedBy>user</cp:lastModifiedBy>
  <cp:revision>2</cp:revision>
  <cp:lastPrinted>2014-10-27T06:45:00Z</cp:lastPrinted>
  <dcterms:created xsi:type="dcterms:W3CDTF">2018-06-06T02:49:00Z</dcterms:created>
  <dcterms:modified xsi:type="dcterms:W3CDTF">2018-06-06T02:49:00Z</dcterms:modified>
</cp:coreProperties>
</file>