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A82D" w14:textId="7E537275" w:rsidR="00F16A21" w:rsidRPr="007A126E" w:rsidRDefault="00F16A21" w:rsidP="007A126E">
      <w:pPr>
        <w:pStyle w:val="Default"/>
        <w:jc w:val="center"/>
      </w:pPr>
      <w:proofErr w:type="gramStart"/>
      <w:r w:rsidRPr="007A126E">
        <w:rPr>
          <w:rFonts w:hint="eastAsia"/>
          <w:sz w:val="48"/>
          <w:szCs w:val="48"/>
        </w:rPr>
        <w:t>臺</w:t>
      </w:r>
      <w:proofErr w:type="gramEnd"/>
      <w:r w:rsidRPr="007A126E">
        <w:rPr>
          <w:rFonts w:hint="eastAsia"/>
          <w:sz w:val="48"/>
          <w:szCs w:val="48"/>
        </w:rPr>
        <w:t>南市六甲區公所</w:t>
      </w:r>
      <w:proofErr w:type="gramStart"/>
      <w:r w:rsidR="007565FB" w:rsidRPr="007A126E">
        <w:rPr>
          <w:rFonts w:hint="eastAsia"/>
          <w:sz w:val="48"/>
          <w:szCs w:val="48"/>
        </w:rPr>
        <w:t>113</w:t>
      </w:r>
      <w:proofErr w:type="gramEnd"/>
      <w:r w:rsidR="007565FB" w:rsidRPr="007A126E">
        <w:rPr>
          <w:rFonts w:hint="eastAsia"/>
          <w:sz w:val="48"/>
          <w:szCs w:val="48"/>
        </w:rPr>
        <w:t>年度</w:t>
      </w:r>
      <w:r w:rsidRPr="007A126E">
        <w:rPr>
          <w:rFonts w:hint="eastAsia"/>
          <w:sz w:val="48"/>
          <w:szCs w:val="48"/>
        </w:rPr>
        <w:t>廉政防貪指引</w:t>
      </w:r>
      <w:proofErr w:type="gramStart"/>
      <w:r w:rsidRPr="007A126E">
        <w:rPr>
          <w:sz w:val="48"/>
          <w:szCs w:val="48"/>
        </w:rPr>
        <w:t>—</w:t>
      </w:r>
      <w:proofErr w:type="gramEnd"/>
      <w:r w:rsidR="00DC2613" w:rsidRPr="007A126E">
        <w:rPr>
          <w:rFonts w:hint="eastAsia"/>
          <w:sz w:val="48"/>
          <w:szCs w:val="48"/>
        </w:rPr>
        <w:t>民政</w:t>
      </w:r>
      <w:r w:rsidRPr="007A126E">
        <w:rPr>
          <w:rFonts w:hint="eastAsia"/>
          <w:sz w:val="48"/>
          <w:szCs w:val="48"/>
        </w:rPr>
        <w:t>篇</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9127"/>
      </w:tblGrid>
      <w:tr w:rsidR="00F16A21" w14:paraId="3133B546" w14:textId="77777777" w:rsidTr="007A126E">
        <w:trPr>
          <w:trHeight w:val="159"/>
        </w:trPr>
        <w:tc>
          <w:tcPr>
            <w:tcW w:w="10632" w:type="dxa"/>
            <w:gridSpan w:val="2"/>
          </w:tcPr>
          <w:p w14:paraId="7D9AA833" w14:textId="561E22EC" w:rsidR="00F16A21" w:rsidRDefault="00F16A21" w:rsidP="007A126E">
            <w:pPr>
              <w:pStyle w:val="Default"/>
              <w:adjustRightInd/>
              <w:jc w:val="both"/>
              <w:rPr>
                <w:sz w:val="32"/>
                <w:szCs w:val="32"/>
              </w:rPr>
            </w:pPr>
            <w:r>
              <w:rPr>
                <w:rFonts w:hint="eastAsia"/>
                <w:sz w:val="32"/>
                <w:szCs w:val="32"/>
              </w:rPr>
              <w:t>類型</w:t>
            </w:r>
            <w:proofErr w:type="gramStart"/>
            <w:r>
              <w:rPr>
                <w:rFonts w:hint="eastAsia"/>
                <w:sz w:val="32"/>
                <w:szCs w:val="32"/>
              </w:rPr>
              <w:t>一</w:t>
            </w:r>
            <w:proofErr w:type="gramEnd"/>
            <w:r>
              <w:rPr>
                <w:rFonts w:hint="eastAsia"/>
                <w:sz w:val="32"/>
                <w:szCs w:val="32"/>
              </w:rPr>
              <w:t>：</w:t>
            </w:r>
            <w:r w:rsidR="00DC2613" w:rsidRPr="00DC2613">
              <w:rPr>
                <w:rFonts w:hint="eastAsia"/>
                <w:sz w:val="32"/>
                <w:szCs w:val="32"/>
              </w:rPr>
              <w:t>文康活動假冒眷屬或家屬代理參加案</w:t>
            </w:r>
          </w:p>
        </w:tc>
      </w:tr>
      <w:tr w:rsidR="00F16A21" w14:paraId="3384D442" w14:textId="77777777" w:rsidTr="007A126E">
        <w:trPr>
          <w:trHeight w:val="1560"/>
        </w:trPr>
        <w:tc>
          <w:tcPr>
            <w:tcW w:w="1505" w:type="dxa"/>
          </w:tcPr>
          <w:p w14:paraId="27BE04F0" w14:textId="77777777" w:rsidR="00F16A21" w:rsidRDefault="00F16A21" w:rsidP="007A126E">
            <w:pPr>
              <w:pStyle w:val="Default"/>
              <w:adjustRightInd/>
              <w:jc w:val="both"/>
              <w:rPr>
                <w:sz w:val="32"/>
                <w:szCs w:val="32"/>
              </w:rPr>
            </w:pPr>
            <w:r>
              <w:rPr>
                <w:rFonts w:hint="eastAsia"/>
                <w:sz w:val="32"/>
                <w:szCs w:val="32"/>
              </w:rPr>
              <w:t>案情概述</w:t>
            </w:r>
            <w:r>
              <w:rPr>
                <w:sz w:val="32"/>
                <w:szCs w:val="32"/>
              </w:rPr>
              <w:t xml:space="preserve"> </w:t>
            </w:r>
          </w:p>
        </w:tc>
        <w:tc>
          <w:tcPr>
            <w:tcW w:w="9127" w:type="dxa"/>
          </w:tcPr>
          <w:p w14:paraId="303B09EA" w14:textId="5121BABB" w:rsidR="00DC2613" w:rsidRPr="00DC2613" w:rsidRDefault="007A126E" w:rsidP="007A126E">
            <w:pPr>
              <w:pStyle w:val="Default"/>
              <w:adjustRightInd/>
              <w:jc w:val="both"/>
              <w:rPr>
                <w:sz w:val="32"/>
                <w:szCs w:val="32"/>
              </w:rPr>
            </w:pPr>
            <w:r>
              <w:rPr>
                <w:rFonts w:hint="eastAsia"/>
                <w:sz w:val="32"/>
                <w:szCs w:val="32"/>
              </w:rPr>
              <w:t xml:space="preserve">  </w:t>
            </w:r>
            <w:r w:rsidR="00DC2613" w:rsidRPr="00DC2613">
              <w:rPr>
                <w:rFonts w:hint="eastAsia"/>
                <w:sz w:val="32"/>
                <w:szCs w:val="32"/>
              </w:rPr>
              <w:t>A 公所編列「鄰長文康活動費」舉辦年度鄰長文康活動，每人預算為新臺幣（下同）3,000元。該預算之適用對象依內政部96年5月30日內</w:t>
            </w:r>
            <w:proofErr w:type="gramStart"/>
            <w:r w:rsidR="00DC2613" w:rsidRPr="00DC2613">
              <w:rPr>
                <w:rFonts w:hint="eastAsia"/>
                <w:sz w:val="32"/>
                <w:szCs w:val="32"/>
              </w:rPr>
              <w:t>授中民字</w:t>
            </w:r>
            <w:proofErr w:type="gramEnd"/>
            <w:r w:rsidR="00DC2613" w:rsidRPr="00DC2613">
              <w:rPr>
                <w:rFonts w:hint="eastAsia"/>
                <w:sz w:val="32"/>
                <w:szCs w:val="32"/>
              </w:rPr>
              <w:t>第0960722684號函所示，僅限於鄰長不克參加時，得由鄰長之「眷屬或其他家屬」代理參加；如非上述人員，僅得以「自費」參加，不予以「公費」支應。</w:t>
            </w:r>
          </w:p>
          <w:p w14:paraId="3FD0421B" w14:textId="671E3FCD" w:rsidR="00F16A21" w:rsidRPr="00DC2613" w:rsidRDefault="007565FB" w:rsidP="007A126E">
            <w:pPr>
              <w:pStyle w:val="Default"/>
              <w:adjustRightInd/>
              <w:jc w:val="both"/>
              <w:rPr>
                <w:sz w:val="32"/>
                <w:szCs w:val="32"/>
              </w:rPr>
            </w:pPr>
            <w:r>
              <w:rPr>
                <w:rFonts w:hint="eastAsia"/>
                <w:sz w:val="32"/>
                <w:szCs w:val="32"/>
              </w:rPr>
              <w:t xml:space="preserve">  </w:t>
            </w:r>
            <w:r w:rsidR="00DC2613" w:rsidRPr="00DC2613">
              <w:rPr>
                <w:rFonts w:hint="eastAsia"/>
                <w:sz w:val="32"/>
                <w:szCs w:val="32"/>
              </w:rPr>
              <w:t>依據</w:t>
            </w:r>
            <w:r w:rsidR="007A126E">
              <w:rPr>
                <w:rFonts w:ascii="新細明體" w:eastAsia="新細明體" w:hAnsi="新細明體" w:hint="eastAsia"/>
                <w:sz w:val="32"/>
                <w:szCs w:val="32"/>
              </w:rPr>
              <w:t>「</w:t>
            </w:r>
            <w:r w:rsidR="007A126E" w:rsidRPr="00DC2613">
              <w:rPr>
                <w:rFonts w:hint="eastAsia"/>
                <w:sz w:val="32"/>
                <w:szCs w:val="32"/>
              </w:rPr>
              <w:t>地方制度法</w:t>
            </w:r>
            <w:r w:rsidR="007A126E">
              <w:rPr>
                <w:rFonts w:ascii="新細明體" w:eastAsia="新細明體" w:hAnsi="新細明體" w:hint="eastAsia"/>
                <w:sz w:val="32"/>
                <w:szCs w:val="32"/>
              </w:rPr>
              <w:t>」</w:t>
            </w:r>
            <w:r w:rsidR="00DC2613" w:rsidRPr="00DC2613">
              <w:rPr>
                <w:rFonts w:hint="eastAsia"/>
                <w:sz w:val="32"/>
                <w:szCs w:val="32"/>
              </w:rPr>
              <w:t>第59條第1項規定，里長為依法服務於地方自治團體所屬機關而具有法定職務權限的公務員，是</w:t>
            </w:r>
            <w:r w:rsidR="007A126E">
              <w:rPr>
                <w:rFonts w:ascii="新細明體" w:eastAsia="新細明體" w:hAnsi="新細明體" w:hint="eastAsia"/>
                <w:sz w:val="32"/>
                <w:szCs w:val="32"/>
              </w:rPr>
              <w:t>「</w:t>
            </w:r>
            <w:r w:rsidR="007A126E" w:rsidRPr="00DC2613">
              <w:rPr>
                <w:rFonts w:hint="eastAsia"/>
                <w:sz w:val="32"/>
                <w:szCs w:val="32"/>
              </w:rPr>
              <w:t>刑法</w:t>
            </w:r>
            <w:r w:rsidR="007A126E">
              <w:rPr>
                <w:rFonts w:ascii="新細明體" w:eastAsia="新細明體" w:hAnsi="新細明體" w:hint="eastAsia"/>
                <w:sz w:val="32"/>
                <w:szCs w:val="32"/>
              </w:rPr>
              <w:t>」</w:t>
            </w:r>
            <w:proofErr w:type="gramStart"/>
            <w:r w:rsidR="00DC2613" w:rsidRPr="00DC2613">
              <w:rPr>
                <w:rFonts w:hint="eastAsia"/>
                <w:sz w:val="32"/>
                <w:szCs w:val="32"/>
              </w:rPr>
              <w:t>最</w:t>
            </w:r>
            <w:proofErr w:type="gramEnd"/>
            <w:r w:rsidR="00DC2613" w:rsidRPr="00DC2613">
              <w:rPr>
                <w:rFonts w:hint="eastAsia"/>
                <w:sz w:val="32"/>
                <w:szCs w:val="32"/>
              </w:rPr>
              <w:t>廣義的公務員。甲里長明知乙鄰長不克參加本次鄰長文康活動，亦明知代理參加之「眷屬或其他家屬」無須繳交任何費用，竟向有參加意願卻非上述</w:t>
            </w:r>
            <w:proofErr w:type="gramStart"/>
            <w:r w:rsidR="00DC2613" w:rsidRPr="00DC2613">
              <w:rPr>
                <w:rFonts w:hint="eastAsia"/>
                <w:sz w:val="32"/>
                <w:szCs w:val="32"/>
              </w:rPr>
              <w:t>人員之丙里民</w:t>
            </w:r>
            <w:proofErr w:type="gramEnd"/>
            <w:r w:rsidR="00DC2613" w:rsidRPr="00DC2613">
              <w:rPr>
                <w:rFonts w:hint="eastAsia"/>
                <w:sz w:val="32"/>
                <w:szCs w:val="32"/>
              </w:rPr>
              <w:t>收取 2,000元旅遊費，並編造丙里民為乙鄰長「表妹」，由丙里民假冒其眷屬代替參加；甲里長據此向A公所申請經費核銷，涉犯刑法詐欺取財罪嫌。</w:t>
            </w:r>
          </w:p>
        </w:tc>
      </w:tr>
      <w:tr w:rsidR="00F16A21" w14:paraId="2AFD1026" w14:textId="77777777" w:rsidTr="007A126E">
        <w:trPr>
          <w:trHeight w:val="4079"/>
        </w:trPr>
        <w:tc>
          <w:tcPr>
            <w:tcW w:w="1505" w:type="dxa"/>
          </w:tcPr>
          <w:p w14:paraId="09CFC8A3" w14:textId="77777777" w:rsidR="00F16A21" w:rsidRDefault="00F16A21" w:rsidP="007A126E">
            <w:pPr>
              <w:pStyle w:val="Default"/>
              <w:adjustRightInd/>
              <w:jc w:val="both"/>
              <w:rPr>
                <w:sz w:val="32"/>
                <w:szCs w:val="32"/>
              </w:rPr>
            </w:pPr>
            <w:r>
              <w:rPr>
                <w:rFonts w:hint="eastAsia"/>
                <w:sz w:val="32"/>
                <w:szCs w:val="32"/>
              </w:rPr>
              <w:t>問題風險評估</w:t>
            </w:r>
            <w:r>
              <w:rPr>
                <w:sz w:val="32"/>
                <w:szCs w:val="32"/>
              </w:rPr>
              <w:t xml:space="preserve"> </w:t>
            </w:r>
          </w:p>
        </w:tc>
        <w:tc>
          <w:tcPr>
            <w:tcW w:w="9127" w:type="dxa"/>
          </w:tcPr>
          <w:p w14:paraId="045979BD" w14:textId="35BE62B5" w:rsidR="007565FB" w:rsidRPr="007565FB" w:rsidRDefault="007565FB" w:rsidP="007A126E">
            <w:pPr>
              <w:pStyle w:val="Default"/>
              <w:numPr>
                <w:ilvl w:val="0"/>
                <w:numId w:val="3"/>
              </w:numPr>
              <w:adjustRightInd/>
              <w:ind w:left="370" w:hanging="425"/>
              <w:jc w:val="both"/>
              <w:rPr>
                <w:sz w:val="32"/>
                <w:szCs w:val="32"/>
              </w:rPr>
            </w:pPr>
            <w:r w:rsidRPr="007565FB">
              <w:rPr>
                <w:rFonts w:hint="eastAsia"/>
                <w:sz w:val="32"/>
                <w:szCs w:val="32"/>
              </w:rPr>
              <w:t>代理參加範圍不明：依內政部96年5月30日內</w:t>
            </w:r>
            <w:proofErr w:type="gramStart"/>
            <w:r w:rsidRPr="007565FB">
              <w:rPr>
                <w:rFonts w:hint="eastAsia"/>
                <w:sz w:val="32"/>
                <w:szCs w:val="32"/>
              </w:rPr>
              <w:t>授中民字</w:t>
            </w:r>
            <w:proofErr w:type="gramEnd"/>
            <w:r w:rsidRPr="007565FB">
              <w:rPr>
                <w:rFonts w:hint="eastAsia"/>
                <w:sz w:val="32"/>
                <w:szCs w:val="32"/>
              </w:rPr>
              <w:t>第0960722684號函所示，鄰長文康活動僅限於鄰長不克參加時，得由其「眷屬或其他家屬」代理參加；惟另依內政部101年6月5日內</w:t>
            </w:r>
            <w:proofErr w:type="gramStart"/>
            <w:r w:rsidRPr="007565FB">
              <w:rPr>
                <w:rFonts w:hint="eastAsia"/>
                <w:sz w:val="32"/>
                <w:szCs w:val="32"/>
              </w:rPr>
              <w:t>授中民字</w:t>
            </w:r>
            <w:proofErr w:type="gramEnd"/>
            <w:r w:rsidRPr="007565FB">
              <w:rPr>
                <w:rFonts w:hint="eastAsia"/>
                <w:sz w:val="32"/>
                <w:szCs w:val="32"/>
              </w:rPr>
              <w:t>第1015036168號函意旨，有關眷屬或家屬之稱謂，尚有共同生活戶及戶內人口均泛稱家屬等情形。是</w:t>
            </w:r>
            <w:proofErr w:type="gramStart"/>
            <w:r w:rsidRPr="007565FB">
              <w:rPr>
                <w:rFonts w:hint="eastAsia"/>
                <w:sz w:val="32"/>
                <w:szCs w:val="32"/>
              </w:rPr>
              <w:t>以</w:t>
            </w:r>
            <w:proofErr w:type="gramEnd"/>
            <w:r w:rsidRPr="007565FB">
              <w:rPr>
                <w:rFonts w:hint="eastAsia"/>
                <w:sz w:val="32"/>
                <w:szCs w:val="32"/>
              </w:rPr>
              <w:t>，如機關未明確訂定「眷屬或其家屬」之範圍，易讓不知實情之人員陷於錯誤而代理參加文康活動。</w:t>
            </w:r>
          </w:p>
          <w:p w14:paraId="11E22047" w14:textId="63DD7997" w:rsidR="00F16A21" w:rsidRPr="007565FB" w:rsidRDefault="007565FB" w:rsidP="007A126E">
            <w:pPr>
              <w:pStyle w:val="Default"/>
              <w:numPr>
                <w:ilvl w:val="0"/>
                <w:numId w:val="3"/>
              </w:numPr>
              <w:adjustRightInd/>
              <w:ind w:left="370" w:hanging="425"/>
              <w:jc w:val="both"/>
              <w:rPr>
                <w:sz w:val="32"/>
                <w:szCs w:val="32"/>
              </w:rPr>
            </w:pPr>
            <w:r w:rsidRPr="007565FB">
              <w:rPr>
                <w:rFonts w:hint="eastAsia"/>
                <w:sz w:val="32"/>
                <w:szCs w:val="32"/>
              </w:rPr>
              <w:lastRenderedPageBreak/>
              <w:t>未建立勾</w:t>
            </w:r>
            <w:proofErr w:type="gramStart"/>
            <w:r w:rsidRPr="007565FB">
              <w:rPr>
                <w:rFonts w:hint="eastAsia"/>
                <w:sz w:val="32"/>
                <w:szCs w:val="32"/>
              </w:rPr>
              <w:t>稽</w:t>
            </w:r>
            <w:proofErr w:type="gramEnd"/>
            <w:r w:rsidRPr="007565FB">
              <w:rPr>
                <w:rFonts w:hint="eastAsia"/>
                <w:sz w:val="32"/>
                <w:szCs w:val="32"/>
              </w:rPr>
              <w:t>複核機制</w:t>
            </w:r>
            <w:r>
              <w:rPr>
                <w:rFonts w:hint="eastAsia"/>
                <w:sz w:val="32"/>
                <w:szCs w:val="32"/>
              </w:rPr>
              <w:t>：</w:t>
            </w:r>
            <w:r w:rsidRPr="007565FB">
              <w:rPr>
                <w:rFonts w:hint="eastAsia"/>
                <w:sz w:val="32"/>
                <w:szCs w:val="32"/>
              </w:rPr>
              <w:t>里鄰長本人、眷屬或其他家屬人數</w:t>
            </w:r>
            <w:proofErr w:type="gramStart"/>
            <w:r w:rsidRPr="007565FB">
              <w:rPr>
                <w:rFonts w:hint="eastAsia"/>
                <w:sz w:val="32"/>
                <w:szCs w:val="32"/>
              </w:rPr>
              <w:t>眾多，</w:t>
            </w:r>
            <w:proofErr w:type="gramEnd"/>
            <w:r w:rsidRPr="007565FB">
              <w:rPr>
                <w:rFonts w:hint="eastAsia"/>
                <w:sz w:val="32"/>
                <w:szCs w:val="32"/>
              </w:rPr>
              <w:t>機關承辦人員難以辨識所有參加文康活動人員之真實身分；如僅依書面資料即辦理經費核銷，未建立參加人員身分勾</w:t>
            </w:r>
            <w:proofErr w:type="gramStart"/>
            <w:r w:rsidRPr="007565FB">
              <w:rPr>
                <w:rFonts w:hint="eastAsia"/>
                <w:sz w:val="32"/>
                <w:szCs w:val="32"/>
              </w:rPr>
              <w:t>稽</w:t>
            </w:r>
            <w:proofErr w:type="gramEnd"/>
            <w:r w:rsidRPr="007565FB">
              <w:rPr>
                <w:rFonts w:hint="eastAsia"/>
                <w:sz w:val="32"/>
                <w:szCs w:val="32"/>
              </w:rPr>
              <w:t>複核機制，易讓僥倖心態者鑽研漏洞謀利。</w:t>
            </w:r>
          </w:p>
        </w:tc>
      </w:tr>
      <w:tr w:rsidR="00F16A21" w14:paraId="1F22FB45" w14:textId="77777777" w:rsidTr="007A126E">
        <w:trPr>
          <w:trHeight w:val="718"/>
        </w:trPr>
        <w:tc>
          <w:tcPr>
            <w:tcW w:w="1505" w:type="dxa"/>
          </w:tcPr>
          <w:p w14:paraId="496138CD" w14:textId="77777777" w:rsidR="00F16A21" w:rsidRDefault="00F16A21" w:rsidP="007A126E">
            <w:pPr>
              <w:pStyle w:val="Default"/>
              <w:adjustRightInd/>
              <w:jc w:val="both"/>
              <w:rPr>
                <w:sz w:val="32"/>
                <w:szCs w:val="32"/>
              </w:rPr>
            </w:pPr>
            <w:r>
              <w:rPr>
                <w:rFonts w:hint="eastAsia"/>
                <w:sz w:val="32"/>
                <w:szCs w:val="32"/>
              </w:rPr>
              <w:lastRenderedPageBreak/>
              <w:t>防治措施</w:t>
            </w:r>
            <w:r>
              <w:rPr>
                <w:sz w:val="32"/>
                <w:szCs w:val="32"/>
              </w:rPr>
              <w:t xml:space="preserve"> </w:t>
            </w:r>
          </w:p>
        </w:tc>
        <w:tc>
          <w:tcPr>
            <w:tcW w:w="9127" w:type="dxa"/>
          </w:tcPr>
          <w:p w14:paraId="7C2E560A" w14:textId="4AE93B8C" w:rsidR="007565FB" w:rsidRPr="007565FB" w:rsidRDefault="007565FB" w:rsidP="007A126E">
            <w:pPr>
              <w:pStyle w:val="Default"/>
              <w:numPr>
                <w:ilvl w:val="0"/>
                <w:numId w:val="2"/>
              </w:numPr>
              <w:adjustRightInd/>
              <w:jc w:val="both"/>
              <w:rPr>
                <w:sz w:val="32"/>
                <w:szCs w:val="32"/>
              </w:rPr>
            </w:pPr>
            <w:r w:rsidRPr="007565FB">
              <w:rPr>
                <w:rFonts w:hint="eastAsia"/>
                <w:sz w:val="32"/>
                <w:szCs w:val="32"/>
              </w:rPr>
              <w:t>明訂代理參加範圍：鄰長屬義務職，常由眷屬或其他家屬協助服務民眾，</w:t>
            </w:r>
            <w:proofErr w:type="gramStart"/>
            <w:r w:rsidRPr="007565FB">
              <w:rPr>
                <w:rFonts w:hint="eastAsia"/>
                <w:sz w:val="32"/>
                <w:szCs w:val="32"/>
              </w:rPr>
              <w:t>爰</w:t>
            </w:r>
            <w:proofErr w:type="gramEnd"/>
            <w:r w:rsidRPr="007565FB">
              <w:rPr>
                <w:rFonts w:hint="eastAsia"/>
                <w:sz w:val="32"/>
                <w:szCs w:val="32"/>
              </w:rPr>
              <w:t>鄰 長本人不克參加里鄰長文康活動時，機關參照內政部96年5月30日內</w:t>
            </w:r>
            <w:proofErr w:type="gramStart"/>
            <w:r w:rsidRPr="007565FB">
              <w:rPr>
                <w:rFonts w:hint="eastAsia"/>
                <w:sz w:val="32"/>
                <w:szCs w:val="32"/>
              </w:rPr>
              <w:t>授中民字</w:t>
            </w:r>
            <w:proofErr w:type="gramEnd"/>
            <w:r w:rsidRPr="007565FB">
              <w:rPr>
                <w:rFonts w:hint="eastAsia"/>
                <w:sz w:val="32"/>
                <w:szCs w:val="32"/>
              </w:rPr>
              <w:t>第0960722684號函釋，得由「眷屬或其他家屬」代理參加時，應於活動計畫或注意事項明訂定代理參加人員之範圍，並敘明眷屬及其他家屬之定義，避免字義不清，引發爭議。</w:t>
            </w:r>
          </w:p>
          <w:p w14:paraId="31CCF6C0" w14:textId="037DF15B" w:rsidR="00F16A21" w:rsidRPr="007565FB" w:rsidRDefault="007565FB" w:rsidP="007A126E">
            <w:pPr>
              <w:pStyle w:val="Default"/>
              <w:numPr>
                <w:ilvl w:val="0"/>
                <w:numId w:val="2"/>
              </w:numPr>
              <w:adjustRightInd/>
              <w:jc w:val="both"/>
              <w:rPr>
                <w:sz w:val="32"/>
                <w:szCs w:val="32"/>
              </w:rPr>
            </w:pPr>
            <w:r w:rsidRPr="007565FB">
              <w:rPr>
                <w:rFonts w:hint="eastAsia"/>
                <w:sz w:val="32"/>
                <w:szCs w:val="32"/>
              </w:rPr>
              <w:t>確實查驗身分證明文件：確保實際參加文康活動人員均符合資格，機關得於報名表設計敘明代理參加關係之欄位，並檢附照片及出具聲明書，由本人自負法律責任，以達宣導及提醒作用；另於活動出發當天得請參加人員出示身分相關證明文件，由機關工作人員詳實查驗實際參加人員之身分是否符合資格。</w:t>
            </w:r>
          </w:p>
        </w:tc>
      </w:tr>
      <w:tr w:rsidR="00405831" w14:paraId="263A7686" w14:textId="77777777" w:rsidTr="007A126E">
        <w:trPr>
          <w:trHeight w:val="159"/>
        </w:trPr>
        <w:tc>
          <w:tcPr>
            <w:tcW w:w="10632" w:type="dxa"/>
            <w:gridSpan w:val="2"/>
          </w:tcPr>
          <w:p w14:paraId="3B6B80D6" w14:textId="13E3CEBF" w:rsidR="00405831" w:rsidRDefault="00405831" w:rsidP="007A126E">
            <w:pPr>
              <w:pStyle w:val="Default"/>
              <w:adjustRightInd/>
              <w:jc w:val="both"/>
              <w:rPr>
                <w:sz w:val="32"/>
                <w:szCs w:val="32"/>
              </w:rPr>
            </w:pPr>
            <w:r>
              <w:rPr>
                <w:rFonts w:hint="eastAsia"/>
                <w:sz w:val="32"/>
                <w:szCs w:val="32"/>
              </w:rPr>
              <w:t>類型二：</w:t>
            </w:r>
            <w:r w:rsidRPr="00405831">
              <w:rPr>
                <w:rFonts w:hint="eastAsia"/>
                <w:sz w:val="32"/>
                <w:szCs w:val="32"/>
              </w:rPr>
              <w:t>利用空白收據詐取財物</w:t>
            </w:r>
          </w:p>
        </w:tc>
      </w:tr>
      <w:tr w:rsidR="00405831" w14:paraId="5429EA37" w14:textId="77777777" w:rsidTr="007A126E">
        <w:trPr>
          <w:trHeight w:val="1560"/>
        </w:trPr>
        <w:tc>
          <w:tcPr>
            <w:tcW w:w="1505" w:type="dxa"/>
          </w:tcPr>
          <w:p w14:paraId="2BE1B1EC" w14:textId="77777777" w:rsidR="00405831" w:rsidRDefault="00405831" w:rsidP="007A126E">
            <w:pPr>
              <w:pStyle w:val="Default"/>
              <w:adjustRightInd/>
              <w:jc w:val="both"/>
              <w:rPr>
                <w:sz w:val="32"/>
                <w:szCs w:val="32"/>
              </w:rPr>
            </w:pPr>
            <w:r>
              <w:rPr>
                <w:rFonts w:hint="eastAsia"/>
                <w:sz w:val="32"/>
                <w:szCs w:val="32"/>
              </w:rPr>
              <w:t>案情概述</w:t>
            </w:r>
            <w:r>
              <w:rPr>
                <w:sz w:val="32"/>
                <w:szCs w:val="32"/>
              </w:rPr>
              <w:t xml:space="preserve"> </w:t>
            </w:r>
          </w:p>
        </w:tc>
        <w:tc>
          <w:tcPr>
            <w:tcW w:w="9127" w:type="dxa"/>
          </w:tcPr>
          <w:p w14:paraId="42B27B1D" w14:textId="49E00A9D" w:rsidR="00405831" w:rsidRPr="00DC2613" w:rsidRDefault="00405831" w:rsidP="007A126E">
            <w:pPr>
              <w:pStyle w:val="Default"/>
              <w:adjustRightInd/>
              <w:jc w:val="both"/>
              <w:rPr>
                <w:sz w:val="32"/>
                <w:szCs w:val="32"/>
              </w:rPr>
            </w:pPr>
            <w:r>
              <w:rPr>
                <w:rFonts w:hint="eastAsia"/>
                <w:sz w:val="32"/>
                <w:szCs w:val="32"/>
              </w:rPr>
              <w:t xml:space="preserve">  </w:t>
            </w:r>
            <w:proofErr w:type="gramStart"/>
            <w:r w:rsidRPr="00405831">
              <w:rPr>
                <w:rFonts w:hint="eastAsia"/>
                <w:sz w:val="32"/>
                <w:szCs w:val="32"/>
              </w:rPr>
              <w:t>某市里長</w:t>
            </w:r>
            <w:proofErr w:type="gramEnd"/>
            <w:r w:rsidRPr="00405831">
              <w:rPr>
                <w:rFonts w:hint="eastAsia"/>
                <w:sz w:val="32"/>
                <w:szCs w:val="32"/>
              </w:rPr>
              <w:t>係依法服務於地方自治團體所屬機關，而具有法定職務權限之公務員。依據里基層工作經費規定，有關「志工餐點」、</w:t>
            </w:r>
            <w:r w:rsidRPr="00405831">
              <w:rPr>
                <w:rFonts w:hint="eastAsia"/>
                <w:sz w:val="32"/>
                <w:szCs w:val="32"/>
              </w:rPr>
              <w:lastRenderedPageBreak/>
              <w:t>「里守望相助隊員夜點費」每人每次新臺幣(下同)80元，各項費用每月以1萬元為限，里長向不知情商家取得空白免用統一發票收據並於收據上虛偽填載購買日期、品名、單價、數量及總價不實內容，佯稱以環保志工點心、巡守隊夜點費、購買打掃用具、清潔品等名義等不實「里基層工作經費核銷單」、向公所請領「義工餐點」、「里守望相助隊員夜點費」等費用，經公所書面審核通過後，里長</w:t>
            </w:r>
            <w:proofErr w:type="gramStart"/>
            <w:r w:rsidRPr="00405831">
              <w:rPr>
                <w:rFonts w:hint="eastAsia"/>
                <w:sz w:val="32"/>
                <w:szCs w:val="32"/>
              </w:rPr>
              <w:t>詐領里基層</w:t>
            </w:r>
            <w:proofErr w:type="gramEnd"/>
            <w:r w:rsidRPr="00405831">
              <w:rPr>
                <w:rFonts w:hint="eastAsia"/>
                <w:sz w:val="32"/>
                <w:szCs w:val="32"/>
              </w:rPr>
              <w:t>工作經費37萬8,420元。</w:t>
            </w:r>
          </w:p>
        </w:tc>
      </w:tr>
      <w:tr w:rsidR="00405831" w14:paraId="1A56339E" w14:textId="77777777" w:rsidTr="007A126E">
        <w:trPr>
          <w:trHeight w:val="2779"/>
        </w:trPr>
        <w:tc>
          <w:tcPr>
            <w:tcW w:w="1505" w:type="dxa"/>
          </w:tcPr>
          <w:p w14:paraId="670B2249" w14:textId="77777777" w:rsidR="00405831" w:rsidRDefault="00405831" w:rsidP="007A126E">
            <w:pPr>
              <w:pStyle w:val="Default"/>
              <w:adjustRightInd/>
              <w:jc w:val="both"/>
              <w:rPr>
                <w:sz w:val="32"/>
                <w:szCs w:val="32"/>
              </w:rPr>
            </w:pPr>
            <w:r>
              <w:rPr>
                <w:rFonts w:hint="eastAsia"/>
                <w:sz w:val="32"/>
                <w:szCs w:val="32"/>
              </w:rPr>
              <w:lastRenderedPageBreak/>
              <w:t>問題風險評估</w:t>
            </w:r>
            <w:r>
              <w:rPr>
                <w:sz w:val="32"/>
                <w:szCs w:val="32"/>
              </w:rPr>
              <w:t xml:space="preserve"> </w:t>
            </w:r>
          </w:p>
        </w:tc>
        <w:tc>
          <w:tcPr>
            <w:tcW w:w="9127" w:type="dxa"/>
          </w:tcPr>
          <w:p w14:paraId="21597062" w14:textId="49703A3C" w:rsidR="007A126E" w:rsidRPr="007A126E" w:rsidRDefault="00405831" w:rsidP="007A126E">
            <w:pPr>
              <w:pStyle w:val="Default"/>
              <w:numPr>
                <w:ilvl w:val="0"/>
                <w:numId w:val="5"/>
              </w:numPr>
              <w:adjustRightInd/>
              <w:ind w:left="512" w:hanging="567"/>
              <w:jc w:val="both"/>
              <w:rPr>
                <w:sz w:val="32"/>
                <w:szCs w:val="32"/>
              </w:rPr>
            </w:pPr>
            <w:r w:rsidRPr="007A126E">
              <w:rPr>
                <w:sz w:val="32"/>
                <w:szCs w:val="32"/>
              </w:rPr>
              <w:t>缺乏法治觀念：里長法治觀念薄弱，利用職務上之機會詐取財物，導致自身觸法，影響甚大。</w:t>
            </w:r>
          </w:p>
          <w:p w14:paraId="7A5E9A66" w14:textId="1B943F9F" w:rsidR="00405831" w:rsidRPr="007A126E" w:rsidRDefault="00405831" w:rsidP="007A126E">
            <w:pPr>
              <w:pStyle w:val="Default"/>
              <w:numPr>
                <w:ilvl w:val="0"/>
                <w:numId w:val="5"/>
              </w:numPr>
              <w:adjustRightInd/>
              <w:ind w:left="512" w:hanging="567"/>
              <w:jc w:val="both"/>
              <w:rPr>
                <w:sz w:val="32"/>
                <w:szCs w:val="32"/>
              </w:rPr>
            </w:pPr>
            <w:r w:rsidRPr="007A126E">
              <w:rPr>
                <w:sz w:val="32"/>
                <w:szCs w:val="32"/>
              </w:rPr>
              <w:t>僥倖心理便宜行事：里長利用平時蒐集之空白免用統一發票收據，用以填寫不實內容</w:t>
            </w:r>
            <w:proofErr w:type="gramStart"/>
            <w:r w:rsidRPr="007A126E">
              <w:rPr>
                <w:sz w:val="32"/>
                <w:szCs w:val="32"/>
              </w:rPr>
              <w:t>詐領里基層</w:t>
            </w:r>
            <w:proofErr w:type="gramEnd"/>
            <w:r w:rsidRPr="007A126E">
              <w:rPr>
                <w:sz w:val="32"/>
                <w:szCs w:val="32"/>
              </w:rPr>
              <w:t>工作經費，對於提供空白免用統一發票收據之店家而言並不知曉里長用途，除使申請款項之支出憑證失去其真實性，也易導致里長、里幹事及廠商間無法互信，徒</w:t>
            </w:r>
            <w:proofErr w:type="gramStart"/>
            <w:r w:rsidRPr="007A126E">
              <w:rPr>
                <w:sz w:val="32"/>
                <w:szCs w:val="32"/>
              </w:rPr>
              <w:t>增加里政業務</w:t>
            </w:r>
            <w:proofErr w:type="gramEnd"/>
            <w:r w:rsidRPr="007A126E">
              <w:rPr>
                <w:sz w:val="32"/>
                <w:szCs w:val="32"/>
              </w:rPr>
              <w:t>推動困難。</w:t>
            </w:r>
          </w:p>
        </w:tc>
      </w:tr>
      <w:tr w:rsidR="00405831" w14:paraId="6B08BE25" w14:textId="77777777" w:rsidTr="007A126E">
        <w:trPr>
          <w:trHeight w:val="718"/>
        </w:trPr>
        <w:tc>
          <w:tcPr>
            <w:tcW w:w="1505" w:type="dxa"/>
          </w:tcPr>
          <w:p w14:paraId="7806F1E9" w14:textId="77777777" w:rsidR="00405831" w:rsidRDefault="00405831" w:rsidP="007A126E">
            <w:pPr>
              <w:pStyle w:val="Default"/>
              <w:adjustRightInd/>
              <w:jc w:val="both"/>
              <w:rPr>
                <w:sz w:val="32"/>
                <w:szCs w:val="32"/>
              </w:rPr>
            </w:pPr>
            <w:r>
              <w:rPr>
                <w:rFonts w:hint="eastAsia"/>
                <w:sz w:val="32"/>
                <w:szCs w:val="32"/>
              </w:rPr>
              <w:t>防治措施</w:t>
            </w:r>
            <w:r>
              <w:rPr>
                <w:sz w:val="32"/>
                <w:szCs w:val="32"/>
              </w:rPr>
              <w:t xml:space="preserve"> </w:t>
            </w:r>
          </w:p>
        </w:tc>
        <w:tc>
          <w:tcPr>
            <w:tcW w:w="9127" w:type="dxa"/>
          </w:tcPr>
          <w:p w14:paraId="63034342" w14:textId="77777777" w:rsidR="007A126E" w:rsidRDefault="00405831" w:rsidP="007A126E">
            <w:pPr>
              <w:pStyle w:val="Default"/>
              <w:numPr>
                <w:ilvl w:val="0"/>
                <w:numId w:val="6"/>
              </w:numPr>
              <w:adjustRightInd/>
              <w:ind w:hanging="535"/>
              <w:jc w:val="both"/>
              <w:rPr>
                <w:sz w:val="32"/>
                <w:szCs w:val="32"/>
              </w:rPr>
            </w:pPr>
            <w:r w:rsidRPr="00405831">
              <w:rPr>
                <w:rFonts w:hint="eastAsia"/>
                <w:sz w:val="32"/>
                <w:szCs w:val="32"/>
              </w:rPr>
              <w:t>辦理教育訓練及法令宣導：每年透過講習，將相關案例列入教材，使里幹事及里長知法守法，以瞭解相關規定，避免誤觸法令，特別針對單據核銷不實可能涉及刑事及行政責任進行宣導，提高風險意識。</w:t>
            </w:r>
          </w:p>
          <w:p w14:paraId="08D0923B" w14:textId="49732FF2" w:rsidR="00405831" w:rsidRPr="007A126E" w:rsidRDefault="00405831" w:rsidP="007A126E">
            <w:pPr>
              <w:pStyle w:val="Default"/>
              <w:numPr>
                <w:ilvl w:val="0"/>
                <w:numId w:val="6"/>
              </w:numPr>
              <w:adjustRightInd/>
              <w:ind w:hanging="535"/>
              <w:jc w:val="both"/>
              <w:rPr>
                <w:sz w:val="32"/>
                <w:szCs w:val="32"/>
              </w:rPr>
            </w:pPr>
            <w:r w:rsidRPr="007A126E">
              <w:rPr>
                <w:rFonts w:hint="eastAsia"/>
                <w:sz w:val="32"/>
                <w:szCs w:val="32"/>
              </w:rPr>
              <w:t>強化行政透明、民眾法紀宣導：公開里基層工作經費規範及核銷標準作業流程於機關網頁供民眾查詢及外部檢視，及公開宣導教材於機關網頁，提醒民眾及廠商相關法令。</w:t>
            </w:r>
          </w:p>
          <w:p w14:paraId="4486A0E6" w14:textId="79437C66" w:rsidR="00405831" w:rsidRPr="00405831" w:rsidRDefault="00405831" w:rsidP="007A126E">
            <w:pPr>
              <w:pStyle w:val="Default"/>
              <w:numPr>
                <w:ilvl w:val="0"/>
                <w:numId w:val="6"/>
              </w:numPr>
              <w:adjustRightInd/>
              <w:jc w:val="both"/>
              <w:rPr>
                <w:sz w:val="32"/>
                <w:szCs w:val="32"/>
              </w:rPr>
            </w:pPr>
            <w:r w:rsidRPr="00405831">
              <w:rPr>
                <w:rFonts w:hint="eastAsia"/>
                <w:sz w:val="32"/>
                <w:szCs w:val="32"/>
              </w:rPr>
              <w:lastRenderedPageBreak/>
              <w:t>強化審查核銷資料:</w:t>
            </w:r>
            <w:proofErr w:type="gramStart"/>
            <w:r w:rsidRPr="00405831">
              <w:rPr>
                <w:rFonts w:hint="eastAsia"/>
                <w:sz w:val="32"/>
                <w:szCs w:val="32"/>
              </w:rPr>
              <w:t>請里幹事</w:t>
            </w:r>
            <w:proofErr w:type="gramEnd"/>
            <w:r w:rsidRPr="00405831">
              <w:rPr>
                <w:rFonts w:hint="eastAsia"/>
                <w:sz w:val="32"/>
                <w:szCs w:val="32"/>
              </w:rPr>
              <w:t>協助檢視里長提供核銷資料時進一步提醒有無缺漏資料；承辦單位應善盡審核督導責任及檢視核銷內容有無異常。</w:t>
            </w:r>
          </w:p>
          <w:p w14:paraId="456C6919" w14:textId="345C8F7B" w:rsidR="00405831" w:rsidRPr="007565FB" w:rsidRDefault="00405831" w:rsidP="007A126E">
            <w:pPr>
              <w:pStyle w:val="Default"/>
              <w:numPr>
                <w:ilvl w:val="0"/>
                <w:numId w:val="6"/>
              </w:numPr>
              <w:adjustRightInd/>
              <w:jc w:val="both"/>
              <w:rPr>
                <w:sz w:val="32"/>
                <w:szCs w:val="32"/>
              </w:rPr>
            </w:pPr>
            <w:r w:rsidRPr="00405831">
              <w:rPr>
                <w:rFonts w:hint="eastAsia"/>
                <w:sz w:val="32"/>
                <w:szCs w:val="32"/>
              </w:rPr>
              <w:t>落實查核及複查機制:公所落實自主定期查核及市府民政局每年度不定期查核公所辦理里基層工作經費執行情形，除可落實個案輔導及強化複查機制，及時預警及避免違失發生。</w:t>
            </w:r>
          </w:p>
        </w:tc>
      </w:tr>
    </w:tbl>
    <w:p w14:paraId="105EC025" w14:textId="77777777" w:rsidR="00B4124F" w:rsidRPr="00405831" w:rsidRDefault="00B4124F" w:rsidP="00F16A21"/>
    <w:p w14:paraId="65C74AFC" w14:textId="77777777" w:rsidR="007A126E" w:rsidRDefault="007A126E" w:rsidP="00405831">
      <w:pPr>
        <w:pStyle w:val="Default"/>
        <w:jc w:val="center"/>
        <w:rPr>
          <w:sz w:val="40"/>
          <w:szCs w:val="40"/>
        </w:rPr>
      </w:pPr>
    </w:p>
    <w:p w14:paraId="455A176C" w14:textId="77777777" w:rsidR="007A126E" w:rsidRDefault="007A126E" w:rsidP="00405831">
      <w:pPr>
        <w:pStyle w:val="Default"/>
        <w:jc w:val="center"/>
        <w:rPr>
          <w:sz w:val="40"/>
          <w:szCs w:val="40"/>
        </w:rPr>
      </w:pPr>
    </w:p>
    <w:p w14:paraId="663E20D4" w14:textId="77777777" w:rsidR="007A126E" w:rsidRDefault="007A126E" w:rsidP="00405831">
      <w:pPr>
        <w:pStyle w:val="Default"/>
        <w:jc w:val="center"/>
        <w:rPr>
          <w:sz w:val="40"/>
          <w:szCs w:val="40"/>
        </w:rPr>
      </w:pPr>
    </w:p>
    <w:p w14:paraId="1FDC169C" w14:textId="77777777" w:rsidR="007A126E" w:rsidRDefault="007A126E" w:rsidP="00405831">
      <w:pPr>
        <w:pStyle w:val="Default"/>
        <w:jc w:val="center"/>
        <w:rPr>
          <w:sz w:val="40"/>
          <w:szCs w:val="40"/>
        </w:rPr>
      </w:pPr>
    </w:p>
    <w:p w14:paraId="3F336AD1" w14:textId="77777777" w:rsidR="007A126E" w:rsidRDefault="007A126E" w:rsidP="00405831">
      <w:pPr>
        <w:pStyle w:val="Default"/>
        <w:jc w:val="center"/>
        <w:rPr>
          <w:sz w:val="40"/>
          <w:szCs w:val="40"/>
        </w:rPr>
      </w:pPr>
    </w:p>
    <w:p w14:paraId="345D3CAF" w14:textId="77777777" w:rsidR="007A126E" w:rsidRDefault="007A126E" w:rsidP="00405831">
      <w:pPr>
        <w:pStyle w:val="Default"/>
        <w:jc w:val="center"/>
        <w:rPr>
          <w:sz w:val="40"/>
          <w:szCs w:val="40"/>
        </w:rPr>
      </w:pPr>
    </w:p>
    <w:p w14:paraId="7BCEB51B" w14:textId="77777777" w:rsidR="007A126E" w:rsidRDefault="007A126E" w:rsidP="00405831">
      <w:pPr>
        <w:pStyle w:val="Default"/>
        <w:jc w:val="center"/>
        <w:rPr>
          <w:sz w:val="40"/>
          <w:szCs w:val="40"/>
        </w:rPr>
      </w:pPr>
    </w:p>
    <w:p w14:paraId="55862BBB" w14:textId="77777777" w:rsidR="007A126E" w:rsidRDefault="007A126E" w:rsidP="00405831">
      <w:pPr>
        <w:pStyle w:val="Default"/>
        <w:jc w:val="center"/>
        <w:rPr>
          <w:sz w:val="40"/>
          <w:szCs w:val="40"/>
        </w:rPr>
      </w:pPr>
    </w:p>
    <w:p w14:paraId="53F4DAF0" w14:textId="77777777" w:rsidR="007A126E" w:rsidRDefault="007A126E" w:rsidP="00405831">
      <w:pPr>
        <w:pStyle w:val="Default"/>
        <w:jc w:val="center"/>
        <w:rPr>
          <w:sz w:val="40"/>
          <w:szCs w:val="40"/>
        </w:rPr>
      </w:pPr>
    </w:p>
    <w:p w14:paraId="0FCD630E" w14:textId="77777777" w:rsidR="007A126E" w:rsidRDefault="007A126E" w:rsidP="00405831">
      <w:pPr>
        <w:pStyle w:val="Default"/>
        <w:jc w:val="center"/>
        <w:rPr>
          <w:sz w:val="40"/>
          <w:szCs w:val="40"/>
        </w:rPr>
      </w:pPr>
    </w:p>
    <w:p w14:paraId="0BED1CEA" w14:textId="77777777" w:rsidR="007A126E" w:rsidRDefault="007A126E" w:rsidP="00405831">
      <w:pPr>
        <w:pStyle w:val="Default"/>
        <w:jc w:val="center"/>
        <w:rPr>
          <w:sz w:val="40"/>
          <w:szCs w:val="40"/>
        </w:rPr>
      </w:pPr>
    </w:p>
    <w:p w14:paraId="63683FB2" w14:textId="77777777" w:rsidR="007A126E" w:rsidRDefault="007A126E" w:rsidP="00405831">
      <w:pPr>
        <w:pStyle w:val="Default"/>
        <w:jc w:val="center"/>
        <w:rPr>
          <w:sz w:val="40"/>
          <w:szCs w:val="40"/>
        </w:rPr>
      </w:pPr>
    </w:p>
    <w:p w14:paraId="5FB8921D" w14:textId="77777777" w:rsidR="007A126E" w:rsidRDefault="007A126E" w:rsidP="00405831">
      <w:pPr>
        <w:pStyle w:val="Default"/>
        <w:jc w:val="center"/>
        <w:rPr>
          <w:sz w:val="40"/>
          <w:szCs w:val="40"/>
        </w:rPr>
      </w:pPr>
    </w:p>
    <w:p w14:paraId="592A2D26" w14:textId="77777777" w:rsidR="007A126E" w:rsidRDefault="007A126E" w:rsidP="00405831">
      <w:pPr>
        <w:pStyle w:val="Default"/>
        <w:jc w:val="center"/>
        <w:rPr>
          <w:sz w:val="40"/>
          <w:szCs w:val="40"/>
        </w:rPr>
      </w:pPr>
    </w:p>
    <w:p w14:paraId="72E44BAA" w14:textId="46CA479D" w:rsidR="00F16A21" w:rsidRPr="007A126E" w:rsidRDefault="007565FB" w:rsidP="00405831">
      <w:pPr>
        <w:pStyle w:val="Default"/>
        <w:jc w:val="center"/>
        <w:rPr>
          <w:sz w:val="32"/>
          <w:szCs w:val="32"/>
        </w:rPr>
      </w:pPr>
      <w:proofErr w:type="gramStart"/>
      <w:r w:rsidRPr="007A126E">
        <w:rPr>
          <w:rFonts w:hint="eastAsia"/>
          <w:sz w:val="48"/>
          <w:szCs w:val="48"/>
        </w:rPr>
        <w:lastRenderedPageBreak/>
        <w:t>臺</w:t>
      </w:r>
      <w:proofErr w:type="gramEnd"/>
      <w:r w:rsidRPr="007A126E">
        <w:rPr>
          <w:rFonts w:hint="eastAsia"/>
          <w:sz w:val="48"/>
          <w:szCs w:val="48"/>
        </w:rPr>
        <w:t>南市六甲區公所</w:t>
      </w:r>
      <w:proofErr w:type="gramStart"/>
      <w:r w:rsidRPr="007A126E">
        <w:rPr>
          <w:rFonts w:hint="eastAsia"/>
          <w:sz w:val="48"/>
          <w:szCs w:val="48"/>
        </w:rPr>
        <w:t>113</w:t>
      </w:r>
      <w:proofErr w:type="gramEnd"/>
      <w:r w:rsidRPr="007A126E">
        <w:rPr>
          <w:rFonts w:hint="eastAsia"/>
          <w:sz w:val="48"/>
          <w:szCs w:val="48"/>
        </w:rPr>
        <w:t>年度廉政防貪指引</w:t>
      </w:r>
      <w:proofErr w:type="gramStart"/>
      <w:r w:rsidRPr="007A126E">
        <w:rPr>
          <w:sz w:val="48"/>
          <w:szCs w:val="48"/>
        </w:rPr>
        <w:t>—</w:t>
      </w:r>
      <w:proofErr w:type="gramEnd"/>
      <w:r w:rsidRPr="007A126E">
        <w:rPr>
          <w:rFonts w:hint="eastAsia"/>
          <w:sz w:val="48"/>
          <w:szCs w:val="48"/>
        </w:rPr>
        <w:t>工程篇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682"/>
      </w:tblGrid>
      <w:tr w:rsidR="00F16A21" w14:paraId="695791FD" w14:textId="77777777" w:rsidTr="007A126E">
        <w:trPr>
          <w:trHeight w:val="159"/>
        </w:trPr>
        <w:tc>
          <w:tcPr>
            <w:tcW w:w="10350" w:type="dxa"/>
            <w:gridSpan w:val="2"/>
          </w:tcPr>
          <w:p w14:paraId="24B9073E" w14:textId="37637D12" w:rsidR="00F16A21" w:rsidRDefault="00F16A21" w:rsidP="007A126E">
            <w:pPr>
              <w:pStyle w:val="Default"/>
              <w:adjustRightInd/>
              <w:rPr>
                <w:sz w:val="32"/>
                <w:szCs w:val="32"/>
              </w:rPr>
            </w:pPr>
            <w:r>
              <w:rPr>
                <w:rFonts w:hint="eastAsia"/>
                <w:sz w:val="32"/>
                <w:szCs w:val="32"/>
              </w:rPr>
              <w:t>類型</w:t>
            </w:r>
            <w:proofErr w:type="gramStart"/>
            <w:r w:rsidR="00405831">
              <w:rPr>
                <w:rFonts w:hint="eastAsia"/>
                <w:sz w:val="32"/>
                <w:szCs w:val="32"/>
              </w:rPr>
              <w:t>一</w:t>
            </w:r>
            <w:proofErr w:type="gramEnd"/>
            <w:r>
              <w:rPr>
                <w:rFonts w:hint="eastAsia"/>
                <w:sz w:val="32"/>
                <w:szCs w:val="32"/>
              </w:rPr>
              <w:t>：</w:t>
            </w:r>
            <w:r w:rsidR="007565FB" w:rsidRPr="007565FB">
              <w:rPr>
                <w:rFonts w:hint="eastAsia"/>
                <w:sz w:val="32"/>
                <w:szCs w:val="32"/>
              </w:rPr>
              <w:t>驗收不實，浮報電</w:t>
            </w:r>
            <w:proofErr w:type="gramStart"/>
            <w:r w:rsidR="007565FB" w:rsidRPr="007565FB">
              <w:rPr>
                <w:rFonts w:hint="eastAsia"/>
                <w:sz w:val="32"/>
                <w:szCs w:val="32"/>
              </w:rPr>
              <w:t>桿</w:t>
            </w:r>
            <w:proofErr w:type="gramEnd"/>
            <w:r w:rsidR="007565FB" w:rsidRPr="007565FB">
              <w:rPr>
                <w:rFonts w:hint="eastAsia"/>
                <w:sz w:val="32"/>
                <w:szCs w:val="32"/>
              </w:rPr>
              <w:t>設置數量案</w:t>
            </w:r>
          </w:p>
        </w:tc>
      </w:tr>
      <w:tr w:rsidR="00F16A21" w14:paraId="3EB080EF" w14:textId="77777777" w:rsidTr="007A126E">
        <w:trPr>
          <w:trHeight w:val="1279"/>
        </w:trPr>
        <w:tc>
          <w:tcPr>
            <w:tcW w:w="1668" w:type="dxa"/>
          </w:tcPr>
          <w:p w14:paraId="5F888727" w14:textId="77777777" w:rsidR="00F16A21" w:rsidRDefault="00F16A21" w:rsidP="007A126E">
            <w:pPr>
              <w:pStyle w:val="Default"/>
              <w:adjustRightInd/>
              <w:rPr>
                <w:sz w:val="32"/>
                <w:szCs w:val="32"/>
              </w:rPr>
            </w:pPr>
            <w:r>
              <w:rPr>
                <w:rFonts w:hint="eastAsia"/>
                <w:sz w:val="32"/>
                <w:szCs w:val="32"/>
              </w:rPr>
              <w:t>案情概述</w:t>
            </w:r>
            <w:r>
              <w:rPr>
                <w:sz w:val="32"/>
                <w:szCs w:val="32"/>
              </w:rPr>
              <w:t xml:space="preserve"> </w:t>
            </w:r>
          </w:p>
        </w:tc>
        <w:tc>
          <w:tcPr>
            <w:tcW w:w="8682" w:type="dxa"/>
          </w:tcPr>
          <w:p w14:paraId="13B5C0C2" w14:textId="50978288" w:rsidR="00F16A21" w:rsidRDefault="007A126E" w:rsidP="007A126E">
            <w:pPr>
              <w:pStyle w:val="Default"/>
              <w:adjustRightInd/>
              <w:rPr>
                <w:sz w:val="32"/>
                <w:szCs w:val="32"/>
              </w:rPr>
            </w:pPr>
            <w:r>
              <w:rPr>
                <w:rFonts w:hint="eastAsia"/>
                <w:sz w:val="32"/>
                <w:szCs w:val="32"/>
              </w:rPr>
              <w:t xml:space="preserve">  </w:t>
            </w:r>
            <w:r w:rsidR="007565FB" w:rsidRPr="007565FB">
              <w:rPr>
                <w:rFonts w:hint="eastAsia"/>
                <w:sz w:val="32"/>
                <w:szCs w:val="32"/>
              </w:rPr>
              <w:t>甲為機關技士，依機關指派擔任路燈改善工程開口合約案之監工，該工程之施工項目為電</w:t>
            </w:r>
            <w:proofErr w:type="gramStart"/>
            <w:r w:rsidR="007565FB" w:rsidRPr="007565FB">
              <w:rPr>
                <w:rFonts w:hint="eastAsia"/>
                <w:sz w:val="32"/>
                <w:szCs w:val="32"/>
              </w:rPr>
              <w:t>桿</w:t>
            </w:r>
            <w:proofErr w:type="gramEnd"/>
            <w:r w:rsidR="007565FB" w:rsidRPr="007565FB">
              <w:rPr>
                <w:rFonts w:hint="eastAsia"/>
                <w:sz w:val="32"/>
                <w:szCs w:val="32"/>
              </w:rPr>
              <w:t>埋設、水銀燈具及電纜線全部更新。某次廠商於施工</w:t>
            </w:r>
            <w:proofErr w:type="gramStart"/>
            <w:r w:rsidR="007565FB" w:rsidRPr="007565FB">
              <w:rPr>
                <w:rFonts w:hint="eastAsia"/>
                <w:sz w:val="32"/>
                <w:szCs w:val="32"/>
              </w:rPr>
              <w:t>期間，</w:t>
            </w:r>
            <w:proofErr w:type="gramEnd"/>
            <w:r w:rsidR="007565FB" w:rsidRPr="007565FB">
              <w:rPr>
                <w:rFonts w:hint="eastAsia"/>
                <w:sz w:val="32"/>
                <w:szCs w:val="32"/>
              </w:rPr>
              <w:t>在電</w:t>
            </w:r>
            <w:proofErr w:type="gramStart"/>
            <w:r w:rsidR="007565FB" w:rsidRPr="007565FB">
              <w:rPr>
                <w:rFonts w:hint="eastAsia"/>
                <w:sz w:val="32"/>
                <w:szCs w:val="32"/>
              </w:rPr>
              <w:t>桿</w:t>
            </w:r>
            <w:proofErr w:type="gramEnd"/>
            <w:r w:rsidR="007565FB" w:rsidRPr="007565FB">
              <w:rPr>
                <w:rFonts w:hint="eastAsia"/>
                <w:sz w:val="32"/>
                <w:szCs w:val="32"/>
              </w:rPr>
              <w:t>埋設部分偷工減料，未依合約設計圖施設</w:t>
            </w:r>
            <w:r w:rsidR="007565FB" w:rsidRPr="007565FB">
              <w:rPr>
                <w:sz w:val="32"/>
                <w:szCs w:val="32"/>
              </w:rPr>
              <w:t>10</w:t>
            </w:r>
            <w:r w:rsidR="007565FB" w:rsidRPr="007565FB">
              <w:rPr>
                <w:rFonts w:hint="eastAsia"/>
                <w:sz w:val="32"/>
                <w:szCs w:val="32"/>
              </w:rPr>
              <w:t>支，而僅施設</w:t>
            </w:r>
            <w:r w:rsidR="007565FB" w:rsidRPr="007565FB">
              <w:rPr>
                <w:sz w:val="32"/>
                <w:szCs w:val="32"/>
              </w:rPr>
              <w:t>3</w:t>
            </w:r>
            <w:r w:rsidR="007565FB" w:rsidRPr="007565FB">
              <w:rPr>
                <w:rFonts w:hint="eastAsia"/>
                <w:sz w:val="32"/>
                <w:szCs w:val="32"/>
              </w:rPr>
              <w:t>支。甲會同乙驗收時，依施工圖說及契約均</w:t>
            </w:r>
            <w:proofErr w:type="gramStart"/>
            <w:r w:rsidR="007565FB" w:rsidRPr="007565FB">
              <w:rPr>
                <w:rFonts w:hint="eastAsia"/>
                <w:sz w:val="32"/>
                <w:szCs w:val="32"/>
              </w:rPr>
              <w:t>明知該施設</w:t>
            </w:r>
            <w:proofErr w:type="gramEnd"/>
            <w:r w:rsidR="007565FB" w:rsidRPr="007565FB">
              <w:rPr>
                <w:rFonts w:hint="eastAsia"/>
                <w:sz w:val="32"/>
                <w:szCs w:val="32"/>
              </w:rPr>
              <w:t>之電</w:t>
            </w:r>
            <w:proofErr w:type="gramStart"/>
            <w:r w:rsidR="007565FB" w:rsidRPr="007565FB">
              <w:rPr>
                <w:rFonts w:hint="eastAsia"/>
                <w:sz w:val="32"/>
                <w:szCs w:val="32"/>
              </w:rPr>
              <w:t>桿</w:t>
            </w:r>
            <w:proofErr w:type="gramEnd"/>
            <w:r w:rsidR="007565FB" w:rsidRPr="007565FB">
              <w:rPr>
                <w:rFonts w:hint="eastAsia"/>
                <w:sz w:val="32"/>
                <w:szCs w:val="32"/>
              </w:rPr>
              <w:t>未依合約數量施作，有</w:t>
            </w:r>
            <w:r w:rsidR="007565FB" w:rsidRPr="007565FB">
              <w:rPr>
                <w:sz w:val="32"/>
                <w:szCs w:val="32"/>
              </w:rPr>
              <w:t>7</w:t>
            </w:r>
            <w:r w:rsidR="007565FB" w:rsidRPr="007565FB">
              <w:rPr>
                <w:rFonts w:hint="eastAsia"/>
                <w:sz w:val="32"/>
                <w:szCs w:val="32"/>
              </w:rPr>
              <w:t>支未施設之偷工減料情形，竟予以驗收通過，期末由甲以不實之數量製作該工程之結算明細表及驗收證明書並簽陳機關辦理結算付款。</w:t>
            </w:r>
            <w:r w:rsidR="00F16A21">
              <w:rPr>
                <w:sz w:val="32"/>
                <w:szCs w:val="32"/>
              </w:rPr>
              <w:t xml:space="preserve"> </w:t>
            </w:r>
          </w:p>
        </w:tc>
      </w:tr>
      <w:tr w:rsidR="00F16A21" w14:paraId="093C12BB" w14:textId="77777777" w:rsidTr="007A126E">
        <w:trPr>
          <w:trHeight w:val="2047"/>
        </w:trPr>
        <w:tc>
          <w:tcPr>
            <w:tcW w:w="1668" w:type="dxa"/>
          </w:tcPr>
          <w:p w14:paraId="144F1BFB" w14:textId="77777777" w:rsidR="00F16A21" w:rsidRDefault="00F16A21" w:rsidP="007A126E">
            <w:pPr>
              <w:pStyle w:val="Default"/>
              <w:adjustRightInd/>
              <w:rPr>
                <w:sz w:val="32"/>
                <w:szCs w:val="32"/>
              </w:rPr>
            </w:pPr>
            <w:r>
              <w:rPr>
                <w:rFonts w:hint="eastAsia"/>
                <w:sz w:val="32"/>
                <w:szCs w:val="32"/>
              </w:rPr>
              <w:t>問題風險評估</w:t>
            </w:r>
            <w:r>
              <w:rPr>
                <w:sz w:val="32"/>
                <w:szCs w:val="32"/>
              </w:rPr>
              <w:t xml:space="preserve"> </w:t>
            </w:r>
          </w:p>
        </w:tc>
        <w:tc>
          <w:tcPr>
            <w:tcW w:w="8682" w:type="dxa"/>
          </w:tcPr>
          <w:p w14:paraId="2EA68EA5" w14:textId="77777777" w:rsidR="007A126E" w:rsidRDefault="007565FB" w:rsidP="007A126E">
            <w:pPr>
              <w:pStyle w:val="Default"/>
              <w:numPr>
                <w:ilvl w:val="0"/>
                <w:numId w:val="8"/>
              </w:numPr>
              <w:adjustRightInd/>
              <w:ind w:left="521" w:hanging="567"/>
              <w:rPr>
                <w:sz w:val="32"/>
                <w:szCs w:val="32"/>
              </w:rPr>
            </w:pPr>
            <w:r w:rsidRPr="007565FB">
              <w:rPr>
                <w:rFonts w:hint="eastAsia"/>
                <w:sz w:val="32"/>
                <w:szCs w:val="32"/>
              </w:rPr>
              <w:t>核銷文件形式審查疏漏：驗收人員未熟稔採購內容，未能核實依契約規範進行驗收，或是收受賄賂勾結舞弊利益高度裁量空間圖利廠商。</w:t>
            </w:r>
          </w:p>
          <w:p w14:paraId="163BA52B" w14:textId="318AA346" w:rsidR="00F16A21" w:rsidRPr="007A126E" w:rsidRDefault="007565FB" w:rsidP="007A126E">
            <w:pPr>
              <w:pStyle w:val="Default"/>
              <w:numPr>
                <w:ilvl w:val="0"/>
                <w:numId w:val="8"/>
              </w:numPr>
              <w:adjustRightInd/>
              <w:ind w:left="521" w:hanging="567"/>
              <w:rPr>
                <w:sz w:val="32"/>
                <w:szCs w:val="32"/>
              </w:rPr>
            </w:pPr>
            <w:r w:rsidRPr="007A126E">
              <w:rPr>
                <w:rFonts w:hint="eastAsia"/>
                <w:sz w:val="32"/>
                <w:szCs w:val="32"/>
              </w:rPr>
              <w:t>承辦人員廉政風險意識不足：採購承辦人員對於採購公文書上所載內容之真實性或正確性之重視程度不足。</w:t>
            </w:r>
          </w:p>
        </w:tc>
      </w:tr>
      <w:tr w:rsidR="00F16A21" w14:paraId="2E3B035C" w14:textId="77777777" w:rsidTr="007A126E">
        <w:trPr>
          <w:trHeight w:val="2119"/>
        </w:trPr>
        <w:tc>
          <w:tcPr>
            <w:tcW w:w="1668" w:type="dxa"/>
          </w:tcPr>
          <w:p w14:paraId="60A73492" w14:textId="77777777" w:rsidR="00F16A21" w:rsidRDefault="00F16A21" w:rsidP="007A126E">
            <w:pPr>
              <w:pStyle w:val="Default"/>
              <w:adjustRightInd/>
              <w:rPr>
                <w:sz w:val="32"/>
                <w:szCs w:val="32"/>
              </w:rPr>
            </w:pPr>
            <w:r>
              <w:rPr>
                <w:rFonts w:hint="eastAsia"/>
                <w:sz w:val="32"/>
                <w:szCs w:val="32"/>
              </w:rPr>
              <w:t>防治措施</w:t>
            </w:r>
            <w:r>
              <w:rPr>
                <w:sz w:val="32"/>
                <w:szCs w:val="32"/>
              </w:rPr>
              <w:t xml:space="preserve"> </w:t>
            </w:r>
          </w:p>
        </w:tc>
        <w:tc>
          <w:tcPr>
            <w:tcW w:w="8682" w:type="dxa"/>
          </w:tcPr>
          <w:p w14:paraId="0A18797A" w14:textId="77777777" w:rsidR="007A126E" w:rsidRDefault="007565FB" w:rsidP="007A126E">
            <w:pPr>
              <w:pStyle w:val="Default"/>
              <w:numPr>
                <w:ilvl w:val="0"/>
                <w:numId w:val="10"/>
              </w:numPr>
              <w:adjustRightInd/>
              <w:ind w:left="521" w:hanging="567"/>
              <w:rPr>
                <w:sz w:val="32"/>
                <w:szCs w:val="32"/>
              </w:rPr>
            </w:pPr>
            <w:r w:rsidRPr="007565FB">
              <w:rPr>
                <w:rFonts w:hint="eastAsia"/>
                <w:sz w:val="32"/>
                <w:szCs w:val="32"/>
              </w:rPr>
              <w:t>依契約期限辦理驗收：工程完工後應限期辦理驗收，依性質指派主辦監工以外具有工作經驗之人員主驗，並由主計或使用單位派員</w:t>
            </w:r>
            <w:proofErr w:type="gramStart"/>
            <w:r w:rsidRPr="007565FB">
              <w:rPr>
                <w:rFonts w:hint="eastAsia"/>
                <w:sz w:val="32"/>
                <w:szCs w:val="32"/>
              </w:rPr>
              <w:t>監驗、會驗</w:t>
            </w:r>
            <w:proofErr w:type="gramEnd"/>
            <w:r w:rsidRPr="007565FB">
              <w:rPr>
                <w:rFonts w:hint="eastAsia"/>
                <w:sz w:val="32"/>
                <w:szCs w:val="32"/>
              </w:rPr>
              <w:t>；驗收時應查驗合約規定之各項應備文件，以及查核其數量、規格、品質與合約是否相符，並當場製作驗收紀錄及簽章，列舉合格及不合格項目限期改善。</w:t>
            </w:r>
          </w:p>
          <w:p w14:paraId="54A08C81" w14:textId="5A8A6383" w:rsidR="00F16A21" w:rsidRPr="007A126E" w:rsidRDefault="007565FB" w:rsidP="007A126E">
            <w:pPr>
              <w:pStyle w:val="Default"/>
              <w:numPr>
                <w:ilvl w:val="0"/>
                <w:numId w:val="10"/>
              </w:numPr>
              <w:adjustRightInd/>
              <w:ind w:left="521" w:hanging="567"/>
              <w:rPr>
                <w:sz w:val="32"/>
                <w:szCs w:val="32"/>
              </w:rPr>
            </w:pPr>
            <w:r w:rsidRPr="007A126E">
              <w:rPr>
                <w:rFonts w:hint="eastAsia"/>
                <w:sz w:val="32"/>
                <w:szCs w:val="32"/>
              </w:rPr>
              <w:lastRenderedPageBreak/>
              <w:t>落實書面及實質抽查並加入</w:t>
            </w:r>
            <w:proofErr w:type="gramStart"/>
            <w:r w:rsidRPr="007A126E">
              <w:rPr>
                <w:rFonts w:hint="eastAsia"/>
                <w:sz w:val="32"/>
                <w:szCs w:val="32"/>
              </w:rPr>
              <w:t>專家協驗</w:t>
            </w:r>
            <w:proofErr w:type="gramEnd"/>
            <w:r w:rsidRPr="007A126E">
              <w:rPr>
                <w:rFonts w:hint="eastAsia"/>
                <w:sz w:val="32"/>
                <w:szCs w:val="32"/>
              </w:rPr>
              <w:t>：竣工前執行定期不定期抽驗工程日誌及測試結果；驗收時依廠商所附竣工圖，確實核對竣工之項目及數量，各工項應取足夠數量抽驗其規格、數量及功能等，並詳實記載於驗收紀錄表內。如係專業設施工程，並應商請專家學者、專業單位人員負責或協助驗收。</w:t>
            </w:r>
          </w:p>
        </w:tc>
      </w:tr>
      <w:tr w:rsidR="00405831" w14:paraId="139A7447" w14:textId="77777777" w:rsidTr="007A126E">
        <w:trPr>
          <w:trHeight w:val="159"/>
        </w:trPr>
        <w:tc>
          <w:tcPr>
            <w:tcW w:w="10350" w:type="dxa"/>
            <w:gridSpan w:val="2"/>
          </w:tcPr>
          <w:p w14:paraId="115561ED" w14:textId="472099EE" w:rsidR="00405831" w:rsidRDefault="00405831" w:rsidP="007A126E">
            <w:pPr>
              <w:pStyle w:val="Default"/>
              <w:adjustRightInd/>
              <w:rPr>
                <w:sz w:val="32"/>
                <w:szCs w:val="32"/>
              </w:rPr>
            </w:pPr>
            <w:r>
              <w:rPr>
                <w:rFonts w:hint="eastAsia"/>
                <w:sz w:val="32"/>
                <w:szCs w:val="32"/>
              </w:rPr>
              <w:lastRenderedPageBreak/>
              <w:t>類型二</w:t>
            </w:r>
            <w:r w:rsidRPr="007A126E">
              <w:rPr>
                <w:rFonts w:hint="eastAsia"/>
                <w:sz w:val="32"/>
                <w:szCs w:val="32"/>
              </w:rPr>
              <w:t>：</w:t>
            </w:r>
            <w:r w:rsidRPr="007A126E">
              <w:rPr>
                <w:rFonts w:hAnsi="標楷體"/>
                <w:sz w:val="32"/>
                <w:szCs w:val="32"/>
              </w:rPr>
              <w:t>轄管工程案件未善盡監督之責</w:t>
            </w:r>
          </w:p>
        </w:tc>
      </w:tr>
      <w:tr w:rsidR="00405831" w14:paraId="4F3C19A9" w14:textId="77777777" w:rsidTr="007A126E">
        <w:trPr>
          <w:trHeight w:val="1279"/>
        </w:trPr>
        <w:tc>
          <w:tcPr>
            <w:tcW w:w="1668" w:type="dxa"/>
          </w:tcPr>
          <w:p w14:paraId="276B7D98" w14:textId="77777777" w:rsidR="00405831" w:rsidRDefault="00405831" w:rsidP="007A126E">
            <w:pPr>
              <w:pStyle w:val="Default"/>
              <w:adjustRightInd/>
              <w:rPr>
                <w:sz w:val="32"/>
                <w:szCs w:val="32"/>
              </w:rPr>
            </w:pPr>
            <w:r>
              <w:rPr>
                <w:rFonts w:hint="eastAsia"/>
                <w:sz w:val="32"/>
                <w:szCs w:val="32"/>
              </w:rPr>
              <w:t>案情概述</w:t>
            </w:r>
            <w:r>
              <w:rPr>
                <w:sz w:val="32"/>
                <w:szCs w:val="32"/>
              </w:rPr>
              <w:t xml:space="preserve"> </w:t>
            </w:r>
          </w:p>
        </w:tc>
        <w:tc>
          <w:tcPr>
            <w:tcW w:w="8682" w:type="dxa"/>
          </w:tcPr>
          <w:p w14:paraId="61BDF3BA" w14:textId="0757E6DA" w:rsidR="00405831" w:rsidRDefault="007A126E" w:rsidP="007A126E">
            <w:pPr>
              <w:pStyle w:val="Default"/>
              <w:adjustRightInd/>
              <w:rPr>
                <w:sz w:val="32"/>
                <w:szCs w:val="32"/>
              </w:rPr>
            </w:pPr>
            <w:r>
              <w:rPr>
                <w:rFonts w:hint="eastAsia"/>
                <w:sz w:val="32"/>
                <w:szCs w:val="32"/>
              </w:rPr>
              <w:t xml:space="preserve">  </w:t>
            </w:r>
            <w:proofErr w:type="gramStart"/>
            <w:r w:rsidR="00405831" w:rsidRPr="00405831">
              <w:rPr>
                <w:rFonts w:hint="eastAsia"/>
                <w:sz w:val="32"/>
                <w:szCs w:val="32"/>
              </w:rPr>
              <w:t>某市養</w:t>
            </w:r>
            <w:proofErr w:type="gramEnd"/>
            <w:r w:rsidR="00405831" w:rsidRPr="00405831">
              <w:rPr>
                <w:rFonts w:hint="eastAsia"/>
                <w:sz w:val="32"/>
                <w:szCs w:val="32"/>
              </w:rPr>
              <w:t>工處辦理「道路改善工程（開口契約）」招標，約</w:t>
            </w:r>
            <w:proofErr w:type="gramStart"/>
            <w:r w:rsidR="00405831" w:rsidRPr="00405831">
              <w:rPr>
                <w:rFonts w:hint="eastAsia"/>
                <w:sz w:val="32"/>
                <w:szCs w:val="32"/>
              </w:rPr>
              <w:t>僱</w:t>
            </w:r>
            <w:proofErr w:type="gramEnd"/>
            <w:r w:rsidR="00405831" w:rsidRPr="00405831">
              <w:rPr>
                <w:rFonts w:hint="eastAsia"/>
                <w:sz w:val="32"/>
                <w:szCs w:val="32"/>
              </w:rPr>
              <w:t>人員甲負責履約管理、計畫書審核、材料進場查驗、品質及工地稽查、估驗計價、製作分批(期)付款表等，平時工作態度散漫，有關偏鄉地區的</w:t>
            </w:r>
            <w:proofErr w:type="gramStart"/>
            <w:r w:rsidR="00405831" w:rsidRPr="00405831">
              <w:rPr>
                <w:rFonts w:hint="eastAsia"/>
                <w:sz w:val="32"/>
                <w:szCs w:val="32"/>
              </w:rPr>
              <w:t>派工案</w:t>
            </w:r>
            <w:proofErr w:type="gramEnd"/>
            <w:r w:rsidR="00405831" w:rsidRPr="00405831">
              <w:rPr>
                <w:rFonts w:hint="eastAsia"/>
                <w:sz w:val="32"/>
                <w:szCs w:val="32"/>
              </w:rPr>
              <w:t>，認為已有委請專業的監造廠商，故鮮少會到現場視察工程狀況。得標廠商甲公司，履約期間因未掌握員工及機具調度，致工程進度落後，然為避免逾期罰則，明知仍有許多細項尚未完成，仍偽造不實的竣工資料報機關驗收，後續因</w:t>
            </w:r>
            <w:proofErr w:type="gramStart"/>
            <w:r w:rsidR="00405831" w:rsidRPr="00405831">
              <w:rPr>
                <w:rFonts w:hint="eastAsia"/>
                <w:sz w:val="32"/>
                <w:szCs w:val="32"/>
              </w:rPr>
              <w:t>主驗人僅</w:t>
            </w:r>
            <w:proofErr w:type="gramEnd"/>
            <w:r w:rsidR="00405831" w:rsidRPr="00405831">
              <w:rPr>
                <w:rFonts w:hint="eastAsia"/>
                <w:sz w:val="32"/>
                <w:szCs w:val="32"/>
              </w:rPr>
              <w:t>抽驗重點工項，進而順利取得工程款。</w:t>
            </w:r>
          </w:p>
        </w:tc>
      </w:tr>
      <w:tr w:rsidR="00405831" w14:paraId="47D666C6" w14:textId="77777777" w:rsidTr="007A126E">
        <w:trPr>
          <w:trHeight w:val="2047"/>
        </w:trPr>
        <w:tc>
          <w:tcPr>
            <w:tcW w:w="1668" w:type="dxa"/>
          </w:tcPr>
          <w:p w14:paraId="4FB1423C" w14:textId="77777777" w:rsidR="00405831" w:rsidRDefault="00405831" w:rsidP="007A126E">
            <w:pPr>
              <w:pStyle w:val="Default"/>
              <w:adjustRightInd/>
              <w:rPr>
                <w:sz w:val="32"/>
                <w:szCs w:val="32"/>
              </w:rPr>
            </w:pPr>
            <w:r>
              <w:rPr>
                <w:rFonts w:hint="eastAsia"/>
                <w:sz w:val="32"/>
                <w:szCs w:val="32"/>
              </w:rPr>
              <w:t>問題風險評估</w:t>
            </w:r>
            <w:r>
              <w:rPr>
                <w:sz w:val="32"/>
                <w:szCs w:val="32"/>
              </w:rPr>
              <w:t xml:space="preserve"> </w:t>
            </w:r>
          </w:p>
        </w:tc>
        <w:tc>
          <w:tcPr>
            <w:tcW w:w="8682" w:type="dxa"/>
          </w:tcPr>
          <w:p w14:paraId="407BB452" w14:textId="77777777" w:rsidR="007A126E" w:rsidRDefault="00405831" w:rsidP="007A126E">
            <w:pPr>
              <w:pStyle w:val="Default"/>
              <w:numPr>
                <w:ilvl w:val="0"/>
                <w:numId w:val="12"/>
              </w:numPr>
              <w:adjustRightInd/>
              <w:ind w:left="521" w:hanging="567"/>
              <w:rPr>
                <w:sz w:val="32"/>
                <w:szCs w:val="32"/>
              </w:rPr>
            </w:pPr>
            <w:r w:rsidRPr="00405831">
              <w:rPr>
                <w:sz w:val="32"/>
                <w:szCs w:val="32"/>
              </w:rPr>
              <w:t>未至現場勘查或督導：承辦人未落實監督責任，過度依賴監造廠商，</w:t>
            </w:r>
            <w:proofErr w:type="gramStart"/>
            <w:r w:rsidRPr="00405831">
              <w:rPr>
                <w:sz w:val="32"/>
                <w:szCs w:val="32"/>
              </w:rPr>
              <w:t>派工後疏</w:t>
            </w:r>
            <w:proofErr w:type="gramEnd"/>
            <w:r w:rsidRPr="00405831">
              <w:rPr>
                <w:sz w:val="32"/>
                <w:szCs w:val="32"/>
              </w:rPr>
              <w:t>於至現場勘查或督導，無從瞭解承攬及監造廠商之履約情況，驗收時恐生浮報數量、虛報竣工等爭議。</w:t>
            </w:r>
          </w:p>
          <w:p w14:paraId="5CABD9FB" w14:textId="64C189E0" w:rsidR="00405831" w:rsidRPr="00405831" w:rsidRDefault="00405831" w:rsidP="007A126E">
            <w:pPr>
              <w:pStyle w:val="Default"/>
              <w:numPr>
                <w:ilvl w:val="0"/>
                <w:numId w:val="12"/>
              </w:numPr>
              <w:adjustRightInd/>
              <w:ind w:left="521" w:hanging="567"/>
              <w:rPr>
                <w:sz w:val="32"/>
                <w:szCs w:val="32"/>
              </w:rPr>
            </w:pPr>
            <w:r w:rsidRPr="007A126E">
              <w:rPr>
                <w:sz w:val="32"/>
                <w:szCs w:val="32"/>
              </w:rPr>
              <w:t>驗收不確實致廠商得利：偏鄉地區因交通因素考量，監</w:t>
            </w:r>
            <w:r w:rsidRPr="007A126E">
              <w:rPr>
                <w:sz w:val="32"/>
                <w:szCs w:val="32"/>
              </w:rPr>
              <w:lastRenderedPageBreak/>
              <w:t>督機制較為鬆散，廠商易心存僥倖，抓</w:t>
            </w:r>
            <w:proofErr w:type="gramStart"/>
            <w:r w:rsidRPr="007A126E">
              <w:rPr>
                <w:sz w:val="32"/>
                <w:szCs w:val="32"/>
              </w:rPr>
              <w:t>準</w:t>
            </w:r>
            <w:proofErr w:type="gramEnd"/>
            <w:r w:rsidRPr="007A126E">
              <w:rPr>
                <w:sz w:val="32"/>
                <w:szCs w:val="32"/>
              </w:rPr>
              <w:t>承辦人不會常到工地勘查之心態，因而偷工減料；加以監造單位若未履行其職責、未核實審查施工情形，易讓不良廠商蒙混過關，詐得全部工程款項。</w:t>
            </w:r>
          </w:p>
        </w:tc>
      </w:tr>
      <w:tr w:rsidR="00405831" w14:paraId="50EB2054" w14:textId="77777777" w:rsidTr="007A126E">
        <w:trPr>
          <w:trHeight w:val="2119"/>
        </w:trPr>
        <w:tc>
          <w:tcPr>
            <w:tcW w:w="1668" w:type="dxa"/>
          </w:tcPr>
          <w:p w14:paraId="073185B0" w14:textId="77777777" w:rsidR="00405831" w:rsidRDefault="00405831" w:rsidP="007A126E">
            <w:pPr>
              <w:pStyle w:val="Default"/>
              <w:adjustRightInd/>
              <w:rPr>
                <w:sz w:val="32"/>
                <w:szCs w:val="32"/>
              </w:rPr>
            </w:pPr>
            <w:r>
              <w:rPr>
                <w:rFonts w:hint="eastAsia"/>
                <w:sz w:val="32"/>
                <w:szCs w:val="32"/>
              </w:rPr>
              <w:lastRenderedPageBreak/>
              <w:t>防治措施</w:t>
            </w:r>
            <w:r>
              <w:rPr>
                <w:sz w:val="32"/>
                <w:szCs w:val="32"/>
              </w:rPr>
              <w:t xml:space="preserve"> </w:t>
            </w:r>
          </w:p>
        </w:tc>
        <w:tc>
          <w:tcPr>
            <w:tcW w:w="8682" w:type="dxa"/>
          </w:tcPr>
          <w:p w14:paraId="4DF6F1F5" w14:textId="77777777" w:rsidR="007A126E" w:rsidRDefault="00405831" w:rsidP="007A126E">
            <w:pPr>
              <w:pStyle w:val="Default"/>
              <w:numPr>
                <w:ilvl w:val="0"/>
                <w:numId w:val="14"/>
              </w:numPr>
              <w:adjustRightInd/>
              <w:ind w:left="521" w:hanging="521"/>
              <w:rPr>
                <w:sz w:val="32"/>
                <w:szCs w:val="32"/>
              </w:rPr>
            </w:pPr>
            <w:r w:rsidRPr="00405831">
              <w:rPr>
                <w:sz w:val="32"/>
                <w:szCs w:val="32"/>
              </w:rPr>
              <w:t>不定期現地勘查：契約內除嚴格要求監造單位派員常駐工地外，並應確實督促監工人員按時填寫日誌，並由承辦人不定期至工地現場瞭解或抽查施工現況，若發現不符契約規範，立即責成廠商改善重作，避免日後衍生更多爭議。</w:t>
            </w:r>
          </w:p>
          <w:p w14:paraId="331F401B" w14:textId="15AD1142" w:rsidR="00405831" w:rsidRPr="007565FB" w:rsidRDefault="00405831" w:rsidP="007A126E">
            <w:pPr>
              <w:pStyle w:val="Default"/>
              <w:numPr>
                <w:ilvl w:val="0"/>
                <w:numId w:val="14"/>
              </w:numPr>
              <w:adjustRightInd/>
              <w:ind w:left="521" w:hanging="521"/>
              <w:rPr>
                <w:sz w:val="32"/>
                <w:szCs w:val="32"/>
              </w:rPr>
            </w:pPr>
            <w:r w:rsidRPr="007A126E">
              <w:rPr>
                <w:sz w:val="32"/>
                <w:szCs w:val="32"/>
              </w:rPr>
              <w:t>加強驗收品質：驗收時，</w:t>
            </w:r>
            <w:proofErr w:type="gramStart"/>
            <w:r w:rsidRPr="007A126E">
              <w:rPr>
                <w:sz w:val="32"/>
                <w:szCs w:val="32"/>
              </w:rPr>
              <w:t>主驗人除</w:t>
            </w:r>
            <w:proofErr w:type="gramEnd"/>
            <w:r w:rsidRPr="007A126E">
              <w:rPr>
                <w:sz w:val="32"/>
                <w:szCs w:val="32"/>
              </w:rPr>
              <w:t>須勾</w:t>
            </w:r>
            <w:proofErr w:type="gramStart"/>
            <w:r w:rsidRPr="007A126E">
              <w:rPr>
                <w:sz w:val="32"/>
                <w:szCs w:val="32"/>
              </w:rPr>
              <w:t>稽</w:t>
            </w:r>
            <w:proofErr w:type="gramEnd"/>
            <w:r w:rsidRPr="007A126E">
              <w:rPr>
                <w:sz w:val="32"/>
                <w:szCs w:val="32"/>
              </w:rPr>
              <w:t>比對標的物是否與契約、圖說或貨樣相符外，尚應檢視施工日誌、出廠與清運證明、檢試驗報告及施工照片等資料，</w:t>
            </w:r>
            <w:proofErr w:type="gramStart"/>
            <w:r w:rsidRPr="007A126E">
              <w:rPr>
                <w:sz w:val="32"/>
                <w:szCs w:val="32"/>
              </w:rPr>
              <w:t>俾</w:t>
            </w:r>
            <w:proofErr w:type="gramEnd"/>
            <w:r w:rsidRPr="007A126E">
              <w:rPr>
                <w:sz w:val="32"/>
                <w:szCs w:val="32"/>
              </w:rPr>
              <w:t>憑確保公共工程品質；如屬於金額龐大或是性質較複雜之專案工程，宜於驗收前，就預定之驗收期限、抽查驗 核之項目、方式及驗收人員分工及權責等，擬訂驗收計畫，以利後續作業順利執行。</w:t>
            </w:r>
          </w:p>
        </w:tc>
      </w:tr>
    </w:tbl>
    <w:p w14:paraId="440A62EE" w14:textId="77777777" w:rsidR="00F16A21" w:rsidRPr="00405831" w:rsidRDefault="00F16A21" w:rsidP="00F16A21"/>
    <w:sectPr w:rsidR="00F16A21" w:rsidRPr="00405831" w:rsidSect="00F16A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449"/>
    <w:multiLevelType w:val="hybridMultilevel"/>
    <w:tmpl w:val="E4985DEE"/>
    <w:lvl w:ilvl="0" w:tplc="D59675F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B658F"/>
    <w:multiLevelType w:val="hybridMultilevel"/>
    <w:tmpl w:val="BB846A28"/>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4612F3"/>
    <w:multiLevelType w:val="multilevel"/>
    <w:tmpl w:val="6C02179C"/>
    <w:lvl w:ilvl="0">
      <w:start w:val="1"/>
      <w:numFmt w:val="taiwaneseCountingThousand"/>
      <w:lvlText w:val="（%1）"/>
      <w:lvlJc w:val="left"/>
      <w:pPr>
        <w:ind w:left="1360" w:hanging="885"/>
      </w:pPr>
      <w:rPr>
        <w:color w:val="auto"/>
      </w:rPr>
    </w:lvl>
    <w:lvl w:ilvl="1">
      <w:start w:val="1"/>
      <w:numFmt w:val="decimal"/>
      <w:lvlText w:val="、"/>
      <w:lvlJc w:val="left"/>
      <w:pPr>
        <w:ind w:left="1675" w:hanging="720"/>
      </w:pPr>
    </w:lvl>
    <w:lvl w:ilvl="2">
      <w:start w:val="1"/>
      <w:numFmt w:val="lowerRoman"/>
      <w:lvlText w:val="."/>
      <w:lvlJc w:val="right"/>
      <w:pPr>
        <w:ind w:left="1915" w:hanging="480"/>
      </w:pPr>
    </w:lvl>
    <w:lvl w:ilvl="3">
      <w:start w:val="1"/>
      <w:numFmt w:val="decimal"/>
      <w:lvlText w:val="."/>
      <w:lvlJc w:val="left"/>
      <w:pPr>
        <w:ind w:left="2395" w:hanging="480"/>
      </w:pPr>
    </w:lvl>
    <w:lvl w:ilvl="4">
      <w:start w:val="1"/>
      <w:numFmt w:val="ideographTraditional"/>
      <w:lvlText w:val="、"/>
      <w:lvlJc w:val="left"/>
      <w:pPr>
        <w:ind w:left="2875" w:hanging="480"/>
      </w:pPr>
    </w:lvl>
    <w:lvl w:ilvl="5">
      <w:start w:val="1"/>
      <w:numFmt w:val="lowerRoman"/>
      <w:lvlText w:val="."/>
      <w:lvlJc w:val="right"/>
      <w:pPr>
        <w:ind w:left="3355" w:hanging="480"/>
      </w:pPr>
    </w:lvl>
    <w:lvl w:ilvl="6">
      <w:start w:val="1"/>
      <w:numFmt w:val="decimal"/>
      <w:lvlText w:val="."/>
      <w:lvlJc w:val="left"/>
      <w:pPr>
        <w:ind w:left="3835" w:hanging="480"/>
      </w:pPr>
    </w:lvl>
    <w:lvl w:ilvl="7">
      <w:start w:val="1"/>
      <w:numFmt w:val="ideographTraditional"/>
      <w:lvlText w:val="、"/>
      <w:lvlJc w:val="left"/>
      <w:pPr>
        <w:ind w:left="4315" w:hanging="480"/>
      </w:pPr>
    </w:lvl>
    <w:lvl w:ilvl="8">
      <w:start w:val="1"/>
      <w:numFmt w:val="lowerRoman"/>
      <w:lvlText w:val="."/>
      <w:lvlJc w:val="right"/>
      <w:pPr>
        <w:ind w:left="4795" w:hanging="480"/>
      </w:pPr>
    </w:lvl>
  </w:abstractNum>
  <w:abstractNum w:abstractNumId="3" w15:restartNumberingAfterBreak="0">
    <w:nsid w:val="236C26FF"/>
    <w:multiLevelType w:val="hybridMultilevel"/>
    <w:tmpl w:val="290C27AE"/>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C00758"/>
    <w:multiLevelType w:val="hybridMultilevel"/>
    <w:tmpl w:val="9CAAA82E"/>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52C55"/>
    <w:multiLevelType w:val="hybridMultilevel"/>
    <w:tmpl w:val="FC0E447A"/>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693BD5"/>
    <w:multiLevelType w:val="multilevel"/>
    <w:tmpl w:val="18BA188A"/>
    <w:lvl w:ilvl="0">
      <w:start w:val="1"/>
      <w:numFmt w:val="taiwaneseCountingThousand"/>
      <w:lvlText w:val="（%1）"/>
      <w:lvlJc w:val="left"/>
      <w:pPr>
        <w:ind w:left="1360" w:hanging="885"/>
      </w:pPr>
      <w:rPr>
        <w:color w:val="auto"/>
      </w:rPr>
    </w:lvl>
    <w:lvl w:ilvl="1">
      <w:start w:val="1"/>
      <w:numFmt w:val="decimal"/>
      <w:lvlText w:val="%2、"/>
      <w:lvlJc w:val="left"/>
      <w:pPr>
        <w:ind w:left="1675" w:hanging="72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ideographTradition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ideographTraditional"/>
      <w:lvlText w:val="%8、"/>
      <w:lvlJc w:val="left"/>
      <w:pPr>
        <w:ind w:left="4315" w:hanging="480"/>
      </w:pPr>
    </w:lvl>
    <w:lvl w:ilvl="8">
      <w:start w:val="1"/>
      <w:numFmt w:val="lowerRoman"/>
      <w:lvlText w:val="%9."/>
      <w:lvlJc w:val="right"/>
      <w:pPr>
        <w:ind w:left="4795" w:hanging="480"/>
      </w:pPr>
    </w:lvl>
  </w:abstractNum>
  <w:abstractNum w:abstractNumId="7" w15:restartNumberingAfterBreak="0">
    <w:nsid w:val="66F04864"/>
    <w:multiLevelType w:val="hybridMultilevel"/>
    <w:tmpl w:val="23A25B0A"/>
    <w:lvl w:ilvl="0" w:tplc="FFFFFFFF">
      <w:start w:val="1"/>
      <w:numFmt w:val="decimal"/>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BCC340A"/>
    <w:multiLevelType w:val="hybridMultilevel"/>
    <w:tmpl w:val="5EE28C66"/>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1F76BE"/>
    <w:multiLevelType w:val="hybridMultilevel"/>
    <w:tmpl w:val="41A83766"/>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182D33"/>
    <w:multiLevelType w:val="hybridMultilevel"/>
    <w:tmpl w:val="5796A292"/>
    <w:lvl w:ilvl="0" w:tplc="FFFFFFF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4F2DD8"/>
    <w:multiLevelType w:val="hybridMultilevel"/>
    <w:tmpl w:val="E4985DEE"/>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C6F124D"/>
    <w:multiLevelType w:val="hybridMultilevel"/>
    <w:tmpl w:val="23A25B0A"/>
    <w:lvl w:ilvl="0" w:tplc="77C679A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802E7D"/>
    <w:multiLevelType w:val="hybridMultilevel"/>
    <w:tmpl w:val="A68CE1DA"/>
    <w:lvl w:ilvl="0" w:tplc="EE781C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3239588">
    <w:abstractNumId w:val="6"/>
  </w:num>
  <w:num w:numId="2" w16cid:durableId="787889348">
    <w:abstractNumId w:val="0"/>
  </w:num>
  <w:num w:numId="3" w16cid:durableId="367419176">
    <w:abstractNumId w:val="12"/>
  </w:num>
  <w:num w:numId="4" w16cid:durableId="306053936">
    <w:abstractNumId w:val="2"/>
  </w:num>
  <w:num w:numId="5" w16cid:durableId="1766419919">
    <w:abstractNumId w:val="7"/>
  </w:num>
  <w:num w:numId="6" w16cid:durableId="1939018134">
    <w:abstractNumId w:val="11"/>
  </w:num>
  <w:num w:numId="7" w16cid:durableId="41757614">
    <w:abstractNumId w:val="10"/>
  </w:num>
  <w:num w:numId="8" w16cid:durableId="1029381621">
    <w:abstractNumId w:val="8"/>
  </w:num>
  <w:num w:numId="9" w16cid:durableId="1044133488">
    <w:abstractNumId w:val="5"/>
  </w:num>
  <w:num w:numId="10" w16cid:durableId="446050525">
    <w:abstractNumId w:val="4"/>
  </w:num>
  <w:num w:numId="11" w16cid:durableId="1786533393">
    <w:abstractNumId w:val="1"/>
  </w:num>
  <w:num w:numId="12" w16cid:durableId="730664168">
    <w:abstractNumId w:val="13"/>
  </w:num>
  <w:num w:numId="13" w16cid:durableId="227083423">
    <w:abstractNumId w:val="9"/>
  </w:num>
  <w:num w:numId="14" w16cid:durableId="824004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21"/>
    <w:rsid w:val="00405831"/>
    <w:rsid w:val="00497F27"/>
    <w:rsid w:val="005B29F5"/>
    <w:rsid w:val="007565FB"/>
    <w:rsid w:val="007A126E"/>
    <w:rsid w:val="007E6C80"/>
    <w:rsid w:val="00B4124F"/>
    <w:rsid w:val="00DC2613"/>
    <w:rsid w:val="00F16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408F"/>
  <w15:chartTrackingRefBased/>
  <w15:docId w15:val="{85E07AFB-B099-4D22-B86F-73AF6504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6A2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02</cp:lastModifiedBy>
  <cp:revision>4</cp:revision>
  <cp:lastPrinted>2024-09-06T01:47:00Z</cp:lastPrinted>
  <dcterms:created xsi:type="dcterms:W3CDTF">2024-09-05T07:51:00Z</dcterms:created>
  <dcterms:modified xsi:type="dcterms:W3CDTF">2024-09-06T01:47:00Z</dcterms:modified>
</cp:coreProperties>
</file>