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42C" w:rsidRPr="00E8342C" w:rsidRDefault="00E8342C" w:rsidP="00E8342C">
      <w:pPr>
        <w:autoSpaceDE w:val="0"/>
        <w:autoSpaceDN w:val="0"/>
        <w:adjustRightInd w:val="0"/>
        <w:spacing w:line="480" w:lineRule="exact"/>
        <w:rPr>
          <w:rFonts w:ascii="標楷體" w:eastAsia="標楷體" w:hAnsi="標楷體" w:cs="DFKaiShu-SB-Estd-BF"/>
          <w:b/>
          <w:kern w:val="0"/>
          <w:sz w:val="36"/>
          <w:szCs w:val="39"/>
        </w:rPr>
      </w:pPr>
      <w:bookmarkStart w:id="0" w:name="_GoBack"/>
      <w:proofErr w:type="gramStart"/>
      <w:r w:rsidRPr="00E8342C">
        <w:rPr>
          <w:rFonts w:ascii="標楷體" w:eastAsia="標楷體" w:hAnsi="標楷體" w:cs="DFKaiShu-SB-Estd-BF" w:hint="eastAsia"/>
          <w:b/>
          <w:kern w:val="0"/>
          <w:sz w:val="36"/>
          <w:szCs w:val="39"/>
        </w:rPr>
        <w:t>臺</w:t>
      </w:r>
      <w:proofErr w:type="gramEnd"/>
      <w:r w:rsidRPr="00E8342C">
        <w:rPr>
          <w:rFonts w:ascii="標楷體" w:eastAsia="標楷體" w:hAnsi="標楷體" w:cs="DFKaiShu-SB-Estd-BF" w:hint="eastAsia"/>
          <w:b/>
          <w:kern w:val="0"/>
          <w:sz w:val="36"/>
          <w:szCs w:val="39"/>
        </w:rPr>
        <w:t>南市政府及所屬各機關學校公務人員獎懲案件</w:t>
      </w:r>
    </w:p>
    <w:p w:rsidR="00E8342C" w:rsidRPr="00E8342C" w:rsidRDefault="00E8342C" w:rsidP="00E8342C">
      <w:pPr>
        <w:autoSpaceDE w:val="0"/>
        <w:autoSpaceDN w:val="0"/>
        <w:adjustRightInd w:val="0"/>
        <w:spacing w:line="480" w:lineRule="exact"/>
        <w:rPr>
          <w:rFonts w:ascii="標楷體" w:eastAsia="標楷體" w:hAnsi="標楷體" w:cs="DFKaiShu-SB-Estd-BF"/>
          <w:b/>
          <w:kern w:val="0"/>
          <w:sz w:val="36"/>
          <w:szCs w:val="39"/>
        </w:rPr>
      </w:pPr>
      <w:r w:rsidRPr="00E8342C">
        <w:rPr>
          <w:rFonts w:ascii="標楷體" w:eastAsia="標楷體" w:hAnsi="標楷體" w:cs="DFKaiShu-SB-Estd-BF" w:hint="eastAsia"/>
          <w:b/>
          <w:kern w:val="0"/>
          <w:sz w:val="36"/>
          <w:szCs w:val="39"/>
        </w:rPr>
        <w:t>處理要點</w:t>
      </w:r>
    </w:p>
    <w:bookmarkEnd w:id="0"/>
    <w:p w:rsidR="00E8342C" w:rsidRDefault="00E8342C" w:rsidP="00E8342C">
      <w:pPr>
        <w:autoSpaceDE w:val="0"/>
        <w:autoSpaceDN w:val="0"/>
        <w:adjustRightInd w:val="0"/>
        <w:jc w:val="right"/>
        <w:rPr>
          <w:rFonts w:ascii="標楷體" w:eastAsia="標楷體" w:hAnsi="標楷體" w:cs="DFKaiShu-SB-Estd-BF"/>
          <w:kern w:val="0"/>
          <w:sz w:val="23"/>
          <w:szCs w:val="23"/>
        </w:rPr>
      </w:pPr>
      <w:r w:rsidRPr="00E8342C">
        <w:rPr>
          <w:rFonts w:ascii="標楷體" w:eastAsia="標楷體" w:hAnsi="標楷體" w:cs="DFKaiShu-SB-Estd-BF" w:hint="eastAsia"/>
          <w:kern w:val="0"/>
          <w:sz w:val="23"/>
          <w:szCs w:val="23"/>
        </w:rPr>
        <w:t>中華民國</w:t>
      </w:r>
      <w:r w:rsidRPr="00E8342C">
        <w:rPr>
          <w:rFonts w:ascii="標楷體" w:eastAsia="標楷體" w:hAnsi="標楷體" w:cs="DFKaiShu-SB-Estd-BF"/>
          <w:kern w:val="0"/>
          <w:sz w:val="23"/>
          <w:szCs w:val="23"/>
        </w:rPr>
        <w:t>100</w:t>
      </w:r>
      <w:r w:rsidRPr="00E8342C">
        <w:rPr>
          <w:rFonts w:ascii="標楷體" w:eastAsia="標楷體" w:hAnsi="標楷體" w:cs="DFKaiShu-SB-Estd-BF" w:hint="eastAsia"/>
          <w:kern w:val="0"/>
          <w:sz w:val="23"/>
          <w:szCs w:val="23"/>
        </w:rPr>
        <w:t>年</w:t>
      </w:r>
      <w:r w:rsidRPr="00E8342C">
        <w:rPr>
          <w:rFonts w:ascii="標楷體" w:eastAsia="標楷體" w:hAnsi="標楷體" w:cs="DFKaiShu-SB-Estd-BF"/>
          <w:kern w:val="0"/>
          <w:sz w:val="23"/>
          <w:szCs w:val="23"/>
        </w:rPr>
        <w:t>3</w:t>
      </w:r>
      <w:r w:rsidRPr="00E8342C">
        <w:rPr>
          <w:rFonts w:ascii="標楷體" w:eastAsia="標楷體" w:hAnsi="標楷體" w:cs="DFKaiShu-SB-Estd-BF" w:hint="eastAsia"/>
          <w:kern w:val="0"/>
          <w:sz w:val="23"/>
          <w:szCs w:val="23"/>
        </w:rPr>
        <w:t>月</w:t>
      </w:r>
      <w:r w:rsidRPr="00E8342C">
        <w:rPr>
          <w:rFonts w:ascii="標楷體" w:eastAsia="標楷體" w:hAnsi="標楷體" w:cs="DFKaiShu-SB-Estd-BF"/>
          <w:kern w:val="0"/>
          <w:sz w:val="23"/>
          <w:szCs w:val="23"/>
        </w:rPr>
        <w:t>21</w:t>
      </w:r>
      <w:r w:rsidRPr="00E8342C">
        <w:rPr>
          <w:rFonts w:ascii="標楷體" w:eastAsia="標楷體" w:hAnsi="標楷體" w:cs="DFKaiShu-SB-Estd-BF" w:hint="eastAsia"/>
          <w:kern w:val="0"/>
          <w:sz w:val="23"/>
          <w:szCs w:val="23"/>
        </w:rPr>
        <w:t>日</w:t>
      </w:r>
      <w:proofErr w:type="gramStart"/>
      <w:r w:rsidRPr="00E8342C">
        <w:rPr>
          <w:rFonts w:ascii="標楷體" w:eastAsia="標楷體" w:hAnsi="標楷體" w:cs="DFKaiShu-SB-Estd-BF" w:hint="eastAsia"/>
          <w:kern w:val="0"/>
          <w:sz w:val="23"/>
          <w:szCs w:val="23"/>
        </w:rPr>
        <w:t>府人考字第</w:t>
      </w:r>
      <w:r w:rsidRPr="00E8342C">
        <w:rPr>
          <w:rFonts w:ascii="標楷體" w:eastAsia="標楷體" w:hAnsi="標楷體" w:cs="DFKaiShu-SB-Estd-BF"/>
          <w:kern w:val="0"/>
          <w:sz w:val="23"/>
          <w:szCs w:val="23"/>
        </w:rPr>
        <w:t>1000096442</w:t>
      </w:r>
      <w:r w:rsidRPr="00E8342C">
        <w:rPr>
          <w:rFonts w:ascii="標楷體" w:eastAsia="標楷體" w:hAnsi="標楷體" w:cs="DFKaiShu-SB-Estd-BF" w:hint="eastAsia"/>
          <w:kern w:val="0"/>
          <w:sz w:val="23"/>
          <w:szCs w:val="23"/>
        </w:rPr>
        <w:t>號函訂</w:t>
      </w:r>
      <w:proofErr w:type="gramEnd"/>
      <w:r w:rsidRPr="00E8342C">
        <w:rPr>
          <w:rFonts w:ascii="標楷體" w:eastAsia="標楷體" w:hAnsi="標楷體" w:cs="DFKaiShu-SB-Estd-BF" w:hint="eastAsia"/>
          <w:kern w:val="0"/>
          <w:sz w:val="23"/>
          <w:szCs w:val="23"/>
        </w:rPr>
        <w:t>頒</w:t>
      </w:r>
    </w:p>
    <w:p w:rsidR="005C7E63" w:rsidRPr="005C7E63" w:rsidRDefault="005C7E63" w:rsidP="00E8342C">
      <w:pPr>
        <w:autoSpaceDE w:val="0"/>
        <w:autoSpaceDN w:val="0"/>
        <w:adjustRightInd w:val="0"/>
        <w:jc w:val="right"/>
        <w:rPr>
          <w:rFonts w:ascii="標楷體" w:eastAsia="標楷體" w:hAnsi="標楷體" w:cs="DFKaiShu-SB-Estd-BF"/>
          <w:kern w:val="0"/>
          <w:sz w:val="23"/>
          <w:szCs w:val="23"/>
        </w:rPr>
      </w:pPr>
      <w:r w:rsidRPr="00E8342C">
        <w:rPr>
          <w:rFonts w:ascii="標楷體" w:eastAsia="標楷體" w:hAnsi="標楷體" w:cs="DFKaiShu-SB-Estd-BF" w:hint="eastAsia"/>
          <w:kern w:val="0"/>
          <w:sz w:val="23"/>
          <w:szCs w:val="23"/>
        </w:rPr>
        <w:t>中華民國</w:t>
      </w:r>
      <w:r w:rsidRPr="00E8342C">
        <w:rPr>
          <w:rFonts w:ascii="標楷體" w:eastAsia="標楷體" w:hAnsi="標楷體" w:cs="DFKaiShu-SB-Estd-BF"/>
          <w:kern w:val="0"/>
          <w:sz w:val="23"/>
          <w:szCs w:val="23"/>
        </w:rPr>
        <w:t>100</w:t>
      </w:r>
      <w:r w:rsidRPr="00E8342C">
        <w:rPr>
          <w:rFonts w:ascii="標楷體" w:eastAsia="標楷體" w:hAnsi="標楷體" w:cs="DFKaiShu-SB-Estd-BF" w:hint="eastAsia"/>
          <w:kern w:val="0"/>
          <w:sz w:val="23"/>
          <w:szCs w:val="23"/>
        </w:rPr>
        <w:t>年</w:t>
      </w:r>
      <w:r>
        <w:rPr>
          <w:rFonts w:ascii="標楷體" w:eastAsia="標楷體" w:hAnsi="標楷體" w:cs="DFKaiShu-SB-Estd-BF" w:hint="eastAsia"/>
          <w:kern w:val="0"/>
          <w:sz w:val="23"/>
          <w:szCs w:val="23"/>
        </w:rPr>
        <w:t>10</w:t>
      </w:r>
      <w:r w:rsidRPr="00E8342C">
        <w:rPr>
          <w:rFonts w:ascii="標楷體" w:eastAsia="標楷體" w:hAnsi="標楷體" w:cs="DFKaiShu-SB-Estd-BF" w:hint="eastAsia"/>
          <w:kern w:val="0"/>
          <w:sz w:val="23"/>
          <w:szCs w:val="23"/>
        </w:rPr>
        <w:t>月</w:t>
      </w:r>
      <w:r>
        <w:rPr>
          <w:rFonts w:ascii="標楷體" w:eastAsia="標楷體" w:hAnsi="標楷體" w:cs="DFKaiShu-SB-Estd-BF" w:hint="eastAsia"/>
          <w:kern w:val="0"/>
          <w:sz w:val="23"/>
          <w:szCs w:val="23"/>
        </w:rPr>
        <w:t>1</w:t>
      </w:r>
      <w:r w:rsidRPr="00E8342C">
        <w:rPr>
          <w:rFonts w:ascii="標楷體" w:eastAsia="標楷體" w:hAnsi="標楷體" w:cs="DFKaiShu-SB-Estd-BF"/>
          <w:kern w:val="0"/>
          <w:sz w:val="23"/>
          <w:szCs w:val="23"/>
        </w:rPr>
        <w:t>2</w:t>
      </w:r>
      <w:r w:rsidRPr="00E8342C">
        <w:rPr>
          <w:rFonts w:ascii="標楷體" w:eastAsia="標楷體" w:hAnsi="標楷體" w:cs="DFKaiShu-SB-Estd-BF" w:hint="eastAsia"/>
          <w:kern w:val="0"/>
          <w:sz w:val="23"/>
          <w:szCs w:val="23"/>
        </w:rPr>
        <w:t>日</w:t>
      </w:r>
      <w:proofErr w:type="gramStart"/>
      <w:r w:rsidRPr="00E8342C">
        <w:rPr>
          <w:rFonts w:ascii="標楷體" w:eastAsia="標楷體" w:hAnsi="標楷體" w:cs="DFKaiShu-SB-Estd-BF" w:hint="eastAsia"/>
          <w:kern w:val="0"/>
          <w:sz w:val="23"/>
          <w:szCs w:val="23"/>
        </w:rPr>
        <w:t>府人考字第</w:t>
      </w:r>
      <w:r w:rsidRPr="005C7E63">
        <w:rPr>
          <w:rFonts w:ascii="標楷體" w:eastAsia="標楷體" w:hAnsi="標楷體" w:cs="DFKaiShu-SB-Estd-BF"/>
          <w:kern w:val="0"/>
          <w:sz w:val="23"/>
          <w:szCs w:val="23"/>
        </w:rPr>
        <w:t>1050953280</w:t>
      </w:r>
      <w:r w:rsidRPr="00E8342C">
        <w:rPr>
          <w:rFonts w:ascii="標楷體" w:eastAsia="標楷體" w:hAnsi="標楷體" w:cs="DFKaiShu-SB-Estd-BF" w:hint="eastAsia"/>
          <w:kern w:val="0"/>
          <w:sz w:val="23"/>
          <w:szCs w:val="23"/>
        </w:rPr>
        <w:t>號函訂</w:t>
      </w:r>
      <w:proofErr w:type="gramEnd"/>
      <w:r w:rsidRPr="00E8342C">
        <w:rPr>
          <w:rFonts w:ascii="標楷體" w:eastAsia="標楷體" w:hAnsi="標楷體" w:cs="DFKaiShu-SB-Estd-BF" w:hint="eastAsia"/>
          <w:kern w:val="0"/>
          <w:sz w:val="23"/>
          <w:szCs w:val="23"/>
        </w:rPr>
        <w:t>頒</w:t>
      </w:r>
    </w:p>
    <w:p w:rsidR="00E8342C" w:rsidRPr="00E8342C" w:rsidRDefault="00E8342C" w:rsidP="00E8342C">
      <w:pPr>
        <w:autoSpaceDE w:val="0"/>
        <w:autoSpaceDN w:val="0"/>
        <w:adjustRightInd w:val="0"/>
        <w:jc w:val="right"/>
        <w:rPr>
          <w:rFonts w:ascii="標楷體" w:eastAsia="標楷體" w:hAnsi="標楷體" w:cs="DFKaiShu-SB-Estd-BF"/>
          <w:kern w:val="0"/>
          <w:sz w:val="23"/>
          <w:szCs w:val="23"/>
        </w:rPr>
      </w:pPr>
    </w:p>
    <w:p w:rsidR="00E8342C" w:rsidRPr="006028D6" w:rsidRDefault="00E8342C" w:rsidP="006028D6">
      <w:pPr>
        <w:autoSpaceDE w:val="0"/>
        <w:autoSpaceDN w:val="0"/>
        <w:adjustRightInd w:val="0"/>
        <w:spacing w:line="480" w:lineRule="exact"/>
        <w:ind w:left="560" w:hangingChars="200" w:hanging="56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一、</w:t>
      </w:r>
      <w:proofErr w:type="gramStart"/>
      <w:r w:rsidRPr="006028D6">
        <w:rPr>
          <w:rFonts w:ascii="標楷體" w:eastAsia="標楷體" w:hAnsi="標楷體" w:cs="DFKaiShu-SB-Estd-BF" w:hint="eastAsia"/>
          <w:kern w:val="0"/>
          <w:sz w:val="28"/>
          <w:szCs w:val="27"/>
        </w:rPr>
        <w:t>臺</w:t>
      </w:r>
      <w:proofErr w:type="gramEnd"/>
      <w:r w:rsidRPr="006028D6">
        <w:rPr>
          <w:rFonts w:ascii="標楷體" w:eastAsia="標楷體" w:hAnsi="標楷體" w:cs="DFKaiShu-SB-Estd-BF" w:hint="eastAsia"/>
          <w:kern w:val="0"/>
          <w:sz w:val="28"/>
          <w:szCs w:val="27"/>
        </w:rPr>
        <w:t>南市政府（以下簡稱本府）為處理本府及所屬各機關學校（以下簡稱各機關學校）公務人員獎懲案件，特訂定本要點。</w:t>
      </w:r>
    </w:p>
    <w:p w:rsidR="00E8342C" w:rsidRPr="006028D6" w:rsidRDefault="00E8342C" w:rsidP="006028D6">
      <w:pPr>
        <w:autoSpaceDE w:val="0"/>
        <w:autoSpaceDN w:val="0"/>
        <w:adjustRightInd w:val="0"/>
        <w:spacing w:line="480" w:lineRule="exact"/>
        <w:ind w:left="560" w:hangingChars="200" w:hanging="56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二、獎懲案件處理原則如下：</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（一）各機關學校辦理獎懲案件應本綜</w:t>
      </w:r>
      <w:proofErr w:type="gramStart"/>
      <w:r w:rsidRPr="006028D6">
        <w:rPr>
          <w:rFonts w:ascii="標楷體" w:eastAsia="標楷體" w:hAnsi="標楷體" w:cs="DFKaiShu-SB-Estd-BF" w:hint="eastAsia"/>
          <w:kern w:val="0"/>
          <w:sz w:val="28"/>
          <w:szCs w:val="27"/>
        </w:rPr>
        <w:t>覈</w:t>
      </w:r>
      <w:proofErr w:type="gramEnd"/>
      <w:r w:rsidRPr="006028D6">
        <w:rPr>
          <w:rFonts w:ascii="標楷體" w:eastAsia="標楷體" w:hAnsi="標楷體" w:cs="DFKaiShu-SB-Estd-BF" w:hint="eastAsia"/>
          <w:kern w:val="0"/>
          <w:sz w:val="28"/>
          <w:szCs w:val="27"/>
        </w:rPr>
        <w:t>名實、信賞必罰、</w:t>
      </w:r>
      <w:proofErr w:type="gramStart"/>
      <w:r w:rsidRPr="006028D6">
        <w:rPr>
          <w:rFonts w:ascii="標楷體" w:eastAsia="標楷體" w:hAnsi="標楷體" w:cs="DFKaiShu-SB-Estd-BF" w:hint="eastAsia"/>
          <w:kern w:val="0"/>
          <w:sz w:val="28"/>
          <w:szCs w:val="27"/>
        </w:rPr>
        <w:t>獎當其</w:t>
      </w:r>
      <w:proofErr w:type="gramEnd"/>
      <w:r w:rsidRPr="006028D6">
        <w:rPr>
          <w:rFonts w:ascii="標楷體" w:eastAsia="標楷體" w:hAnsi="標楷體" w:cs="DFKaiShu-SB-Estd-BF" w:hint="eastAsia"/>
          <w:kern w:val="0"/>
          <w:sz w:val="28"/>
          <w:szCs w:val="27"/>
        </w:rPr>
        <w:t>功、</w:t>
      </w:r>
      <w:proofErr w:type="gramStart"/>
      <w:r w:rsidRPr="006028D6">
        <w:rPr>
          <w:rFonts w:ascii="標楷體" w:eastAsia="標楷體" w:hAnsi="標楷體" w:cs="DFKaiShu-SB-Estd-BF" w:hint="eastAsia"/>
          <w:kern w:val="0"/>
          <w:sz w:val="28"/>
          <w:szCs w:val="27"/>
        </w:rPr>
        <w:t>懲當其過</w:t>
      </w:r>
      <w:proofErr w:type="gramEnd"/>
      <w:r w:rsidRPr="006028D6">
        <w:rPr>
          <w:rFonts w:ascii="標楷體" w:eastAsia="標楷體" w:hAnsi="標楷體" w:cs="DFKaiShu-SB-Estd-BF" w:hint="eastAsia"/>
          <w:kern w:val="0"/>
          <w:sz w:val="28"/>
          <w:szCs w:val="27"/>
        </w:rPr>
        <w:t>及獎由下起、懲自上先之原則；恪守獎懲公開之要求，務求客觀公正、適切依法核議。</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（二）獎勵以功績為首，勞績次之。</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（三）獎勵應具有激發榮譽感之教育意義，不得以</w:t>
      </w:r>
      <w:proofErr w:type="gramStart"/>
      <w:r w:rsidRPr="006028D6">
        <w:rPr>
          <w:rFonts w:ascii="標楷體" w:eastAsia="標楷體" w:hAnsi="標楷體" w:cs="DFKaiShu-SB-Estd-BF" w:hint="eastAsia"/>
          <w:kern w:val="0"/>
          <w:sz w:val="28"/>
          <w:szCs w:val="27"/>
        </w:rPr>
        <w:t>獎示酬</w:t>
      </w:r>
      <w:proofErr w:type="gramEnd"/>
      <w:r w:rsidRPr="006028D6">
        <w:rPr>
          <w:rFonts w:ascii="標楷體" w:eastAsia="標楷體" w:hAnsi="標楷體" w:cs="DFKaiShu-SB-Estd-BF" w:hint="eastAsia"/>
          <w:kern w:val="0"/>
          <w:sz w:val="28"/>
          <w:szCs w:val="27"/>
        </w:rPr>
        <w:t>。</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（四）各機關學校處理權責內應辦之例行性或經常性事項無特殊成效或具體貢獻者，不予獎勵。</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（五）獎勵應以業務實際承辦人員為優先；懲處應依責任之歸屬以定其對象，不可獎勵均分</w:t>
      </w:r>
      <w:proofErr w:type="gramStart"/>
      <w:r w:rsidRPr="006028D6">
        <w:rPr>
          <w:rFonts w:ascii="標楷體" w:eastAsia="標楷體" w:hAnsi="標楷體" w:cs="DFKaiShu-SB-Estd-BF" w:hint="eastAsia"/>
          <w:kern w:val="0"/>
          <w:sz w:val="28"/>
          <w:szCs w:val="27"/>
        </w:rPr>
        <w:t>或爭功諉</w:t>
      </w:r>
      <w:proofErr w:type="gramEnd"/>
      <w:r w:rsidRPr="006028D6">
        <w:rPr>
          <w:rFonts w:ascii="標楷體" w:eastAsia="標楷體" w:hAnsi="標楷體" w:cs="DFKaiShu-SB-Estd-BF" w:hint="eastAsia"/>
          <w:kern w:val="0"/>
          <w:sz w:val="28"/>
          <w:szCs w:val="27"/>
        </w:rPr>
        <w:t>過。</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（六）各機關學校公務人員因違法失職受處分者，其各級主管人員如事前未善盡督導防範之責或知情不依法處置者，應視情節輕重予以懲處。</w:t>
      </w:r>
    </w:p>
    <w:p w:rsidR="00E8342C" w:rsidRPr="006028D6" w:rsidRDefault="00E8342C" w:rsidP="006028D6">
      <w:pPr>
        <w:autoSpaceDE w:val="0"/>
        <w:autoSpaceDN w:val="0"/>
        <w:adjustRightInd w:val="0"/>
        <w:spacing w:line="480" w:lineRule="exact"/>
        <w:ind w:left="560" w:hangingChars="200" w:hanging="56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三、獎懲案件處理之權責劃分如下：</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（一）</w:t>
      </w:r>
      <w:proofErr w:type="gramStart"/>
      <w:r w:rsidRPr="006028D6">
        <w:rPr>
          <w:rFonts w:ascii="標楷體" w:eastAsia="標楷體" w:hAnsi="標楷體" w:cs="DFKaiShu-SB-Estd-BF" w:hint="eastAsia"/>
          <w:kern w:val="0"/>
          <w:sz w:val="28"/>
          <w:szCs w:val="27"/>
        </w:rPr>
        <w:t>請頒勳章</w:t>
      </w:r>
      <w:proofErr w:type="gramEnd"/>
      <w:r w:rsidRPr="006028D6">
        <w:rPr>
          <w:rFonts w:ascii="標楷體" w:eastAsia="標楷體" w:hAnsi="標楷體" w:cs="DFKaiShu-SB-Estd-BF" w:hint="eastAsia"/>
          <w:kern w:val="0"/>
          <w:sz w:val="28"/>
          <w:szCs w:val="27"/>
        </w:rPr>
        <w:t>、獎章、褒揚及移付懲戒案件，</w:t>
      </w:r>
      <w:proofErr w:type="gramStart"/>
      <w:r w:rsidRPr="006028D6">
        <w:rPr>
          <w:rFonts w:ascii="標楷體" w:eastAsia="標楷體" w:hAnsi="標楷體" w:cs="DFKaiShu-SB-Estd-BF" w:hint="eastAsia"/>
          <w:kern w:val="0"/>
          <w:sz w:val="28"/>
          <w:szCs w:val="27"/>
        </w:rPr>
        <w:t>應層報</w:t>
      </w:r>
      <w:proofErr w:type="gramEnd"/>
      <w:r w:rsidRPr="006028D6">
        <w:rPr>
          <w:rFonts w:ascii="標楷體" w:eastAsia="標楷體" w:hAnsi="標楷體" w:cs="DFKaiShu-SB-Estd-BF" w:hint="eastAsia"/>
          <w:kern w:val="0"/>
          <w:sz w:val="28"/>
          <w:szCs w:val="27"/>
        </w:rPr>
        <w:t>本府核辦。</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（二）各機關學校人員涉嫌刑事案件者，服務機關學校應辦理事項如下：</w:t>
      </w:r>
    </w:p>
    <w:p w:rsidR="00E8342C" w:rsidRPr="006028D6"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1</w:t>
      </w:r>
      <w:r w:rsidRPr="006028D6">
        <w:rPr>
          <w:rFonts w:ascii="標楷體" w:eastAsia="標楷體" w:hAnsi="標楷體" w:cs="DFKaiShu-SB-Estd-BF" w:hint="eastAsia"/>
          <w:kern w:val="0"/>
          <w:sz w:val="28"/>
          <w:szCs w:val="27"/>
        </w:rPr>
        <w:t>、應即查明實情，蒐集事證後，</w:t>
      </w:r>
      <w:proofErr w:type="gramStart"/>
      <w:r w:rsidRPr="006028D6">
        <w:rPr>
          <w:rFonts w:ascii="標楷體" w:eastAsia="標楷體" w:hAnsi="標楷體" w:cs="DFKaiShu-SB-Estd-BF" w:hint="eastAsia"/>
          <w:kern w:val="0"/>
          <w:sz w:val="28"/>
          <w:szCs w:val="27"/>
        </w:rPr>
        <w:t>逕</w:t>
      </w:r>
      <w:proofErr w:type="gramEnd"/>
      <w:r w:rsidRPr="006028D6">
        <w:rPr>
          <w:rFonts w:ascii="標楷體" w:eastAsia="標楷體" w:hAnsi="標楷體" w:cs="DFKaiShu-SB-Estd-BF" w:hint="eastAsia"/>
          <w:kern w:val="0"/>
          <w:sz w:val="28"/>
          <w:szCs w:val="27"/>
        </w:rPr>
        <w:t>送司法機關偵辦；並副知直屬上級機關及本府。</w:t>
      </w:r>
    </w:p>
    <w:p w:rsidR="00E8342C" w:rsidRPr="006028D6"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2</w:t>
      </w:r>
      <w:r w:rsidRPr="006028D6">
        <w:rPr>
          <w:rFonts w:ascii="標楷體" w:eastAsia="標楷體" w:hAnsi="標楷體" w:cs="DFKaiShu-SB-Estd-BF" w:hint="eastAsia"/>
          <w:kern w:val="0"/>
          <w:sz w:val="28"/>
          <w:szCs w:val="27"/>
        </w:rPr>
        <w:t>、</w:t>
      </w:r>
      <w:r w:rsidR="001E0C11" w:rsidRPr="001E0C11">
        <w:rPr>
          <w:rFonts w:ascii="標楷體" w:eastAsia="標楷體" w:hAnsi="標楷體" w:cs="DFKaiShu-SB-Estd-BF" w:hint="eastAsia"/>
          <w:kern w:val="0"/>
          <w:sz w:val="28"/>
          <w:szCs w:val="27"/>
        </w:rPr>
        <w:t>被通緝或羈押者，服務機關學校應即陳報本府，依公務員懲戒法第四條規定予以停職</w:t>
      </w:r>
      <w:r w:rsidRPr="006028D6">
        <w:rPr>
          <w:rFonts w:ascii="標楷體" w:eastAsia="標楷體" w:hAnsi="標楷體" w:cs="DFKaiShu-SB-Estd-BF" w:hint="eastAsia"/>
          <w:kern w:val="0"/>
          <w:sz w:val="28"/>
          <w:szCs w:val="27"/>
        </w:rPr>
        <w:t>。</w:t>
      </w:r>
    </w:p>
    <w:p w:rsidR="00E8342C" w:rsidRPr="006028D6"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3</w:t>
      </w:r>
      <w:r w:rsidRPr="006028D6">
        <w:rPr>
          <w:rFonts w:ascii="標楷體" w:eastAsia="標楷體" w:hAnsi="標楷體" w:cs="DFKaiShu-SB-Estd-BF" w:hint="eastAsia"/>
          <w:kern w:val="0"/>
          <w:sz w:val="28"/>
          <w:szCs w:val="27"/>
        </w:rPr>
        <w:t>、</w:t>
      </w:r>
      <w:r w:rsidR="001E0C11" w:rsidRPr="001E0C11">
        <w:rPr>
          <w:rFonts w:ascii="標楷體" w:eastAsia="標楷體" w:hAnsi="標楷體" w:cs="DFKaiShu-SB-Estd-BF" w:hint="eastAsia"/>
          <w:kern w:val="0"/>
          <w:sz w:val="28"/>
          <w:szCs w:val="27"/>
        </w:rPr>
        <w:t>涉嫌犯貪污罪、瀆職罪經起訴者，應即依公務員懲戒法第二</w:t>
      </w:r>
      <w:r w:rsidR="001E0C11" w:rsidRPr="001E0C11">
        <w:rPr>
          <w:rFonts w:ascii="標楷體" w:eastAsia="標楷體" w:hAnsi="標楷體" w:cs="DFKaiShu-SB-Estd-BF" w:hint="eastAsia"/>
          <w:kern w:val="0"/>
          <w:sz w:val="28"/>
          <w:szCs w:val="27"/>
        </w:rPr>
        <w:lastRenderedPageBreak/>
        <w:t>十四條規定檢討</w:t>
      </w:r>
      <w:proofErr w:type="gramStart"/>
      <w:r w:rsidR="001E0C11" w:rsidRPr="001E0C11">
        <w:rPr>
          <w:rFonts w:ascii="標楷體" w:eastAsia="標楷體" w:hAnsi="標楷體" w:cs="DFKaiShu-SB-Estd-BF" w:hint="eastAsia"/>
          <w:kern w:val="0"/>
          <w:sz w:val="28"/>
          <w:szCs w:val="27"/>
        </w:rPr>
        <w:t>擬議送府核辦</w:t>
      </w:r>
      <w:proofErr w:type="gramEnd"/>
      <w:r w:rsidR="001E0C11" w:rsidRPr="001E0C11">
        <w:rPr>
          <w:rFonts w:ascii="標楷體" w:eastAsia="標楷體" w:hAnsi="標楷體" w:cs="DFKaiShu-SB-Estd-BF" w:hint="eastAsia"/>
          <w:kern w:val="0"/>
          <w:sz w:val="28"/>
          <w:szCs w:val="27"/>
        </w:rPr>
        <w:t>。其情節重大者，得先行停止職務</w:t>
      </w:r>
      <w:r w:rsidRPr="006028D6">
        <w:rPr>
          <w:rFonts w:ascii="標楷體" w:eastAsia="標楷體" w:hAnsi="標楷體" w:cs="DFKaiShu-SB-Estd-BF" w:hint="eastAsia"/>
          <w:kern w:val="0"/>
          <w:sz w:val="28"/>
          <w:szCs w:val="27"/>
        </w:rPr>
        <w:t>。</w:t>
      </w:r>
    </w:p>
    <w:p w:rsidR="00E8342C" w:rsidRPr="006028D6"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4</w:t>
      </w:r>
      <w:r w:rsidRPr="006028D6">
        <w:rPr>
          <w:rFonts w:ascii="標楷體" w:eastAsia="標楷體" w:hAnsi="標楷體" w:cs="DFKaiShu-SB-Estd-BF" w:hint="eastAsia"/>
          <w:kern w:val="0"/>
          <w:sz w:val="28"/>
          <w:szCs w:val="27"/>
        </w:rPr>
        <w:t>、</w:t>
      </w:r>
      <w:r w:rsidR="001E0C11" w:rsidRPr="001E0C11">
        <w:rPr>
          <w:rFonts w:ascii="標楷體" w:eastAsia="標楷體" w:hAnsi="標楷體" w:cs="DFKaiShu-SB-Estd-BF" w:hint="eastAsia"/>
          <w:kern w:val="0"/>
          <w:sz w:val="28"/>
          <w:szCs w:val="27"/>
        </w:rPr>
        <w:t>服務機關學校應列管涉案人員訴訟進度，並將偵查結果及各級法院判決結果陳報本府</w:t>
      </w:r>
      <w:r w:rsidRPr="006028D6">
        <w:rPr>
          <w:rFonts w:ascii="標楷體" w:eastAsia="標楷體" w:hAnsi="標楷體" w:cs="DFKaiShu-SB-Estd-BF" w:hint="eastAsia"/>
          <w:kern w:val="0"/>
          <w:sz w:val="28"/>
          <w:szCs w:val="27"/>
        </w:rPr>
        <w:t>。</w:t>
      </w:r>
    </w:p>
    <w:p w:rsidR="00E8342C"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5</w:t>
      </w:r>
      <w:r w:rsidRPr="006028D6">
        <w:rPr>
          <w:rFonts w:ascii="標楷體" w:eastAsia="標楷體" w:hAnsi="標楷體" w:cs="DFKaiShu-SB-Estd-BF" w:hint="eastAsia"/>
          <w:kern w:val="0"/>
          <w:sz w:val="28"/>
          <w:szCs w:val="27"/>
        </w:rPr>
        <w:t>、</w:t>
      </w:r>
      <w:r w:rsidR="001E0C11" w:rsidRPr="001E0C11">
        <w:rPr>
          <w:rFonts w:ascii="標楷體" w:eastAsia="標楷體" w:hAnsi="標楷體" w:cs="DFKaiShu-SB-Estd-BF" w:hint="eastAsia"/>
          <w:kern w:val="0"/>
          <w:sz w:val="28"/>
          <w:szCs w:val="27"/>
        </w:rPr>
        <w:t>經法院為有罪判決者，應</w:t>
      </w:r>
      <w:proofErr w:type="gramStart"/>
      <w:r w:rsidR="001E0C11" w:rsidRPr="001E0C11">
        <w:rPr>
          <w:rFonts w:ascii="標楷體" w:eastAsia="標楷體" w:hAnsi="標楷體" w:cs="DFKaiShu-SB-Estd-BF" w:hint="eastAsia"/>
          <w:kern w:val="0"/>
          <w:sz w:val="28"/>
          <w:szCs w:val="27"/>
        </w:rPr>
        <w:t>即審究行政</w:t>
      </w:r>
      <w:proofErr w:type="gramEnd"/>
      <w:r w:rsidR="001E0C11" w:rsidRPr="001E0C11">
        <w:rPr>
          <w:rFonts w:ascii="標楷體" w:eastAsia="標楷體" w:hAnsi="標楷體" w:cs="DFKaiShu-SB-Estd-BF" w:hint="eastAsia"/>
          <w:kern w:val="0"/>
          <w:sz w:val="28"/>
          <w:szCs w:val="27"/>
        </w:rPr>
        <w:t>責任；未停職且未追究行政責任者，於不起訴處分、緩起訴處分或無罪判決確定後亦同</w:t>
      </w:r>
      <w:r w:rsidRPr="006028D6">
        <w:rPr>
          <w:rFonts w:ascii="標楷體" w:eastAsia="標楷體" w:hAnsi="標楷體" w:cs="DFKaiShu-SB-Estd-BF" w:hint="eastAsia"/>
          <w:kern w:val="0"/>
          <w:sz w:val="28"/>
          <w:szCs w:val="27"/>
        </w:rPr>
        <w:t>。</w:t>
      </w:r>
    </w:p>
    <w:p w:rsidR="001E0C11" w:rsidRPr="001E0C11" w:rsidRDefault="001E0C11"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Pr>
          <w:rFonts w:ascii="標楷體" w:eastAsia="標楷體" w:hAnsi="標楷體" w:cs="DFKaiShu-SB-Estd-BF" w:hint="eastAsia"/>
          <w:kern w:val="0"/>
          <w:sz w:val="28"/>
          <w:szCs w:val="27"/>
        </w:rPr>
        <w:t>6、</w:t>
      </w:r>
      <w:r w:rsidRPr="001E0C11">
        <w:rPr>
          <w:rFonts w:ascii="標楷體" w:eastAsia="標楷體" w:hAnsi="標楷體" w:cs="DFKaiShu-SB-Estd-BF" w:hint="eastAsia"/>
          <w:kern w:val="0"/>
          <w:sz w:val="28"/>
          <w:szCs w:val="27"/>
        </w:rPr>
        <w:t>經有罪判決確定者，應即依公務員懲戒法、公務人員任用法、公務人員考績法等相關規定辦理</w:t>
      </w:r>
      <w:r>
        <w:rPr>
          <w:rFonts w:ascii="標楷體" w:eastAsia="標楷體" w:hAnsi="標楷體" w:cs="DFKaiShu-SB-Estd-BF" w:hint="eastAsia"/>
          <w:kern w:val="0"/>
          <w:sz w:val="28"/>
          <w:szCs w:val="27"/>
        </w:rPr>
        <w:t>。</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（三）停職、復職及免職案件，</w:t>
      </w:r>
      <w:proofErr w:type="gramStart"/>
      <w:r w:rsidRPr="006028D6">
        <w:rPr>
          <w:rFonts w:ascii="標楷體" w:eastAsia="標楷體" w:hAnsi="標楷體" w:cs="DFKaiShu-SB-Estd-BF" w:hint="eastAsia"/>
          <w:kern w:val="0"/>
          <w:sz w:val="28"/>
          <w:szCs w:val="27"/>
        </w:rPr>
        <w:t>均應以最速件層報</w:t>
      </w:r>
      <w:proofErr w:type="gramEnd"/>
      <w:r w:rsidRPr="006028D6">
        <w:rPr>
          <w:rFonts w:ascii="標楷體" w:eastAsia="標楷體" w:hAnsi="標楷體" w:cs="DFKaiShu-SB-Estd-BF" w:hint="eastAsia"/>
          <w:kern w:val="0"/>
          <w:sz w:val="28"/>
          <w:szCs w:val="27"/>
        </w:rPr>
        <w:t>本府辦理。</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（四）各機關學校辦理第（一）款至第（三）款以外之平時獎懲案件，依下列規定辦理：</w:t>
      </w:r>
    </w:p>
    <w:p w:rsidR="00E8342C" w:rsidRPr="006028D6" w:rsidRDefault="00E8342C" w:rsidP="006028D6">
      <w:pPr>
        <w:autoSpaceDE w:val="0"/>
        <w:autoSpaceDN w:val="0"/>
        <w:adjustRightInd w:val="0"/>
        <w:spacing w:line="480" w:lineRule="exact"/>
        <w:ind w:leftChars="300" w:left="1280" w:hangingChars="200" w:hanging="560"/>
        <w:rPr>
          <w:rFonts w:ascii="標楷體" w:eastAsia="標楷體" w:hAnsi="標楷體" w:cs="DFKaiShu-SB-Estd-BF"/>
          <w:kern w:val="0"/>
          <w:sz w:val="28"/>
          <w:szCs w:val="27"/>
        </w:rPr>
      </w:pPr>
      <w:r w:rsidRPr="006028D6">
        <w:rPr>
          <w:rFonts w:ascii="標楷體" w:eastAsia="標楷體" w:hAnsi="標楷體" w:cs="DFKaiShu-SB-Estd-BF"/>
          <w:kern w:val="0"/>
          <w:sz w:val="28"/>
          <w:szCs w:val="27"/>
        </w:rPr>
        <w:t>1</w:t>
      </w:r>
      <w:r w:rsidRPr="006028D6">
        <w:rPr>
          <w:rFonts w:ascii="標楷體" w:eastAsia="標楷體" w:hAnsi="標楷體" w:cs="DFKaiShu-SB-Estd-BF" w:hint="eastAsia"/>
          <w:kern w:val="0"/>
          <w:sz w:val="28"/>
          <w:szCs w:val="27"/>
        </w:rPr>
        <w:t>、</w:t>
      </w:r>
      <w:proofErr w:type="gramStart"/>
      <w:r w:rsidRPr="006028D6">
        <w:rPr>
          <w:rFonts w:ascii="標楷體" w:eastAsia="標楷體" w:hAnsi="標楷體" w:cs="DFKaiShu-SB-Estd-BF" w:hint="eastAsia"/>
          <w:kern w:val="0"/>
          <w:sz w:val="28"/>
          <w:szCs w:val="27"/>
        </w:rPr>
        <w:t>應層報</w:t>
      </w:r>
      <w:proofErr w:type="gramEnd"/>
      <w:r w:rsidRPr="006028D6">
        <w:rPr>
          <w:rFonts w:ascii="標楷體" w:eastAsia="標楷體" w:hAnsi="標楷體" w:cs="DFKaiShu-SB-Estd-BF" w:hint="eastAsia"/>
          <w:kern w:val="0"/>
          <w:sz w:val="28"/>
          <w:szCs w:val="27"/>
        </w:rPr>
        <w:t>本府核辦者：</w:t>
      </w:r>
    </w:p>
    <w:p w:rsidR="00E8342C" w:rsidRPr="006028D6" w:rsidRDefault="00E8342C" w:rsidP="006028D6">
      <w:pPr>
        <w:autoSpaceDE w:val="0"/>
        <w:autoSpaceDN w:val="0"/>
        <w:adjustRightInd w:val="0"/>
        <w:spacing w:line="480" w:lineRule="exact"/>
        <w:ind w:leftChars="400" w:left="1660" w:hangingChars="250" w:hanging="70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w:t>
      </w:r>
      <w:r w:rsidRPr="006028D6">
        <w:rPr>
          <w:rFonts w:ascii="標楷體" w:eastAsia="標楷體" w:hAnsi="標楷體" w:cs="DFKaiShu-SB-Estd-BF"/>
          <w:kern w:val="0"/>
          <w:sz w:val="28"/>
          <w:szCs w:val="27"/>
        </w:rPr>
        <w:t>1</w:t>
      </w:r>
      <w:r w:rsidRPr="006028D6">
        <w:rPr>
          <w:rFonts w:ascii="標楷體" w:eastAsia="標楷體" w:hAnsi="標楷體" w:cs="DFKaiShu-SB-Estd-BF" w:hint="eastAsia"/>
          <w:kern w:val="0"/>
          <w:sz w:val="28"/>
          <w:szCs w:val="27"/>
        </w:rPr>
        <w:t>）各一級機關及區公所首長之獎懲案件。</w:t>
      </w:r>
    </w:p>
    <w:p w:rsidR="00E8342C" w:rsidRPr="006028D6" w:rsidRDefault="00E8342C" w:rsidP="006028D6">
      <w:pPr>
        <w:autoSpaceDE w:val="0"/>
        <w:autoSpaceDN w:val="0"/>
        <w:adjustRightInd w:val="0"/>
        <w:spacing w:line="480" w:lineRule="exact"/>
        <w:ind w:leftChars="400" w:left="1660" w:hangingChars="250" w:hanging="70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w:t>
      </w:r>
      <w:r w:rsidRPr="006028D6">
        <w:rPr>
          <w:rFonts w:ascii="標楷體" w:eastAsia="標楷體" w:hAnsi="標楷體" w:cs="DFKaiShu-SB-Estd-BF"/>
          <w:kern w:val="0"/>
          <w:sz w:val="28"/>
          <w:szCs w:val="27"/>
        </w:rPr>
        <w:t>2</w:t>
      </w:r>
      <w:r w:rsidRPr="006028D6">
        <w:rPr>
          <w:rFonts w:ascii="標楷體" w:eastAsia="標楷體" w:hAnsi="標楷體" w:cs="DFKaiShu-SB-Estd-BF" w:hint="eastAsia"/>
          <w:kern w:val="0"/>
          <w:sz w:val="28"/>
          <w:szCs w:val="27"/>
        </w:rPr>
        <w:t>）各機關學校公務人員（警察局、消防局警正以下人員除外）記大功、記大過案件。</w:t>
      </w:r>
    </w:p>
    <w:p w:rsidR="00E8342C" w:rsidRPr="006028D6" w:rsidRDefault="00E8342C" w:rsidP="006028D6">
      <w:pPr>
        <w:autoSpaceDE w:val="0"/>
        <w:autoSpaceDN w:val="0"/>
        <w:adjustRightInd w:val="0"/>
        <w:spacing w:line="480" w:lineRule="exact"/>
        <w:ind w:leftChars="300" w:left="1280" w:hangingChars="200" w:hanging="560"/>
        <w:rPr>
          <w:rFonts w:ascii="標楷體" w:eastAsia="標楷體" w:hAnsi="標楷體" w:cs="DFKaiShu-SB-Estd-BF"/>
          <w:kern w:val="0"/>
          <w:sz w:val="28"/>
          <w:szCs w:val="27"/>
        </w:rPr>
      </w:pPr>
      <w:r w:rsidRPr="006028D6">
        <w:rPr>
          <w:rFonts w:ascii="標楷體" w:eastAsia="標楷體" w:hAnsi="標楷體" w:cs="DFKaiShu-SB-Estd-BF"/>
          <w:kern w:val="0"/>
          <w:sz w:val="28"/>
          <w:szCs w:val="27"/>
        </w:rPr>
        <w:t>2</w:t>
      </w:r>
      <w:r w:rsidRPr="006028D6">
        <w:rPr>
          <w:rFonts w:ascii="標楷體" w:eastAsia="標楷體" w:hAnsi="標楷體" w:cs="DFKaiShu-SB-Estd-BF" w:hint="eastAsia"/>
          <w:kern w:val="0"/>
          <w:sz w:val="28"/>
          <w:szCs w:val="27"/>
        </w:rPr>
        <w:t>、授權一級主管機關及區公所核定發布者：</w:t>
      </w:r>
    </w:p>
    <w:p w:rsidR="00E8342C" w:rsidRPr="006028D6" w:rsidRDefault="00E8342C" w:rsidP="006028D6">
      <w:pPr>
        <w:autoSpaceDE w:val="0"/>
        <w:autoSpaceDN w:val="0"/>
        <w:adjustRightInd w:val="0"/>
        <w:spacing w:line="480" w:lineRule="exact"/>
        <w:ind w:leftChars="400" w:left="1660" w:hangingChars="250" w:hanging="70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w:t>
      </w:r>
      <w:r w:rsidRPr="006028D6">
        <w:rPr>
          <w:rFonts w:ascii="標楷體" w:eastAsia="標楷體" w:hAnsi="標楷體" w:cs="DFKaiShu-SB-Estd-BF"/>
          <w:kern w:val="0"/>
          <w:sz w:val="28"/>
          <w:szCs w:val="27"/>
        </w:rPr>
        <w:t>1</w:t>
      </w:r>
      <w:r w:rsidRPr="006028D6">
        <w:rPr>
          <w:rFonts w:ascii="標楷體" w:eastAsia="標楷體" w:hAnsi="標楷體" w:cs="DFKaiShu-SB-Estd-BF" w:hint="eastAsia"/>
          <w:kern w:val="0"/>
          <w:sz w:val="28"/>
          <w:szCs w:val="27"/>
        </w:rPr>
        <w:t>）一級機關人員（不含警察局、消防局）及區公所記功、記過以下案件。</w:t>
      </w:r>
    </w:p>
    <w:p w:rsidR="00E8342C" w:rsidRPr="006028D6" w:rsidRDefault="00E8342C" w:rsidP="006028D6">
      <w:pPr>
        <w:autoSpaceDE w:val="0"/>
        <w:autoSpaceDN w:val="0"/>
        <w:adjustRightInd w:val="0"/>
        <w:spacing w:line="480" w:lineRule="exact"/>
        <w:ind w:leftChars="400" w:left="1660" w:hangingChars="250" w:hanging="70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w:t>
      </w:r>
      <w:r w:rsidRPr="006028D6">
        <w:rPr>
          <w:rFonts w:ascii="標楷體" w:eastAsia="標楷體" w:hAnsi="標楷體" w:cs="DFKaiShu-SB-Estd-BF"/>
          <w:kern w:val="0"/>
          <w:sz w:val="28"/>
          <w:szCs w:val="27"/>
        </w:rPr>
        <w:t>2</w:t>
      </w:r>
      <w:r w:rsidRPr="006028D6">
        <w:rPr>
          <w:rFonts w:ascii="標楷體" w:eastAsia="標楷體" w:hAnsi="標楷體" w:cs="DFKaiShu-SB-Estd-BF" w:hint="eastAsia"/>
          <w:kern w:val="0"/>
          <w:sz w:val="28"/>
          <w:szCs w:val="27"/>
        </w:rPr>
        <w:t>）二級機關首長、簡任人員記功、記過以下案件。</w:t>
      </w:r>
    </w:p>
    <w:p w:rsidR="00E8342C" w:rsidRPr="006028D6" w:rsidRDefault="00E8342C" w:rsidP="006028D6">
      <w:pPr>
        <w:autoSpaceDE w:val="0"/>
        <w:autoSpaceDN w:val="0"/>
        <w:adjustRightInd w:val="0"/>
        <w:spacing w:line="480" w:lineRule="exact"/>
        <w:ind w:leftChars="400" w:left="1660" w:hangingChars="250" w:hanging="70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w:t>
      </w:r>
      <w:r w:rsidRPr="006028D6">
        <w:rPr>
          <w:rFonts w:ascii="標楷體" w:eastAsia="標楷體" w:hAnsi="標楷體" w:cs="DFKaiShu-SB-Estd-BF"/>
          <w:kern w:val="0"/>
          <w:sz w:val="28"/>
          <w:szCs w:val="27"/>
        </w:rPr>
        <w:t>3</w:t>
      </w:r>
      <w:r w:rsidRPr="006028D6">
        <w:rPr>
          <w:rFonts w:ascii="標楷體" w:eastAsia="標楷體" w:hAnsi="標楷體" w:cs="DFKaiShu-SB-Estd-BF" w:hint="eastAsia"/>
          <w:kern w:val="0"/>
          <w:sz w:val="28"/>
          <w:szCs w:val="27"/>
        </w:rPr>
        <w:t>）警察局、</w:t>
      </w:r>
      <w:proofErr w:type="gramStart"/>
      <w:r w:rsidRPr="006028D6">
        <w:rPr>
          <w:rFonts w:ascii="標楷體" w:eastAsia="標楷體" w:hAnsi="標楷體" w:cs="DFKaiShu-SB-Estd-BF" w:hint="eastAsia"/>
          <w:kern w:val="0"/>
          <w:sz w:val="28"/>
          <w:szCs w:val="27"/>
        </w:rPr>
        <w:t>消防局警監</w:t>
      </w:r>
      <w:proofErr w:type="gramEnd"/>
      <w:r w:rsidRPr="006028D6">
        <w:rPr>
          <w:rFonts w:ascii="標楷體" w:eastAsia="標楷體" w:hAnsi="標楷體" w:cs="DFKaiShu-SB-Estd-BF" w:hint="eastAsia"/>
          <w:kern w:val="0"/>
          <w:sz w:val="28"/>
          <w:szCs w:val="27"/>
        </w:rPr>
        <w:t>人員記功、記過以下案件及警正以下人員之記大功、記大過以下案件。</w:t>
      </w:r>
    </w:p>
    <w:p w:rsidR="00E8342C" w:rsidRPr="006028D6" w:rsidRDefault="00E8342C" w:rsidP="006028D6">
      <w:pPr>
        <w:autoSpaceDE w:val="0"/>
        <w:autoSpaceDN w:val="0"/>
        <w:adjustRightInd w:val="0"/>
        <w:spacing w:line="480" w:lineRule="exact"/>
        <w:ind w:leftChars="300" w:left="1280" w:hangingChars="200" w:hanging="560"/>
        <w:rPr>
          <w:rFonts w:ascii="標楷體" w:eastAsia="標楷體" w:hAnsi="標楷體" w:cs="DFKaiShu-SB-Estd-BF"/>
          <w:kern w:val="0"/>
          <w:sz w:val="28"/>
          <w:szCs w:val="27"/>
        </w:rPr>
      </w:pPr>
      <w:r w:rsidRPr="006028D6">
        <w:rPr>
          <w:rFonts w:ascii="標楷體" w:eastAsia="標楷體" w:hAnsi="標楷體" w:cs="DFKaiShu-SB-Estd-BF"/>
          <w:kern w:val="0"/>
          <w:sz w:val="28"/>
          <w:szCs w:val="27"/>
        </w:rPr>
        <w:t>3</w:t>
      </w:r>
      <w:r w:rsidRPr="006028D6">
        <w:rPr>
          <w:rFonts w:ascii="標楷體" w:eastAsia="標楷體" w:hAnsi="標楷體" w:cs="DFKaiShu-SB-Estd-BF" w:hint="eastAsia"/>
          <w:kern w:val="0"/>
          <w:sz w:val="28"/>
          <w:szCs w:val="27"/>
        </w:rPr>
        <w:t>、授權二級機關核定發布者：所屬薦任以下人員記功、記過以下案件。</w:t>
      </w:r>
    </w:p>
    <w:p w:rsidR="00E8342C" w:rsidRPr="006028D6" w:rsidRDefault="00E8342C" w:rsidP="006028D6">
      <w:pPr>
        <w:autoSpaceDE w:val="0"/>
        <w:autoSpaceDN w:val="0"/>
        <w:adjustRightInd w:val="0"/>
        <w:spacing w:line="480" w:lineRule="exact"/>
        <w:ind w:leftChars="300" w:left="1280" w:hangingChars="200" w:hanging="560"/>
        <w:rPr>
          <w:rFonts w:ascii="標楷體" w:eastAsia="標楷體" w:hAnsi="標楷體" w:cs="DFKaiShu-SB-Estd-BF"/>
          <w:kern w:val="0"/>
          <w:sz w:val="28"/>
          <w:szCs w:val="27"/>
        </w:rPr>
      </w:pPr>
      <w:r w:rsidRPr="006028D6">
        <w:rPr>
          <w:rFonts w:ascii="標楷體" w:eastAsia="標楷體" w:hAnsi="標楷體" w:cs="DFKaiShu-SB-Estd-BF"/>
          <w:kern w:val="0"/>
          <w:sz w:val="28"/>
          <w:szCs w:val="27"/>
        </w:rPr>
        <w:t>4</w:t>
      </w:r>
      <w:r w:rsidRPr="006028D6">
        <w:rPr>
          <w:rFonts w:ascii="標楷體" w:eastAsia="標楷體" w:hAnsi="標楷體" w:cs="DFKaiShu-SB-Estd-BF" w:hint="eastAsia"/>
          <w:kern w:val="0"/>
          <w:sz w:val="28"/>
          <w:szCs w:val="27"/>
        </w:rPr>
        <w:t>、各學校校長、教師之獎懲案件，由本府教育局依權責核處。</w:t>
      </w:r>
    </w:p>
    <w:p w:rsidR="00E8342C" w:rsidRPr="006028D6" w:rsidRDefault="00E8342C" w:rsidP="006028D6">
      <w:pPr>
        <w:autoSpaceDE w:val="0"/>
        <w:autoSpaceDN w:val="0"/>
        <w:adjustRightInd w:val="0"/>
        <w:spacing w:line="480" w:lineRule="exact"/>
        <w:ind w:leftChars="100" w:left="800" w:hangingChars="200" w:hanging="56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（五）主計、人事及政風人員之獎懲另有規定者，各依其規定辦理。</w:t>
      </w:r>
    </w:p>
    <w:p w:rsidR="00E8342C" w:rsidRPr="006028D6" w:rsidRDefault="00E8342C" w:rsidP="006028D6">
      <w:pPr>
        <w:autoSpaceDE w:val="0"/>
        <w:autoSpaceDN w:val="0"/>
        <w:adjustRightInd w:val="0"/>
        <w:spacing w:line="480" w:lineRule="exact"/>
        <w:ind w:left="560" w:hangingChars="200" w:hanging="56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四、獎懲案件作業應注意下列事項：</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（一）</w:t>
      </w:r>
      <w:r w:rsidR="001E0C11" w:rsidRPr="001E0C11">
        <w:rPr>
          <w:rFonts w:ascii="標楷體" w:eastAsia="標楷體" w:hAnsi="標楷體" w:cs="DFKaiShu-SB-Estd-BF" w:hint="eastAsia"/>
          <w:kern w:val="0"/>
          <w:sz w:val="28"/>
          <w:szCs w:val="27"/>
        </w:rPr>
        <w:t>獎懲案件應於事實發生後三</w:t>
      </w:r>
      <w:proofErr w:type="gramStart"/>
      <w:r w:rsidR="001E0C11" w:rsidRPr="001E0C11">
        <w:rPr>
          <w:rFonts w:ascii="標楷體" w:eastAsia="標楷體" w:hAnsi="標楷體" w:cs="DFKaiShu-SB-Estd-BF" w:hint="eastAsia"/>
          <w:kern w:val="0"/>
          <w:sz w:val="28"/>
          <w:szCs w:val="27"/>
        </w:rPr>
        <w:t>個</w:t>
      </w:r>
      <w:proofErr w:type="gramEnd"/>
      <w:r w:rsidR="001E0C11" w:rsidRPr="001E0C11">
        <w:rPr>
          <w:rFonts w:ascii="標楷體" w:eastAsia="標楷體" w:hAnsi="標楷體" w:cs="DFKaiShu-SB-Estd-BF" w:hint="eastAsia"/>
          <w:kern w:val="0"/>
          <w:sz w:val="28"/>
          <w:szCs w:val="27"/>
        </w:rPr>
        <w:t>月內辦理，逾期辦理者，除特殊正當理由外，應追究延誤責任</w:t>
      </w:r>
      <w:r w:rsidRPr="006028D6">
        <w:rPr>
          <w:rFonts w:ascii="標楷體" w:eastAsia="標楷體" w:hAnsi="標楷體" w:cs="DFKaiShu-SB-Estd-BF" w:hint="eastAsia"/>
          <w:kern w:val="0"/>
          <w:sz w:val="28"/>
          <w:szCs w:val="27"/>
        </w:rPr>
        <w:t>。</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lastRenderedPageBreak/>
        <w:t>（二）</w:t>
      </w:r>
      <w:r w:rsidR="001E0C11" w:rsidRPr="001E0C11">
        <w:rPr>
          <w:rFonts w:ascii="標楷體" w:eastAsia="標楷體" w:hAnsi="標楷體" w:cs="DFKaiShu-SB-Estd-BF" w:hint="eastAsia"/>
          <w:kern w:val="0"/>
          <w:sz w:val="28"/>
          <w:szCs w:val="27"/>
        </w:rPr>
        <w:t>同一獎懲案件涉不同機關時，應由主辦機關主動擬定建議獎懲額度、人數或標準，一級機關首長或區公所區長之獎勵，或最高獎勵、懲處額度分別為記</w:t>
      </w:r>
      <w:proofErr w:type="gramStart"/>
      <w:r w:rsidR="001E0C11" w:rsidRPr="001E0C11">
        <w:rPr>
          <w:rFonts w:ascii="標楷體" w:eastAsia="標楷體" w:hAnsi="標楷體" w:cs="DFKaiShu-SB-Estd-BF" w:hint="eastAsia"/>
          <w:kern w:val="0"/>
          <w:sz w:val="28"/>
          <w:szCs w:val="27"/>
        </w:rPr>
        <w:t>一</w:t>
      </w:r>
      <w:proofErr w:type="gramEnd"/>
      <w:r w:rsidR="001E0C11" w:rsidRPr="001E0C11">
        <w:rPr>
          <w:rFonts w:ascii="標楷體" w:eastAsia="標楷體" w:hAnsi="標楷體" w:cs="DFKaiShu-SB-Estd-BF" w:hint="eastAsia"/>
          <w:kern w:val="0"/>
          <w:sz w:val="28"/>
          <w:szCs w:val="27"/>
        </w:rPr>
        <w:t>大功、記</w:t>
      </w:r>
      <w:proofErr w:type="gramStart"/>
      <w:r w:rsidR="001E0C11" w:rsidRPr="001E0C11">
        <w:rPr>
          <w:rFonts w:ascii="標楷體" w:eastAsia="標楷體" w:hAnsi="標楷體" w:cs="DFKaiShu-SB-Estd-BF" w:hint="eastAsia"/>
          <w:kern w:val="0"/>
          <w:sz w:val="28"/>
          <w:szCs w:val="27"/>
        </w:rPr>
        <w:t>一</w:t>
      </w:r>
      <w:proofErr w:type="gramEnd"/>
      <w:r w:rsidR="001E0C11" w:rsidRPr="001E0C11">
        <w:rPr>
          <w:rFonts w:ascii="標楷體" w:eastAsia="標楷體" w:hAnsi="標楷體" w:cs="DFKaiShu-SB-Estd-BF" w:hint="eastAsia"/>
          <w:kern w:val="0"/>
          <w:sz w:val="28"/>
          <w:szCs w:val="27"/>
        </w:rPr>
        <w:t>大過以上之情形，應具體詳述事由，經簽會本府人事處並陳請市長核准後提本府考績委員會審議；</w:t>
      </w:r>
      <w:proofErr w:type="gramStart"/>
      <w:r w:rsidR="001E0C11" w:rsidRPr="001E0C11">
        <w:rPr>
          <w:rFonts w:ascii="標楷體" w:eastAsia="標楷體" w:hAnsi="標楷體" w:cs="DFKaiShu-SB-Estd-BF" w:hint="eastAsia"/>
          <w:kern w:val="0"/>
          <w:sz w:val="28"/>
          <w:szCs w:val="27"/>
        </w:rPr>
        <w:t>餘經簽</w:t>
      </w:r>
      <w:proofErr w:type="gramEnd"/>
      <w:r w:rsidR="001E0C11" w:rsidRPr="001E0C11">
        <w:rPr>
          <w:rFonts w:ascii="標楷體" w:eastAsia="標楷體" w:hAnsi="標楷體" w:cs="DFKaiShu-SB-Estd-BF" w:hint="eastAsia"/>
          <w:kern w:val="0"/>
          <w:sz w:val="28"/>
          <w:szCs w:val="27"/>
        </w:rPr>
        <w:t>會本府人事處並陳請市長核准後函請各機關依獎懲程序辦理。主辦機關未依程序辦理者，</w:t>
      </w:r>
      <w:proofErr w:type="gramStart"/>
      <w:r w:rsidR="001E0C11" w:rsidRPr="001E0C11">
        <w:rPr>
          <w:rFonts w:ascii="標楷體" w:eastAsia="標楷體" w:hAnsi="標楷體" w:cs="DFKaiShu-SB-Estd-BF" w:hint="eastAsia"/>
          <w:kern w:val="0"/>
          <w:sz w:val="28"/>
          <w:szCs w:val="27"/>
        </w:rPr>
        <w:t>本府得重</w:t>
      </w:r>
      <w:proofErr w:type="gramEnd"/>
      <w:r w:rsidR="001E0C11" w:rsidRPr="001E0C11">
        <w:rPr>
          <w:rFonts w:ascii="標楷體" w:eastAsia="標楷體" w:hAnsi="標楷體" w:cs="DFKaiShu-SB-Estd-BF" w:hint="eastAsia"/>
          <w:kern w:val="0"/>
          <w:sz w:val="28"/>
          <w:szCs w:val="27"/>
        </w:rPr>
        <w:t>行核議獎懲</w:t>
      </w:r>
      <w:r w:rsidRPr="006028D6">
        <w:rPr>
          <w:rFonts w:ascii="標楷體" w:eastAsia="標楷體" w:hAnsi="標楷體" w:cs="DFKaiShu-SB-Estd-BF" w:hint="eastAsia"/>
          <w:kern w:val="0"/>
          <w:sz w:val="28"/>
          <w:szCs w:val="27"/>
        </w:rPr>
        <w:t>。</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（三）停職、免職及依規定須報由上級機關辦理之平時獎懲案件，</w:t>
      </w:r>
      <w:proofErr w:type="gramStart"/>
      <w:r w:rsidRPr="006028D6">
        <w:rPr>
          <w:rFonts w:ascii="標楷體" w:eastAsia="標楷體" w:hAnsi="標楷體" w:cs="DFKaiShu-SB-Estd-BF" w:hint="eastAsia"/>
          <w:kern w:val="0"/>
          <w:sz w:val="28"/>
          <w:szCs w:val="27"/>
        </w:rPr>
        <w:t>均應以</w:t>
      </w:r>
      <w:proofErr w:type="gramEnd"/>
      <w:r w:rsidRPr="006028D6">
        <w:rPr>
          <w:rFonts w:ascii="標楷體" w:eastAsia="標楷體" w:hAnsi="標楷體" w:cs="DFKaiShu-SB-Estd-BF" w:hint="eastAsia"/>
          <w:kern w:val="0"/>
          <w:sz w:val="28"/>
          <w:szCs w:val="27"/>
        </w:rPr>
        <w:t>獎懲建議函辦理。</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（四）獎懲建議函內應詳敘具體事實，擬議具體意見，並註明依據法令，必要時並應檢附有關之證據、資料。</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（五）涉嫌刑責由司法機關偵辦之人員，其服務機關學校應主動與司法機關聯繫，了解訴訟進行狀況，並依規定適時處理。</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（六）有關復職及行政責任之議處，其處理程序如下：</w:t>
      </w:r>
    </w:p>
    <w:p w:rsidR="00E8342C" w:rsidRPr="006028D6"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1</w:t>
      </w:r>
      <w:r w:rsidRPr="006028D6">
        <w:rPr>
          <w:rFonts w:ascii="標楷體" w:eastAsia="標楷體" w:hAnsi="標楷體" w:cs="DFKaiShu-SB-Estd-BF" w:hint="eastAsia"/>
          <w:kern w:val="0"/>
          <w:sz w:val="28"/>
          <w:szCs w:val="27"/>
        </w:rPr>
        <w:t>、各機關學校人員因涉刑責經核定停職者，於停職事由消滅後三</w:t>
      </w:r>
      <w:proofErr w:type="gramStart"/>
      <w:r w:rsidRPr="006028D6">
        <w:rPr>
          <w:rFonts w:ascii="標楷體" w:eastAsia="標楷體" w:hAnsi="標楷體" w:cs="DFKaiShu-SB-Estd-BF" w:hint="eastAsia"/>
          <w:kern w:val="0"/>
          <w:sz w:val="28"/>
          <w:szCs w:val="27"/>
        </w:rPr>
        <w:t>個</w:t>
      </w:r>
      <w:proofErr w:type="gramEnd"/>
      <w:r w:rsidRPr="006028D6">
        <w:rPr>
          <w:rFonts w:ascii="標楷體" w:eastAsia="標楷體" w:hAnsi="標楷體" w:cs="DFKaiShu-SB-Estd-BF" w:hint="eastAsia"/>
          <w:kern w:val="0"/>
          <w:sz w:val="28"/>
          <w:szCs w:val="27"/>
        </w:rPr>
        <w:t>月內</w:t>
      </w:r>
      <w:proofErr w:type="gramStart"/>
      <w:r w:rsidRPr="006028D6">
        <w:rPr>
          <w:rFonts w:ascii="標楷體" w:eastAsia="標楷體" w:hAnsi="標楷體" w:cs="DFKaiShu-SB-Estd-BF" w:hint="eastAsia"/>
          <w:kern w:val="0"/>
          <w:sz w:val="28"/>
          <w:szCs w:val="27"/>
        </w:rPr>
        <w:t>檢附不起訴</w:t>
      </w:r>
      <w:proofErr w:type="gramEnd"/>
      <w:r w:rsidRPr="006028D6">
        <w:rPr>
          <w:rFonts w:ascii="標楷體" w:eastAsia="標楷體" w:hAnsi="標楷體" w:cs="DFKaiShu-SB-Estd-BF" w:hint="eastAsia"/>
          <w:kern w:val="0"/>
          <w:sz w:val="28"/>
          <w:szCs w:val="27"/>
        </w:rPr>
        <w:t>處分書、判決確定證明書、判決書或其他足資證明停職原因消滅之證明文件向所屬機關學校申請復職。</w:t>
      </w:r>
    </w:p>
    <w:p w:rsidR="00E8342C" w:rsidRPr="006028D6"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2</w:t>
      </w:r>
      <w:r w:rsidRPr="006028D6">
        <w:rPr>
          <w:rFonts w:ascii="標楷體" w:eastAsia="標楷體" w:hAnsi="標楷體" w:cs="DFKaiShu-SB-Estd-BF" w:hint="eastAsia"/>
          <w:kern w:val="0"/>
          <w:sz w:val="28"/>
          <w:szCs w:val="27"/>
        </w:rPr>
        <w:t>、各機關學校受理申請後應</w:t>
      </w:r>
      <w:proofErr w:type="gramStart"/>
      <w:r w:rsidRPr="006028D6">
        <w:rPr>
          <w:rFonts w:ascii="標楷體" w:eastAsia="標楷體" w:hAnsi="標楷體" w:cs="DFKaiShu-SB-Estd-BF" w:hint="eastAsia"/>
          <w:kern w:val="0"/>
          <w:sz w:val="28"/>
          <w:szCs w:val="27"/>
        </w:rPr>
        <w:t>審究擬</w:t>
      </w:r>
      <w:proofErr w:type="gramEnd"/>
      <w:r w:rsidRPr="006028D6">
        <w:rPr>
          <w:rFonts w:ascii="標楷體" w:eastAsia="標楷體" w:hAnsi="標楷體" w:cs="DFKaiShu-SB-Estd-BF" w:hint="eastAsia"/>
          <w:kern w:val="0"/>
          <w:sz w:val="28"/>
          <w:szCs w:val="27"/>
        </w:rPr>
        <w:t>復職者行政責任，依法議處，並將辦理結果</w:t>
      </w:r>
      <w:proofErr w:type="gramStart"/>
      <w:r w:rsidRPr="006028D6">
        <w:rPr>
          <w:rFonts w:ascii="標楷體" w:eastAsia="標楷體" w:hAnsi="標楷體" w:cs="DFKaiShu-SB-Estd-BF" w:hint="eastAsia"/>
          <w:kern w:val="0"/>
          <w:sz w:val="28"/>
          <w:szCs w:val="27"/>
        </w:rPr>
        <w:t>併</w:t>
      </w:r>
      <w:proofErr w:type="gramEnd"/>
      <w:r w:rsidRPr="006028D6">
        <w:rPr>
          <w:rFonts w:ascii="標楷體" w:eastAsia="標楷體" w:hAnsi="標楷體" w:cs="DFKaiShu-SB-Estd-BF" w:hint="eastAsia"/>
          <w:kern w:val="0"/>
          <w:sz w:val="28"/>
          <w:szCs w:val="27"/>
        </w:rPr>
        <w:t>復職案陳報本府核辦。</w:t>
      </w:r>
    </w:p>
    <w:p w:rsidR="00E8342C" w:rsidRPr="006028D6"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3</w:t>
      </w:r>
      <w:r w:rsidRPr="006028D6">
        <w:rPr>
          <w:rFonts w:ascii="標楷體" w:eastAsia="標楷體" w:hAnsi="標楷體" w:cs="DFKaiShu-SB-Estd-BF" w:hint="eastAsia"/>
          <w:kern w:val="0"/>
          <w:sz w:val="28"/>
          <w:szCs w:val="27"/>
        </w:rPr>
        <w:t>、各機關學校</w:t>
      </w:r>
      <w:proofErr w:type="gramStart"/>
      <w:r w:rsidRPr="006028D6">
        <w:rPr>
          <w:rFonts w:ascii="標楷體" w:eastAsia="標楷體" w:hAnsi="標楷體" w:cs="DFKaiShu-SB-Estd-BF" w:hint="eastAsia"/>
          <w:kern w:val="0"/>
          <w:sz w:val="28"/>
          <w:szCs w:val="27"/>
        </w:rPr>
        <w:t>依前目處理</w:t>
      </w:r>
      <w:proofErr w:type="gramEnd"/>
      <w:r w:rsidRPr="006028D6">
        <w:rPr>
          <w:rFonts w:ascii="標楷體" w:eastAsia="標楷體" w:hAnsi="標楷體" w:cs="DFKaiShu-SB-Estd-BF" w:hint="eastAsia"/>
          <w:kern w:val="0"/>
          <w:sz w:val="28"/>
          <w:szCs w:val="27"/>
        </w:rPr>
        <w:t>後，如認無行政責任，仍應敘明理由，以憑核辦。</w:t>
      </w:r>
    </w:p>
    <w:p w:rsidR="00BD699B" w:rsidRPr="006028D6" w:rsidRDefault="00E8342C" w:rsidP="006028D6">
      <w:pPr>
        <w:autoSpaceDE w:val="0"/>
        <w:autoSpaceDN w:val="0"/>
        <w:adjustRightInd w:val="0"/>
        <w:spacing w:line="480" w:lineRule="exact"/>
        <w:ind w:leftChars="100" w:left="1080" w:hangingChars="300" w:hanging="840"/>
        <w:rPr>
          <w:rFonts w:ascii="標楷體" w:eastAsia="標楷體" w:hAnsi="標楷體"/>
          <w:sz w:val="28"/>
        </w:rPr>
      </w:pPr>
      <w:r w:rsidRPr="006028D6">
        <w:rPr>
          <w:rFonts w:ascii="標楷體" w:eastAsia="標楷體" w:hAnsi="標楷體" w:cs="DFKaiShu-SB-Estd-BF" w:hint="eastAsia"/>
          <w:kern w:val="0"/>
          <w:sz w:val="28"/>
          <w:szCs w:val="27"/>
        </w:rPr>
        <w:t>（七）同一案件，涉及核辦權責不同之各官職等人員時，授權由權責機關發布之獎懲，應</w:t>
      </w:r>
      <w:proofErr w:type="gramStart"/>
      <w:r w:rsidRPr="006028D6">
        <w:rPr>
          <w:rFonts w:ascii="標楷體" w:eastAsia="標楷體" w:hAnsi="標楷體" w:cs="DFKaiShu-SB-Estd-BF" w:hint="eastAsia"/>
          <w:kern w:val="0"/>
          <w:sz w:val="28"/>
          <w:szCs w:val="27"/>
        </w:rPr>
        <w:t>俟</w:t>
      </w:r>
      <w:proofErr w:type="gramEnd"/>
      <w:r w:rsidRPr="006028D6">
        <w:rPr>
          <w:rFonts w:ascii="標楷體" w:eastAsia="標楷體" w:hAnsi="標楷體" w:cs="DFKaiShu-SB-Estd-BF" w:hint="eastAsia"/>
          <w:kern w:val="0"/>
          <w:sz w:val="28"/>
          <w:szCs w:val="27"/>
        </w:rPr>
        <w:t>上級機關核定發布後，再依權責辦理。</w:t>
      </w:r>
    </w:p>
    <w:sectPr w:rsidR="00BD699B" w:rsidRPr="006028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D31" w:rsidRDefault="00502D31" w:rsidP="005C7E63">
      <w:r>
        <w:separator/>
      </w:r>
    </w:p>
  </w:endnote>
  <w:endnote w:type="continuationSeparator" w:id="0">
    <w:p w:rsidR="00502D31" w:rsidRDefault="00502D31" w:rsidP="005C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D31" w:rsidRDefault="00502D31" w:rsidP="005C7E63">
      <w:r>
        <w:separator/>
      </w:r>
    </w:p>
  </w:footnote>
  <w:footnote w:type="continuationSeparator" w:id="0">
    <w:p w:rsidR="00502D31" w:rsidRDefault="00502D31" w:rsidP="005C7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42C"/>
    <w:rsid w:val="001E0C11"/>
    <w:rsid w:val="004B72C2"/>
    <w:rsid w:val="00502D31"/>
    <w:rsid w:val="005C7E63"/>
    <w:rsid w:val="006028D6"/>
    <w:rsid w:val="008D688E"/>
    <w:rsid w:val="00AE484D"/>
    <w:rsid w:val="00BD699B"/>
    <w:rsid w:val="00E834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E63"/>
    <w:pPr>
      <w:tabs>
        <w:tab w:val="center" w:pos="4153"/>
        <w:tab w:val="right" w:pos="8306"/>
      </w:tabs>
      <w:snapToGrid w:val="0"/>
    </w:pPr>
    <w:rPr>
      <w:sz w:val="20"/>
      <w:szCs w:val="20"/>
    </w:rPr>
  </w:style>
  <w:style w:type="character" w:customStyle="1" w:styleId="a4">
    <w:name w:val="頁首 字元"/>
    <w:basedOn w:val="a0"/>
    <w:link w:val="a3"/>
    <w:uiPriority w:val="99"/>
    <w:rsid w:val="005C7E63"/>
    <w:rPr>
      <w:sz w:val="20"/>
      <w:szCs w:val="20"/>
    </w:rPr>
  </w:style>
  <w:style w:type="paragraph" w:styleId="a5">
    <w:name w:val="footer"/>
    <w:basedOn w:val="a"/>
    <w:link w:val="a6"/>
    <w:uiPriority w:val="99"/>
    <w:unhideWhenUsed/>
    <w:rsid w:val="005C7E63"/>
    <w:pPr>
      <w:tabs>
        <w:tab w:val="center" w:pos="4153"/>
        <w:tab w:val="right" w:pos="8306"/>
      </w:tabs>
      <w:snapToGrid w:val="0"/>
    </w:pPr>
    <w:rPr>
      <w:sz w:val="20"/>
      <w:szCs w:val="20"/>
    </w:rPr>
  </w:style>
  <w:style w:type="character" w:customStyle="1" w:styleId="a6">
    <w:name w:val="頁尾 字元"/>
    <w:basedOn w:val="a0"/>
    <w:link w:val="a5"/>
    <w:uiPriority w:val="99"/>
    <w:rsid w:val="005C7E6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E63"/>
    <w:pPr>
      <w:tabs>
        <w:tab w:val="center" w:pos="4153"/>
        <w:tab w:val="right" w:pos="8306"/>
      </w:tabs>
      <w:snapToGrid w:val="0"/>
    </w:pPr>
    <w:rPr>
      <w:sz w:val="20"/>
      <w:szCs w:val="20"/>
    </w:rPr>
  </w:style>
  <w:style w:type="character" w:customStyle="1" w:styleId="a4">
    <w:name w:val="頁首 字元"/>
    <w:basedOn w:val="a0"/>
    <w:link w:val="a3"/>
    <w:uiPriority w:val="99"/>
    <w:rsid w:val="005C7E63"/>
    <w:rPr>
      <w:sz w:val="20"/>
      <w:szCs w:val="20"/>
    </w:rPr>
  </w:style>
  <w:style w:type="paragraph" w:styleId="a5">
    <w:name w:val="footer"/>
    <w:basedOn w:val="a"/>
    <w:link w:val="a6"/>
    <w:uiPriority w:val="99"/>
    <w:unhideWhenUsed/>
    <w:rsid w:val="005C7E63"/>
    <w:pPr>
      <w:tabs>
        <w:tab w:val="center" w:pos="4153"/>
        <w:tab w:val="right" w:pos="8306"/>
      </w:tabs>
      <w:snapToGrid w:val="0"/>
    </w:pPr>
    <w:rPr>
      <w:sz w:val="20"/>
      <w:szCs w:val="20"/>
    </w:rPr>
  </w:style>
  <w:style w:type="character" w:customStyle="1" w:styleId="a6">
    <w:name w:val="頁尾 字元"/>
    <w:basedOn w:val="a0"/>
    <w:link w:val="a5"/>
    <w:uiPriority w:val="99"/>
    <w:rsid w:val="005C7E6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787BD-A869-429A-BCF2-4D92166C3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265</Words>
  <Characters>1517</Characters>
  <Application>Microsoft Office Word</Application>
  <DocSecurity>0</DocSecurity>
  <Lines>12</Lines>
  <Paragraphs>3</Paragraphs>
  <ScaleCrop>false</ScaleCrop>
  <Company>SYNNEX</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2</cp:revision>
  <dcterms:created xsi:type="dcterms:W3CDTF">2016-10-13T08:27:00Z</dcterms:created>
  <dcterms:modified xsi:type="dcterms:W3CDTF">2016-10-13T08:27:00Z</dcterms:modified>
</cp:coreProperties>
</file>