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7" w:rsidRPr="000C69F8" w:rsidRDefault="00BE6C07" w:rsidP="00B80418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OLE_LINK1"/>
      <w:bookmarkStart w:id="1" w:name="OLE_LINK2"/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臺南市興辦公共工程土地改良物補償自治條例</w:t>
      </w:r>
      <w:bookmarkEnd w:id="0"/>
      <w:bookmarkEnd w:id="1"/>
    </w:p>
    <w:p w:rsidR="00BE6C07" w:rsidRPr="000C69F8" w:rsidRDefault="00BE6C07" w:rsidP="000C69F8">
      <w:pPr>
        <w:snapToGrid w:val="0"/>
        <w:spacing w:line="420" w:lineRule="exact"/>
        <w:ind w:firstLineChars="200" w:firstLine="316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第二十三條之ㄧ修正草案總說明</w:t>
      </w:r>
    </w:p>
    <w:p w:rsidR="00BE6C07" w:rsidRPr="000C69F8" w:rsidRDefault="00BE6C07" w:rsidP="000C69F8">
      <w:pPr>
        <w:snapToGrid w:val="0"/>
        <w:spacing w:beforeLines="50" w:afterLines="50" w:line="420" w:lineRule="exact"/>
        <w:ind w:firstLineChars="200" w:firstLine="31680"/>
        <w:jc w:val="both"/>
        <w:rPr>
          <w:rFonts w:ascii="標楷體" w:eastAsia="標楷體" w:hAnsi="標楷體" w:cs="Times New Roman"/>
          <w:dstrike/>
          <w:sz w:val="28"/>
          <w:szCs w:val="28"/>
        </w:rPr>
      </w:pPr>
      <w:r w:rsidRPr="000C69F8">
        <w:rPr>
          <w:rFonts w:ascii="標楷體" w:eastAsia="標楷體" w:hAnsi="標楷體" w:cs="標楷體" w:hint="eastAsia"/>
          <w:sz w:val="28"/>
          <w:szCs w:val="28"/>
        </w:rPr>
        <w:t>為利古蹟歷史建築修復及再利用計畫推行，將「辦理古蹟歷史建築修復及再利用計畫」納入本自治條例適用對象，以查估古蹟歷史建築定著土地範圍內之土地改良物補償費、遷移費、救濟金及獎勵金，維護土地改良物所有權人財產權益，爰擬具第二十三條之一修正草案。</w:t>
      </w:r>
    </w:p>
    <w:p w:rsidR="00BE6C07" w:rsidRPr="000C69F8" w:rsidRDefault="00BE6C07" w:rsidP="000C69F8">
      <w:pPr>
        <w:pStyle w:val="ListParagraph"/>
        <w:widowControl/>
        <w:snapToGrid w:val="0"/>
        <w:spacing w:line="420" w:lineRule="exact"/>
        <w:ind w:leftChars="0" w:left="0" w:firstLineChars="200" w:firstLine="31680"/>
        <w:jc w:val="both"/>
        <w:rPr>
          <w:rFonts w:ascii="標楷體" w:eastAsia="標楷體" w:hAnsi="標楷體" w:cs="Times New Roman"/>
          <w:dstrike/>
          <w:sz w:val="28"/>
          <w:szCs w:val="28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  <w:sz w:val="28"/>
          <w:szCs w:val="28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widowControl/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C69F8">
        <w:rPr>
          <w:rFonts w:ascii="標楷體" w:eastAsia="標楷體" w:hAnsi="標楷體" w:cs="Times New Roman"/>
        </w:rPr>
        <w:br w:type="page"/>
      </w:r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臺南市興辦公共工程土地改良物補償自治條例</w:t>
      </w:r>
    </w:p>
    <w:p w:rsidR="00BE6C07" w:rsidRPr="000C69F8" w:rsidRDefault="00BE6C07" w:rsidP="00B80418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第二十三條之ㄧ修正草案對照表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BE6C07" w:rsidRPr="000C69F8">
        <w:tc>
          <w:tcPr>
            <w:tcW w:w="3209" w:type="dxa"/>
          </w:tcPr>
          <w:p w:rsidR="00BE6C07" w:rsidRPr="000C69F8" w:rsidRDefault="00BE6C07" w:rsidP="00B80418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修正條文</w:t>
            </w:r>
          </w:p>
        </w:tc>
        <w:tc>
          <w:tcPr>
            <w:tcW w:w="3209" w:type="dxa"/>
          </w:tcPr>
          <w:p w:rsidR="00BE6C07" w:rsidRPr="000C69F8" w:rsidRDefault="00BE6C07" w:rsidP="00B80418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現行條文</w:t>
            </w:r>
          </w:p>
        </w:tc>
        <w:tc>
          <w:tcPr>
            <w:tcW w:w="3210" w:type="dxa"/>
          </w:tcPr>
          <w:p w:rsidR="00BE6C07" w:rsidRPr="000C69F8" w:rsidRDefault="00BE6C07" w:rsidP="00B80418">
            <w:pPr>
              <w:snapToGrid w:val="0"/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</w:tr>
      <w:tr w:rsidR="00BE6C07" w:rsidRPr="000C69F8">
        <w:trPr>
          <w:trHeight w:val="2692"/>
        </w:trPr>
        <w:tc>
          <w:tcPr>
            <w:tcW w:w="3209" w:type="dxa"/>
          </w:tcPr>
          <w:p w:rsidR="00BE6C07" w:rsidRPr="000C69F8" w:rsidRDefault="00BE6C07" w:rsidP="00B80418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第二十三條之一</w:t>
            </w:r>
            <w:r w:rsidRPr="000C69F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本自治條例規定之土地改良物補償費、遷移費、救濟金及獎勵金發給，於古蹟、歷史建築定著土地範圍內辦理修復及再利用工程，亦適用之。</w:t>
            </w:r>
          </w:p>
        </w:tc>
        <w:tc>
          <w:tcPr>
            <w:tcW w:w="3209" w:type="dxa"/>
          </w:tcPr>
          <w:p w:rsidR="00BE6C07" w:rsidRPr="000C69F8" w:rsidRDefault="00BE6C07" w:rsidP="00B80418">
            <w:p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BE6C07" w:rsidRPr="000C69F8" w:rsidRDefault="00BE6C07" w:rsidP="00B80418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本條新增。</w:t>
            </w:r>
          </w:p>
          <w:p w:rsidR="00BE6C07" w:rsidRPr="000C69F8" w:rsidRDefault="00BE6C07" w:rsidP="00B80418">
            <w:pPr>
              <w:numPr>
                <w:ilvl w:val="0"/>
                <w:numId w:val="6"/>
              </w:numPr>
              <w:snapToGrid w:val="0"/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69F8">
              <w:rPr>
                <w:rFonts w:ascii="標楷體" w:eastAsia="標楷體" w:hAnsi="標楷體" w:cs="標楷體" w:hint="eastAsia"/>
                <w:sz w:val="28"/>
                <w:szCs w:val="28"/>
              </w:rPr>
              <w:t>擴大本自治條例適用對象範圍，將古蹟歷史建築定著土地範圍內修復或再利用工程納入，以維護土地改良物所有權人財產權益。</w:t>
            </w:r>
          </w:p>
        </w:tc>
      </w:tr>
    </w:tbl>
    <w:p w:rsidR="00BE6C07" w:rsidRPr="000C69F8" w:rsidRDefault="00BE6C07" w:rsidP="00B80418">
      <w:pPr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snapToGrid w:val="0"/>
        <w:spacing w:line="420" w:lineRule="exact"/>
        <w:rPr>
          <w:rFonts w:ascii="標楷體" w:eastAsia="標楷體" w:hAnsi="標楷體" w:cs="Times New Roman"/>
        </w:rPr>
      </w:pPr>
    </w:p>
    <w:p w:rsidR="00BE6C07" w:rsidRPr="000C69F8" w:rsidRDefault="00BE6C07" w:rsidP="00B80418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C69F8">
        <w:rPr>
          <w:rFonts w:ascii="標楷體" w:eastAsia="標楷體" w:hAnsi="標楷體" w:cs="Times New Roman"/>
        </w:rPr>
        <w:br w:type="page"/>
      </w:r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臺南市興辦公共工程土地改良物補償自治條例</w:t>
      </w:r>
    </w:p>
    <w:p w:rsidR="00BE6C07" w:rsidRPr="000C69F8" w:rsidRDefault="00BE6C07" w:rsidP="00B80418">
      <w:pPr>
        <w:snapToGrid w:val="0"/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C69F8">
        <w:rPr>
          <w:rFonts w:ascii="標楷體" w:eastAsia="標楷體" w:hAnsi="標楷體" w:cs="標楷體" w:hint="eastAsia"/>
          <w:b/>
          <w:bCs/>
          <w:sz w:val="40"/>
          <w:szCs w:val="40"/>
        </w:rPr>
        <w:t>第二十三條之ㄧ修正草案條文</w:t>
      </w:r>
    </w:p>
    <w:p w:rsidR="00BE6C07" w:rsidRPr="000C69F8" w:rsidRDefault="00BE6C07" w:rsidP="00B80418">
      <w:pPr>
        <w:snapToGrid w:val="0"/>
        <w:spacing w:line="420" w:lineRule="exact"/>
        <w:rPr>
          <w:rFonts w:ascii="標楷體" w:eastAsia="標楷體" w:hAnsi="標楷體" w:cs="Times New Roman"/>
          <w:sz w:val="28"/>
          <w:szCs w:val="28"/>
        </w:rPr>
      </w:pPr>
    </w:p>
    <w:p w:rsidR="00BE6C07" w:rsidRPr="000C69F8" w:rsidRDefault="00BE6C07" w:rsidP="004C4231">
      <w:pPr>
        <w:snapToGrid w:val="0"/>
        <w:spacing w:line="420" w:lineRule="exact"/>
        <w:ind w:left="1680" w:hanging="1680"/>
        <w:jc w:val="both"/>
        <w:rPr>
          <w:rFonts w:ascii="標楷體" w:eastAsia="標楷體" w:hAnsi="標楷體" w:cs="Times New Roman"/>
          <w:sz w:val="28"/>
          <w:szCs w:val="28"/>
        </w:rPr>
      </w:pPr>
      <w:r w:rsidRPr="000C69F8">
        <w:rPr>
          <w:rFonts w:ascii="標楷體" w:eastAsia="標楷體" w:hAnsi="標楷體" w:cs="標楷體" w:hint="eastAsia"/>
          <w:sz w:val="28"/>
          <w:szCs w:val="28"/>
        </w:rPr>
        <w:t>第二十三條之一</w:t>
      </w:r>
      <w:r w:rsidRPr="000C69F8">
        <w:rPr>
          <w:rFonts w:ascii="標楷體" w:eastAsia="標楷體" w:hAnsi="標楷體" w:cs="標楷體"/>
          <w:sz w:val="28"/>
          <w:szCs w:val="28"/>
        </w:rPr>
        <w:t xml:space="preserve">  </w:t>
      </w:r>
      <w:r w:rsidRPr="000C69F8">
        <w:rPr>
          <w:rFonts w:ascii="標楷體" w:eastAsia="標楷體" w:hAnsi="標楷體" w:cs="標楷體" w:hint="eastAsia"/>
          <w:sz w:val="28"/>
          <w:szCs w:val="28"/>
        </w:rPr>
        <w:t>本自治條例規定之土地改良物補償費、遷移費、救濟金及獎勵金發給，於古蹟、歷史建築定著土地範圍內辦理修復及再利用工程，亦適用之。</w:t>
      </w:r>
    </w:p>
    <w:sectPr w:rsidR="00BE6C07" w:rsidRPr="000C69F8" w:rsidSect="00B804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07" w:rsidRDefault="00BE6C07" w:rsidP="008849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6C07" w:rsidRDefault="00BE6C07" w:rsidP="008849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07" w:rsidRDefault="00BE6C07" w:rsidP="008849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6C07" w:rsidRDefault="00BE6C07" w:rsidP="008849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D8"/>
    <w:multiLevelType w:val="hybridMultilevel"/>
    <w:tmpl w:val="6D18C224"/>
    <w:lvl w:ilvl="0" w:tplc="E842BFAA">
      <w:start w:val="1"/>
      <w:numFmt w:val="taiwaneseCountingThousand"/>
      <w:lvlText w:val="%1、"/>
      <w:lvlJc w:val="left"/>
      <w:pPr>
        <w:ind w:left="104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BF2275D"/>
    <w:multiLevelType w:val="hybridMultilevel"/>
    <w:tmpl w:val="E06C14A0"/>
    <w:lvl w:ilvl="0" w:tplc="8320D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A0D68"/>
    <w:multiLevelType w:val="hybridMultilevel"/>
    <w:tmpl w:val="DEFCEED0"/>
    <w:lvl w:ilvl="0" w:tplc="E842BF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6403C1"/>
    <w:multiLevelType w:val="hybridMultilevel"/>
    <w:tmpl w:val="6E648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654EF9"/>
    <w:multiLevelType w:val="hybridMultilevel"/>
    <w:tmpl w:val="BC4E89DA"/>
    <w:lvl w:ilvl="0" w:tplc="E842BF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C94166"/>
    <w:multiLevelType w:val="hybridMultilevel"/>
    <w:tmpl w:val="C9147AAC"/>
    <w:lvl w:ilvl="0" w:tplc="BFE672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D56"/>
    <w:rsid w:val="000150B7"/>
    <w:rsid w:val="00064B64"/>
    <w:rsid w:val="0007668B"/>
    <w:rsid w:val="00087FA5"/>
    <w:rsid w:val="00092596"/>
    <w:rsid w:val="000C0B17"/>
    <w:rsid w:val="000C3F58"/>
    <w:rsid w:val="000C69F8"/>
    <w:rsid w:val="000D07F7"/>
    <w:rsid w:val="000E6113"/>
    <w:rsid w:val="000F41FF"/>
    <w:rsid w:val="00125897"/>
    <w:rsid w:val="00133DD7"/>
    <w:rsid w:val="0013542D"/>
    <w:rsid w:val="001626AA"/>
    <w:rsid w:val="001836CC"/>
    <w:rsid w:val="001B343B"/>
    <w:rsid w:val="001C3360"/>
    <w:rsid w:val="00231829"/>
    <w:rsid w:val="00253CBD"/>
    <w:rsid w:val="0025769A"/>
    <w:rsid w:val="002864A1"/>
    <w:rsid w:val="002C6CA5"/>
    <w:rsid w:val="002F62BD"/>
    <w:rsid w:val="003054DA"/>
    <w:rsid w:val="0031688D"/>
    <w:rsid w:val="00324FEB"/>
    <w:rsid w:val="00327971"/>
    <w:rsid w:val="003310EF"/>
    <w:rsid w:val="00363843"/>
    <w:rsid w:val="00364DA9"/>
    <w:rsid w:val="003A0033"/>
    <w:rsid w:val="003A3F00"/>
    <w:rsid w:val="003B486E"/>
    <w:rsid w:val="003B50D4"/>
    <w:rsid w:val="003C3C2B"/>
    <w:rsid w:val="003E3E02"/>
    <w:rsid w:val="00401E7E"/>
    <w:rsid w:val="00413D79"/>
    <w:rsid w:val="00425F72"/>
    <w:rsid w:val="00442669"/>
    <w:rsid w:val="00462D63"/>
    <w:rsid w:val="0046779A"/>
    <w:rsid w:val="004A5D8E"/>
    <w:rsid w:val="004A650B"/>
    <w:rsid w:val="004B2224"/>
    <w:rsid w:val="004C4231"/>
    <w:rsid w:val="004D0D8A"/>
    <w:rsid w:val="004F1A32"/>
    <w:rsid w:val="004F68DC"/>
    <w:rsid w:val="00510E5D"/>
    <w:rsid w:val="00514ACD"/>
    <w:rsid w:val="005465E6"/>
    <w:rsid w:val="00555AB2"/>
    <w:rsid w:val="005878F6"/>
    <w:rsid w:val="00590339"/>
    <w:rsid w:val="00617D67"/>
    <w:rsid w:val="00645B63"/>
    <w:rsid w:val="00647C5D"/>
    <w:rsid w:val="00661C68"/>
    <w:rsid w:val="0069743B"/>
    <w:rsid w:val="006B2D56"/>
    <w:rsid w:val="006B5113"/>
    <w:rsid w:val="006C76D5"/>
    <w:rsid w:val="006D6334"/>
    <w:rsid w:val="006E03AC"/>
    <w:rsid w:val="006F026B"/>
    <w:rsid w:val="007362BF"/>
    <w:rsid w:val="00776066"/>
    <w:rsid w:val="0079271D"/>
    <w:rsid w:val="007C1664"/>
    <w:rsid w:val="007C2DE1"/>
    <w:rsid w:val="007E2F28"/>
    <w:rsid w:val="007E5642"/>
    <w:rsid w:val="007E58F3"/>
    <w:rsid w:val="00807312"/>
    <w:rsid w:val="00830D5A"/>
    <w:rsid w:val="00850EA7"/>
    <w:rsid w:val="00851C1B"/>
    <w:rsid w:val="00884984"/>
    <w:rsid w:val="008F0794"/>
    <w:rsid w:val="00936D83"/>
    <w:rsid w:val="0097465A"/>
    <w:rsid w:val="00974CE7"/>
    <w:rsid w:val="0098594D"/>
    <w:rsid w:val="009859DB"/>
    <w:rsid w:val="00987C76"/>
    <w:rsid w:val="009B6328"/>
    <w:rsid w:val="009C6844"/>
    <w:rsid w:val="00A57137"/>
    <w:rsid w:val="00A966F6"/>
    <w:rsid w:val="00AE1872"/>
    <w:rsid w:val="00B637CA"/>
    <w:rsid w:val="00B80418"/>
    <w:rsid w:val="00B97910"/>
    <w:rsid w:val="00BA6D54"/>
    <w:rsid w:val="00BC0FAA"/>
    <w:rsid w:val="00BE638A"/>
    <w:rsid w:val="00BE6C07"/>
    <w:rsid w:val="00BF3283"/>
    <w:rsid w:val="00C00675"/>
    <w:rsid w:val="00C36E93"/>
    <w:rsid w:val="00C46C88"/>
    <w:rsid w:val="00C50FD2"/>
    <w:rsid w:val="00C909E4"/>
    <w:rsid w:val="00CA394A"/>
    <w:rsid w:val="00CF764E"/>
    <w:rsid w:val="00D011B8"/>
    <w:rsid w:val="00D27623"/>
    <w:rsid w:val="00D369DB"/>
    <w:rsid w:val="00D55108"/>
    <w:rsid w:val="00D679E8"/>
    <w:rsid w:val="00D8351E"/>
    <w:rsid w:val="00DB543E"/>
    <w:rsid w:val="00DB6F4D"/>
    <w:rsid w:val="00DD255A"/>
    <w:rsid w:val="00DF2F4A"/>
    <w:rsid w:val="00E137DD"/>
    <w:rsid w:val="00E233ED"/>
    <w:rsid w:val="00E31E17"/>
    <w:rsid w:val="00E66BC8"/>
    <w:rsid w:val="00E92D2C"/>
    <w:rsid w:val="00E962BF"/>
    <w:rsid w:val="00F1378C"/>
    <w:rsid w:val="00F40E22"/>
    <w:rsid w:val="00F45125"/>
    <w:rsid w:val="00F77EEE"/>
    <w:rsid w:val="00F85C75"/>
    <w:rsid w:val="00FB62C4"/>
    <w:rsid w:val="00FC5DBC"/>
    <w:rsid w:val="00FD52D8"/>
    <w:rsid w:val="00FE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1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36C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8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498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84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49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50D4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0D4"/>
    <w:rPr>
      <w:rFonts w:ascii="Calibri Light" w:eastAsia="新細明體" w:hAnsi="Calibri Light" w:cs="Calibri Light"/>
      <w:sz w:val="18"/>
      <w:szCs w:val="18"/>
    </w:rPr>
  </w:style>
  <w:style w:type="paragraph" w:styleId="ListParagraph">
    <w:name w:val="List Paragraph"/>
    <w:basedOn w:val="Normal"/>
    <w:uiPriority w:val="99"/>
    <w:qFormat/>
    <w:rsid w:val="0013542D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E31E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31E17"/>
    <w:rPr>
      <w:rFonts w:ascii="細明體" w:eastAsia="細明體" w:hAnsi="細明體" w:cs="細明體"/>
      <w:kern w:val="0"/>
      <w:sz w:val="24"/>
      <w:szCs w:val="24"/>
    </w:rPr>
  </w:style>
  <w:style w:type="paragraph" w:customStyle="1" w:styleId="a">
    <w:name w:val="字元 字元 字元 字元"/>
    <w:basedOn w:val="Normal"/>
    <w:uiPriority w:val="99"/>
    <w:rsid w:val="00DD255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69</Words>
  <Characters>397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臺南市政府環境影響評估審查委員會組織規程第一條、第十條、第十一條修正草案總說明</dc:title>
  <dc:subject/>
  <dc:creator>MIHC</dc:creator>
  <cp:keywords/>
  <dc:description/>
  <cp:lastModifiedBy>user</cp:lastModifiedBy>
  <cp:revision>3</cp:revision>
  <cp:lastPrinted>2016-05-24T04:14:00Z</cp:lastPrinted>
  <dcterms:created xsi:type="dcterms:W3CDTF">2016-05-24T07:52:00Z</dcterms:created>
  <dcterms:modified xsi:type="dcterms:W3CDTF">2016-05-26T06:44:00Z</dcterms:modified>
</cp:coreProperties>
</file>