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shd w:val="clear" w:color="auto" w:fill="FFFFFF"/>
        <w:tblCellMar>
          <w:top w:w="45" w:type="dxa"/>
          <w:left w:w="45" w:type="dxa"/>
          <w:bottom w:w="45" w:type="dxa"/>
          <w:right w:w="45" w:type="dxa"/>
        </w:tblCellMar>
        <w:tblLook w:val="04A0" w:firstRow="1" w:lastRow="0" w:firstColumn="1" w:lastColumn="0" w:noHBand="0" w:noVBand="1"/>
      </w:tblPr>
      <w:tblGrid>
        <w:gridCol w:w="1270"/>
        <w:gridCol w:w="156"/>
        <w:gridCol w:w="9422"/>
      </w:tblGrid>
      <w:tr w:rsidR="00720A37" w:rsidRPr="00720A37" w:rsidTr="00720A37">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 xml:space="preserve">  勞資爭議調解辦法</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 xml:space="preserve"> 第 </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 xml:space="preserve"> 章 總則</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7" w:history="1">
              <w:r w:rsidRPr="00720A37">
                <w:rPr>
                  <w:rFonts w:ascii="標楷體" w:eastAsia="標楷體" w:hAnsi="標楷體" w:cs="新細明體" w:hint="eastAsia"/>
                  <w:color w:val="3366FF"/>
                  <w:kern w:val="0"/>
                  <w:sz w:val="28"/>
                  <w:szCs w:val="28"/>
                  <w:u w:val="single"/>
                  <w:bdr w:val="none" w:sz="0" w:space="0" w:color="auto" w:frame="1"/>
                </w:rPr>
                <w:t>第 1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本辦法依勞資爭議處理法（以下簡稱本法）第十一條第四項規定訂定之。</w:t>
            </w:r>
          </w:p>
        </w:tc>
      </w:tr>
      <w:tr w:rsidR="00720A37" w:rsidRPr="00720A37" w:rsidTr="00720A37">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 xml:space="preserve">   第 二 章 調解之受理</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8" w:history="1">
              <w:r w:rsidRPr="00720A37">
                <w:rPr>
                  <w:rFonts w:ascii="標楷體" w:eastAsia="標楷體" w:hAnsi="標楷體" w:cs="新細明體" w:hint="eastAsia"/>
                  <w:color w:val="3366FF"/>
                  <w:kern w:val="0"/>
                  <w:sz w:val="28"/>
                  <w:szCs w:val="28"/>
                  <w:u w:val="single"/>
                  <w:bdr w:val="none" w:sz="0" w:space="0" w:color="auto" w:frame="1"/>
                </w:rPr>
                <w:t>第 2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勞資爭議當事人應檢具調解申請書向直轄市、縣（市）主管機關（以下簡稱地方主管機關）申請調解。</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地方主管機關受理前項調解申請時，應向申請人說明下列事項：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一、得選擇透過地方主管機關指派調解人，或組成勞資爭議調解委員會之方式進行調解。</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二、選擇透過地方主管機關指派調解人之方式進行調解時，地方主管機關得委託民間團體指派調解人進行調解。</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三、得請求地方主管機關提出調解委員名冊及受託民間團體名冊，供其閱覽。</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四、得要求調解人說明其身分及資格。</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地方主管機關所提供之調解申請書，應附記前項說明內容。</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9" w:history="1">
              <w:r w:rsidRPr="00720A37">
                <w:rPr>
                  <w:rFonts w:ascii="標楷體" w:eastAsia="標楷體" w:hAnsi="標楷體" w:cs="新細明體" w:hint="eastAsia"/>
                  <w:color w:val="3366FF"/>
                  <w:kern w:val="0"/>
                  <w:sz w:val="28"/>
                  <w:szCs w:val="28"/>
                  <w:u w:val="single"/>
                  <w:bdr w:val="none" w:sz="0" w:space="0" w:color="auto" w:frame="1"/>
                </w:rPr>
                <w:t>第 3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前條申請書應</w:t>
            </w:r>
            <w:proofErr w:type="gramStart"/>
            <w:r w:rsidRPr="00720A37">
              <w:rPr>
                <w:rFonts w:ascii="標楷體" w:eastAsia="標楷體" w:hAnsi="標楷體" w:cs="細明體" w:hint="eastAsia"/>
                <w:color w:val="000000"/>
                <w:kern w:val="0"/>
                <w:sz w:val="28"/>
                <w:szCs w:val="28"/>
              </w:rPr>
              <w:t>載明本法</w:t>
            </w:r>
            <w:proofErr w:type="gramEnd"/>
            <w:r w:rsidRPr="00720A37">
              <w:rPr>
                <w:rFonts w:ascii="標楷體" w:eastAsia="標楷體" w:hAnsi="標楷體" w:cs="細明體" w:hint="eastAsia"/>
                <w:color w:val="000000"/>
                <w:kern w:val="0"/>
                <w:sz w:val="28"/>
                <w:szCs w:val="28"/>
              </w:rPr>
              <w:t>第十條所定事項，未依規定</w:t>
            </w:r>
            <w:proofErr w:type="gramStart"/>
            <w:r w:rsidRPr="00720A37">
              <w:rPr>
                <w:rFonts w:ascii="標楷體" w:eastAsia="標楷體" w:hAnsi="標楷體" w:cs="細明體" w:hint="eastAsia"/>
                <w:color w:val="000000"/>
                <w:kern w:val="0"/>
                <w:sz w:val="28"/>
                <w:szCs w:val="28"/>
              </w:rPr>
              <w:t>載明者</w:t>
            </w:r>
            <w:proofErr w:type="gramEnd"/>
            <w:r w:rsidRPr="00720A37">
              <w:rPr>
                <w:rFonts w:ascii="標楷體" w:eastAsia="標楷體" w:hAnsi="標楷體" w:cs="細明體" w:hint="eastAsia"/>
                <w:color w:val="000000"/>
                <w:kern w:val="0"/>
                <w:sz w:val="28"/>
                <w:szCs w:val="28"/>
              </w:rPr>
              <w:t>，地方主管機關得限期補正。</w:t>
            </w:r>
          </w:p>
        </w:tc>
      </w:tr>
      <w:tr w:rsidR="00720A37" w:rsidRPr="00720A37" w:rsidTr="00720A37">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 xml:space="preserve">   第 三 章 調解委員之</w:t>
            </w:r>
            <w:proofErr w:type="gramStart"/>
            <w:r w:rsidRPr="00720A37">
              <w:rPr>
                <w:rFonts w:ascii="標楷體" w:eastAsia="標楷體" w:hAnsi="標楷體" w:cs="細明體" w:hint="eastAsia"/>
                <w:color w:val="000000"/>
                <w:kern w:val="0"/>
                <w:sz w:val="28"/>
                <w:szCs w:val="28"/>
              </w:rPr>
              <w:t>遴聘及</w:t>
            </w:r>
            <w:proofErr w:type="gramEnd"/>
            <w:r w:rsidRPr="00720A37">
              <w:rPr>
                <w:rFonts w:ascii="標楷體" w:eastAsia="標楷體" w:hAnsi="標楷體" w:cs="細明體" w:hint="eastAsia"/>
                <w:color w:val="000000"/>
                <w:kern w:val="0"/>
                <w:sz w:val="28"/>
                <w:szCs w:val="28"/>
              </w:rPr>
              <w:t>義務</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0" w:history="1">
              <w:r w:rsidRPr="00720A37">
                <w:rPr>
                  <w:rFonts w:ascii="標楷體" w:eastAsia="標楷體" w:hAnsi="標楷體" w:cs="新細明體" w:hint="eastAsia"/>
                  <w:color w:val="3366FF"/>
                  <w:kern w:val="0"/>
                  <w:sz w:val="28"/>
                  <w:szCs w:val="28"/>
                  <w:u w:val="single"/>
                  <w:bdr w:val="none" w:sz="0" w:space="0" w:color="auto" w:frame="1"/>
                </w:rPr>
                <w:t>第 4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w:t>
            </w:r>
            <w:proofErr w:type="gramStart"/>
            <w:r w:rsidRPr="00720A37">
              <w:rPr>
                <w:rFonts w:ascii="標楷體" w:eastAsia="標楷體" w:hAnsi="標楷體" w:cs="細明體" w:hint="eastAsia"/>
                <w:color w:val="000000"/>
                <w:kern w:val="0"/>
                <w:sz w:val="28"/>
                <w:szCs w:val="28"/>
              </w:rPr>
              <w:t>遴</w:t>
            </w:r>
            <w:proofErr w:type="gramEnd"/>
            <w:r w:rsidRPr="00720A37">
              <w:rPr>
                <w:rFonts w:ascii="標楷體" w:eastAsia="標楷體" w:hAnsi="標楷體" w:cs="細明體" w:hint="eastAsia"/>
                <w:color w:val="000000"/>
                <w:kern w:val="0"/>
                <w:sz w:val="28"/>
                <w:szCs w:val="28"/>
              </w:rPr>
              <w:t>聘之調解委員，應具備下列資格之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一、有勞資爭議調解或協調實務經驗二年以上者。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二、曾任或現任各級勞工行政工作二年以上者。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三、曾任或現任各級行政主管機關擔任法制工作二年以上者。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四、曾任或現任工會或雇主團體理事、監事或專任會務工作五年以上者。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五、曾任或現任事業單位管理職五年以上者。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六、符合第十三條所定調解人資格者。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七、符合勞資爭議仲裁委員資格者。</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1" w:history="1">
              <w:r w:rsidRPr="00720A37">
                <w:rPr>
                  <w:rFonts w:ascii="標楷體" w:eastAsia="標楷體" w:hAnsi="標楷體" w:cs="新細明體" w:hint="eastAsia"/>
                  <w:color w:val="3366FF"/>
                  <w:kern w:val="0"/>
                  <w:sz w:val="28"/>
                  <w:szCs w:val="28"/>
                  <w:u w:val="single"/>
                  <w:bdr w:val="none" w:sz="0" w:space="0" w:color="auto" w:frame="1"/>
                </w:rPr>
                <w:t>第 5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有下列情形之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者，不得擔任調解委員：</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一、經褫奪公權宣告尚未復權。</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二、受破產宣告尚未復權。</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三、依消費者債務清理條例開始清算程序尚未復權。</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lastRenderedPageBreak/>
              <w:t>四、受監護或輔助宣告尚未撤銷。</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五、未成年人。</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2" w:history="1">
              <w:r w:rsidRPr="00720A37">
                <w:rPr>
                  <w:rFonts w:ascii="標楷體" w:eastAsia="標楷體" w:hAnsi="標楷體" w:cs="新細明體" w:hint="eastAsia"/>
                  <w:color w:val="3366FF"/>
                  <w:kern w:val="0"/>
                  <w:sz w:val="28"/>
                  <w:szCs w:val="28"/>
                  <w:u w:val="single"/>
                  <w:bdr w:val="none" w:sz="0" w:space="0" w:color="auto" w:frame="1"/>
                </w:rPr>
                <w:t>第 6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地方主管機關備置之調解委員名冊，應記載下列事項：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一、姓名、年齡及性別。</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二、學歷及經歷。</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三、現任職務。</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四、專長。</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五、勞資關係之處理經驗。</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六、</w:t>
            </w:r>
            <w:proofErr w:type="gramStart"/>
            <w:r w:rsidRPr="00720A37">
              <w:rPr>
                <w:rFonts w:ascii="標楷體" w:eastAsia="標楷體" w:hAnsi="標楷體" w:cs="細明體" w:hint="eastAsia"/>
                <w:color w:val="000000"/>
                <w:kern w:val="0"/>
                <w:sz w:val="28"/>
                <w:szCs w:val="28"/>
              </w:rPr>
              <w:t>遴</w:t>
            </w:r>
            <w:proofErr w:type="gramEnd"/>
            <w:r w:rsidRPr="00720A37">
              <w:rPr>
                <w:rFonts w:ascii="標楷體" w:eastAsia="標楷體" w:hAnsi="標楷體" w:cs="細明體" w:hint="eastAsia"/>
                <w:color w:val="000000"/>
                <w:kern w:val="0"/>
                <w:sz w:val="28"/>
                <w:szCs w:val="28"/>
              </w:rPr>
              <w:t>聘日期。</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地方主管機關應於每年五月底前，將調解委員名冊公告之。</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3" w:history="1">
              <w:r w:rsidRPr="00720A37">
                <w:rPr>
                  <w:rFonts w:ascii="標楷體" w:eastAsia="標楷體" w:hAnsi="標楷體" w:cs="新細明體" w:hint="eastAsia"/>
                  <w:color w:val="3366FF"/>
                  <w:kern w:val="0"/>
                  <w:sz w:val="28"/>
                  <w:szCs w:val="28"/>
                  <w:u w:val="single"/>
                  <w:bdr w:val="none" w:sz="0" w:space="0" w:color="auto" w:frame="1"/>
                </w:rPr>
                <w:t>第 7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w:t>
            </w:r>
            <w:proofErr w:type="gramStart"/>
            <w:r w:rsidRPr="00720A37">
              <w:rPr>
                <w:rFonts w:ascii="標楷體" w:eastAsia="標楷體" w:hAnsi="標楷體" w:cs="細明體" w:hint="eastAsia"/>
                <w:color w:val="000000"/>
                <w:kern w:val="0"/>
                <w:sz w:val="28"/>
                <w:szCs w:val="28"/>
              </w:rPr>
              <w:t>遴</w:t>
            </w:r>
            <w:proofErr w:type="gramEnd"/>
            <w:r w:rsidRPr="00720A37">
              <w:rPr>
                <w:rFonts w:ascii="標楷體" w:eastAsia="標楷體" w:hAnsi="標楷體" w:cs="細明體" w:hint="eastAsia"/>
                <w:color w:val="000000"/>
                <w:kern w:val="0"/>
                <w:sz w:val="28"/>
                <w:szCs w:val="28"/>
              </w:rPr>
              <w:t>聘之調解委員，每屆任期為三年。</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調解委員任期中，有增聘調解委員之必要，地方主管機關得增聘之，其任期至前項該屆調解委員任期屆滿為止。</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4" w:history="1">
              <w:r w:rsidRPr="00720A37">
                <w:rPr>
                  <w:rFonts w:ascii="標楷體" w:eastAsia="標楷體" w:hAnsi="標楷體" w:cs="新細明體" w:hint="eastAsia"/>
                  <w:color w:val="3366FF"/>
                  <w:kern w:val="0"/>
                  <w:sz w:val="28"/>
                  <w:szCs w:val="28"/>
                  <w:u w:val="single"/>
                  <w:bdr w:val="none" w:sz="0" w:space="0" w:color="auto" w:frame="1"/>
                </w:rPr>
                <w:t>第 8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地方主管機關依本法第十三條指派或本法第十四條指定之調解委員，須由第六</w:t>
            </w:r>
            <w:proofErr w:type="gramStart"/>
            <w:r w:rsidRPr="00720A37">
              <w:rPr>
                <w:rFonts w:ascii="標楷體" w:eastAsia="標楷體" w:hAnsi="標楷體" w:cs="細明體" w:hint="eastAsia"/>
                <w:color w:val="000000"/>
                <w:kern w:val="0"/>
                <w:sz w:val="28"/>
                <w:szCs w:val="28"/>
              </w:rPr>
              <w:t>條所備置</w:t>
            </w:r>
            <w:proofErr w:type="gramEnd"/>
            <w:r w:rsidRPr="00720A37">
              <w:rPr>
                <w:rFonts w:ascii="標楷體" w:eastAsia="標楷體" w:hAnsi="標楷體" w:cs="細明體" w:hint="eastAsia"/>
                <w:color w:val="000000"/>
                <w:kern w:val="0"/>
                <w:sz w:val="28"/>
                <w:szCs w:val="28"/>
              </w:rPr>
              <w:t>之調解委員名冊中指派或指定。</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勞資爭議當事人依本法第十四條選定之調解委員，不得為現任各級勞工行政主管機關之人員。</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5" w:history="1">
              <w:r w:rsidRPr="00720A37">
                <w:rPr>
                  <w:rFonts w:ascii="標楷體" w:eastAsia="標楷體" w:hAnsi="標楷體" w:cs="新細明體" w:hint="eastAsia"/>
                  <w:color w:val="3366FF"/>
                  <w:kern w:val="0"/>
                  <w:sz w:val="28"/>
                  <w:szCs w:val="28"/>
                  <w:u w:val="single"/>
                  <w:bdr w:val="none" w:sz="0" w:space="0" w:color="auto" w:frame="1"/>
                </w:rPr>
                <w:t>第 9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調解委員有行政程序法第三十二條所定情形，地方主管機關不得指派之。</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受指派之調解委員有前項所定情形時，應即主動陳報，由地方主管機關另行指派之。</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勞資爭議當事人認為受指派之調解委員，有行政程序法第三十三條第一項所定情形之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者，得請求其迴避。</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前項之請求，應於調解方案作成前，以書面敘明理由向地方主管機關提出，地方主管機關須於五日內作成決定。</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6" w:history="1">
              <w:r w:rsidRPr="00720A37">
                <w:rPr>
                  <w:rFonts w:ascii="標楷體" w:eastAsia="標楷體" w:hAnsi="標楷體" w:cs="新細明體" w:hint="eastAsia"/>
                  <w:color w:val="3366FF"/>
                  <w:kern w:val="0"/>
                  <w:sz w:val="28"/>
                  <w:szCs w:val="28"/>
                  <w:u w:val="single"/>
                  <w:bdr w:val="none" w:sz="0" w:space="0" w:color="auto" w:frame="1"/>
                </w:rPr>
                <w:t>第 10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調解委員應於調解程序開始前，主動說明其與勞資爭議當事人之關係。調解委員就當事人請求調解之事項，有財產上利害關係者，亦同。</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7" w:history="1">
              <w:r w:rsidRPr="00720A37">
                <w:rPr>
                  <w:rFonts w:ascii="標楷體" w:eastAsia="標楷體" w:hAnsi="標楷體" w:cs="新細明體" w:hint="eastAsia"/>
                  <w:color w:val="3366FF"/>
                  <w:kern w:val="0"/>
                  <w:sz w:val="28"/>
                  <w:szCs w:val="28"/>
                  <w:u w:val="single"/>
                  <w:bdr w:val="none" w:sz="0" w:space="0" w:color="auto" w:frame="1"/>
                </w:rPr>
                <w:t>第 11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調解委員有下列情形之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者，地方主管機關於查證屬實後，應即解聘之：</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一、不具第四條所定資格之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二、有第五條所定情形之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三、違反第九條第二項規定。</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lastRenderedPageBreak/>
              <w:t>四、違反第二十四條第一項或第二項規定。</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調解委員有前項第三款或第四款所定情形者，地方主管機關不得</w:t>
            </w:r>
            <w:proofErr w:type="gramStart"/>
            <w:r w:rsidRPr="00720A37">
              <w:rPr>
                <w:rFonts w:ascii="標楷體" w:eastAsia="標楷體" w:hAnsi="標楷體" w:cs="細明體" w:hint="eastAsia"/>
                <w:color w:val="000000"/>
                <w:kern w:val="0"/>
                <w:sz w:val="28"/>
                <w:szCs w:val="28"/>
              </w:rPr>
              <w:t>遴</w:t>
            </w:r>
            <w:proofErr w:type="gramEnd"/>
            <w:r w:rsidRPr="00720A37">
              <w:rPr>
                <w:rFonts w:ascii="標楷體" w:eastAsia="標楷體" w:hAnsi="標楷體" w:cs="細明體" w:hint="eastAsia"/>
                <w:color w:val="000000"/>
                <w:kern w:val="0"/>
                <w:sz w:val="28"/>
                <w:szCs w:val="28"/>
              </w:rPr>
              <w:t>聘之；亦不得再擔任調解委員或調解人。</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8" w:history="1">
              <w:r w:rsidRPr="00720A37">
                <w:rPr>
                  <w:rFonts w:ascii="標楷體" w:eastAsia="標楷體" w:hAnsi="標楷體" w:cs="新細明體" w:hint="eastAsia"/>
                  <w:color w:val="3366FF"/>
                  <w:kern w:val="0"/>
                  <w:sz w:val="28"/>
                  <w:szCs w:val="28"/>
                  <w:u w:val="single"/>
                  <w:bdr w:val="none" w:sz="0" w:space="0" w:color="auto" w:frame="1"/>
                </w:rPr>
                <w:t>第 12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地方主管機關得支給調解委員出席費、交通費及調查事實費等相關費用。</w:t>
            </w:r>
          </w:p>
        </w:tc>
      </w:tr>
      <w:tr w:rsidR="00720A37" w:rsidRPr="00720A37" w:rsidTr="00720A37">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 xml:space="preserve">   第 四 章 調解人之資格、認證及義務</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19" w:history="1">
              <w:r w:rsidRPr="00720A37">
                <w:rPr>
                  <w:rFonts w:ascii="標楷體" w:eastAsia="標楷體" w:hAnsi="標楷體" w:cs="新細明體" w:hint="eastAsia"/>
                  <w:color w:val="3366FF"/>
                  <w:kern w:val="0"/>
                  <w:sz w:val="28"/>
                  <w:szCs w:val="28"/>
                  <w:u w:val="single"/>
                  <w:bdr w:val="none" w:sz="0" w:space="0" w:color="auto" w:frame="1"/>
                </w:rPr>
                <w:t>第 13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調解人應具備下列資格之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一、執行律師業務，並於最近</w:t>
            </w:r>
            <w:proofErr w:type="gramStart"/>
            <w:r w:rsidRPr="00720A37">
              <w:rPr>
                <w:rFonts w:ascii="標楷體" w:eastAsia="標楷體" w:hAnsi="標楷體" w:cs="細明體" w:hint="eastAsia"/>
                <w:color w:val="000000"/>
                <w:kern w:val="0"/>
                <w:sz w:val="28"/>
                <w:szCs w:val="28"/>
              </w:rPr>
              <w:t>三</w:t>
            </w:r>
            <w:proofErr w:type="gramEnd"/>
            <w:r w:rsidRPr="00720A37">
              <w:rPr>
                <w:rFonts w:ascii="標楷體" w:eastAsia="標楷體" w:hAnsi="標楷體" w:cs="細明體" w:hint="eastAsia"/>
                <w:color w:val="000000"/>
                <w:kern w:val="0"/>
                <w:sz w:val="28"/>
                <w:szCs w:val="28"/>
              </w:rPr>
              <w:t>年內曾辦理勞資爭議案件者。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二、曾任或現任教育部認可之大專校院講師以上，並教授勞資關係或法律相關課程三年以上，且有實務經驗者。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三、曾任各級勞工行政主管機關，處理勞資爭議或擔任法制工作具三年以上經驗者。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四、具備第四條第一款資格，並依第十四條規定取得中央主管機關核發之勞資爭議調解人認證證書。</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地方主管機關應就前項符合調解人資格者，建立名冊。</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地方主管機關為辦理勞資爭議調解業務，得聘請符合第一項所定資格之</w:t>
            </w:r>
            <w:proofErr w:type="gramStart"/>
            <w:r w:rsidRPr="00720A37">
              <w:rPr>
                <w:rFonts w:ascii="標楷體" w:eastAsia="標楷體" w:hAnsi="標楷體" w:cs="細明體" w:hint="eastAsia"/>
                <w:color w:val="000000"/>
                <w:kern w:val="0"/>
                <w:sz w:val="28"/>
                <w:szCs w:val="28"/>
              </w:rPr>
              <w:t>一</w:t>
            </w:r>
            <w:proofErr w:type="gramEnd"/>
            <w:r w:rsidRPr="00720A37">
              <w:rPr>
                <w:rFonts w:ascii="標楷體" w:eastAsia="標楷體" w:hAnsi="標楷體" w:cs="細明體" w:hint="eastAsia"/>
                <w:color w:val="000000"/>
                <w:kern w:val="0"/>
                <w:sz w:val="28"/>
                <w:szCs w:val="28"/>
              </w:rPr>
              <w:t>者，專職擔任調解人。</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0" w:history="1">
              <w:r w:rsidRPr="00720A37">
                <w:rPr>
                  <w:rFonts w:ascii="標楷體" w:eastAsia="標楷體" w:hAnsi="標楷體" w:cs="新細明體" w:hint="eastAsia"/>
                  <w:color w:val="3366FF"/>
                  <w:kern w:val="0"/>
                  <w:sz w:val="28"/>
                  <w:szCs w:val="28"/>
                  <w:u w:val="single"/>
                  <w:bdr w:val="none" w:sz="0" w:space="0" w:color="auto" w:frame="1"/>
                </w:rPr>
                <w:t>第 14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主管機關推薦符合第四條第一款資格者，於完成中央主管機關指定之訓練，經測驗合格後，由中央主管機關發給勞資爭議調解人認證證書。</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前項所定訓練時數，不得低於三十小時之課堂講習及不得低於十小時之實例演練。</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第一項訓練之課程、測驗及受訓之名額，由中央主管機關擬定訓練計畫實施。</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前項訓練，中央主管機關得委託民間團體或教育部認可之國內大專校院辦理。</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1" w:history="1">
              <w:r w:rsidRPr="00720A37">
                <w:rPr>
                  <w:rFonts w:ascii="標楷體" w:eastAsia="標楷體" w:hAnsi="標楷體" w:cs="新細明體" w:hint="eastAsia"/>
                  <w:color w:val="3366FF"/>
                  <w:kern w:val="0"/>
                  <w:sz w:val="28"/>
                  <w:szCs w:val="28"/>
                  <w:u w:val="single"/>
                  <w:bdr w:val="none" w:sz="0" w:space="0" w:color="auto" w:frame="1"/>
                </w:rPr>
                <w:t>第 15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具備第十三條第一項資格之調解人，每二年應參加主管機關認可與調解業務相關之研習，時數至少十小時。</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2" w:history="1">
              <w:r w:rsidRPr="00720A37">
                <w:rPr>
                  <w:rFonts w:ascii="標楷體" w:eastAsia="標楷體" w:hAnsi="標楷體" w:cs="新細明體" w:hint="eastAsia"/>
                  <w:color w:val="3366FF"/>
                  <w:kern w:val="0"/>
                  <w:sz w:val="28"/>
                  <w:szCs w:val="28"/>
                  <w:u w:val="single"/>
                  <w:bdr w:val="none" w:sz="0" w:space="0" w:color="auto" w:frame="1"/>
                </w:rPr>
                <w:t>第 16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地方主管機關應每年度辦理調解人評量，其項目如下：</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一、參與第十五條研習，並取得證明。</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二、符合第十八條之說明義務。</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三、符合第十九條調解人適用規定。</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四、符合第二十三條應遵循調查程序。</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五、符合第二十五條第一項規定，製作調解紀錄內容。</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3" w:history="1">
              <w:r w:rsidRPr="00720A37">
                <w:rPr>
                  <w:rFonts w:ascii="標楷體" w:eastAsia="標楷體" w:hAnsi="標楷體" w:cs="新細明體" w:hint="eastAsia"/>
                  <w:color w:val="3366FF"/>
                  <w:kern w:val="0"/>
                  <w:sz w:val="28"/>
                  <w:szCs w:val="28"/>
                  <w:u w:val="single"/>
                  <w:bdr w:val="none" w:sz="0" w:space="0" w:color="auto" w:frame="1"/>
                </w:rPr>
                <w:t>第 17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具備第十三條第一項資格之調解人，應參加第十五條之研習，並依前條規定評量合格，經地方主管機關簽證後，始得續任調解人。</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4" w:history="1">
              <w:r w:rsidRPr="00720A37">
                <w:rPr>
                  <w:rFonts w:ascii="標楷體" w:eastAsia="標楷體" w:hAnsi="標楷體" w:cs="新細明體" w:hint="eastAsia"/>
                  <w:color w:val="3366FF"/>
                  <w:kern w:val="0"/>
                  <w:sz w:val="28"/>
                  <w:szCs w:val="28"/>
                  <w:u w:val="single"/>
                  <w:bdr w:val="none" w:sz="0" w:space="0" w:color="auto" w:frame="1"/>
                </w:rPr>
                <w:t>第 18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調解人應於調解程序開始前，主動向勞資爭議雙方當事人說明其身分及資格。</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5" w:history="1">
              <w:r w:rsidRPr="00720A37">
                <w:rPr>
                  <w:rFonts w:ascii="標楷體" w:eastAsia="標楷體" w:hAnsi="標楷體" w:cs="新細明體" w:hint="eastAsia"/>
                  <w:color w:val="3366FF"/>
                  <w:kern w:val="0"/>
                  <w:sz w:val="28"/>
                  <w:szCs w:val="28"/>
                  <w:u w:val="single"/>
                  <w:bdr w:val="none" w:sz="0" w:space="0" w:color="auto" w:frame="1"/>
                </w:rPr>
                <w:t>第 19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第五條、第九條至第十一條之規定，於調解人適用之。</w:t>
            </w:r>
          </w:p>
        </w:tc>
      </w:tr>
      <w:tr w:rsidR="00720A37" w:rsidRPr="00720A37" w:rsidTr="00720A37">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 xml:space="preserve">   第 五 章 民間團體受委託調解</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6" w:history="1">
              <w:r w:rsidRPr="00720A37">
                <w:rPr>
                  <w:rFonts w:ascii="標楷體" w:eastAsia="標楷體" w:hAnsi="標楷體" w:cs="新細明體" w:hint="eastAsia"/>
                  <w:color w:val="3366FF"/>
                  <w:kern w:val="0"/>
                  <w:sz w:val="28"/>
                  <w:szCs w:val="28"/>
                  <w:u w:val="single"/>
                  <w:bdr w:val="none" w:sz="0" w:space="0" w:color="auto" w:frame="1"/>
                </w:rPr>
                <w:t>第 20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地方主管機關依本法第十一條第三項規定委託之民間團體，應符合下列要件：</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一、須依法設立之社團法人或財團法人，其章程以促進勞資關係為宗旨，且協助勞資爭議之調處為目的。</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二、聘任一位以上之專職會務人員。</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三、聘任具第十三條所定資格，並依第十七條評量合格之調解人四人以上。</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前項受委託之民間團體，不得為勞工團體或雇主團體。</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7" w:history="1">
              <w:r w:rsidRPr="00720A37">
                <w:rPr>
                  <w:rFonts w:ascii="標楷體" w:eastAsia="標楷體" w:hAnsi="標楷體" w:cs="新細明體" w:hint="eastAsia"/>
                  <w:color w:val="3366FF"/>
                  <w:kern w:val="0"/>
                  <w:sz w:val="28"/>
                  <w:szCs w:val="28"/>
                  <w:u w:val="single"/>
                  <w:bdr w:val="none" w:sz="0" w:space="0" w:color="auto" w:frame="1"/>
                </w:rPr>
                <w:t>第 21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地方主管機關應備置受託民間團體名冊，並記載下列事項：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一、名稱、會所地址及電話。</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二、代表人。</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三、設立時間。</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四、聘任調解人之姓名、學經歷職業、現任職務及符合調解人資格之事項。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前項受託民間團體名冊，應供公眾閱覽。</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8" w:history="1">
              <w:r w:rsidRPr="00720A37">
                <w:rPr>
                  <w:rFonts w:ascii="標楷體" w:eastAsia="標楷體" w:hAnsi="標楷體" w:cs="新細明體" w:hint="eastAsia"/>
                  <w:color w:val="3366FF"/>
                  <w:kern w:val="0"/>
                  <w:sz w:val="28"/>
                  <w:szCs w:val="28"/>
                  <w:u w:val="single"/>
                  <w:bdr w:val="none" w:sz="0" w:space="0" w:color="auto" w:frame="1"/>
                </w:rPr>
                <w:t>第 22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地方主管機關應於每年度辦理受託民間團體之考核，其項目如下：</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一、本法第十一條第五項補助經費支用情形。</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二、第二十條民間團體之資格要件。</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三、第二十五條第二項調解紀錄之處理。</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地方主管機關對受託民間團體之考核結果，應予公告。</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考核不合格之受託民間團體，地方主管機關於二年內不得再委託辦理調解業務。</w:t>
            </w:r>
          </w:p>
        </w:tc>
      </w:tr>
      <w:tr w:rsidR="00720A37" w:rsidRPr="00720A37" w:rsidTr="00720A37">
        <w:tc>
          <w:tcPr>
            <w:tcW w:w="5000" w:type="pct"/>
            <w:gridSpan w:val="3"/>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 xml:space="preserve">   第 六 章 其他應遵行事項</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29" w:history="1">
              <w:r w:rsidRPr="00720A37">
                <w:rPr>
                  <w:rFonts w:ascii="標楷體" w:eastAsia="標楷體" w:hAnsi="標楷體" w:cs="新細明體" w:hint="eastAsia"/>
                  <w:color w:val="3366FF"/>
                  <w:kern w:val="0"/>
                  <w:sz w:val="28"/>
                  <w:szCs w:val="28"/>
                  <w:u w:val="single"/>
                  <w:bdr w:val="none" w:sz="0" w:space="0" w:color="auto" w:frame="1"/>
                </w:rPr>
                <w:t>第 23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調解人、調解委員為調查事實而有使當事人、相關人員或事業單位提出說明之必要時，應由地方主管機關事先以書面通知</w:t>
            </w:r>
            <w:bookmarkStart w:id="0" w:name="_GoBack"/>
            <w:bookmarkEnd w:id="0"/>
            <w:r w:rsidRPr="00720A37">
              <w:rPr>
                <w:rFonts w:ascii="標楷體" w:eastAsia="標楷體" w:hAnsi="標楷體" w:cs="細明體" w:hint="eastAsia"/>
                <w:color w:val="000000"/>
                <w:kern w:val="0"/>
                <w:sz w:val="28"/>
                <w:szCs w:val="28"/>
              </w:rPr>
              <w:t>之。</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調解人、受指派之調解委員為調查事實而有進入相關事業單位訪查之必要時，應事先取得地方主管機關之書面同意，並於進行訪查時，主動出示證明。</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lastRenderedPageBreak/>
              <w:t>依本法第十四條第一項規定由勞資爭議當事人選定之調解委員或由地方主管機關代為指定之調解委員，有第九條第一項所定迴避事由者，不得受指派進行事實調查。</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30" w:history="1">
              <w:r w:rsidRPr="00720A37">
                <w:rPr>
                  <w:rFonts w:ascii="標楷體" w:eastAsia="標楷體" w:hAnsi="標楷體" w:cs="新細明體" w:hint="eastAsia"/>
                  <w:color w:val="3366FF"/>
                  <w:kern w:val="0"/>
                  <w:sz w:val="28"/>
                  <w:szCs w:val="28"/>
                  <w:u w:val="single"/>
                  <w:bdr w:val="none" w:sz="0" w:space="0" w:color="auto" w:frame="1"/>
                </w:rPr>
                <w:t>第 24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調解委員及調解人就調解事務之處理，應遵守本法第二章調解之相關規定。</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調解委員及調解人，不得有下列行為：</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一、處理調解事務收受不當利益。</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二、處理調解事務使用暴力脅迫。</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三、未經地方主管機關依前條第一項規定通知，命當事人、相關人員或事    業單位提出說明。</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四、未經地方主管機關依前條第二項事先同意，進入相關事業單位訪查。</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調解委員及調解人，有前項所定行為之一，且經地方主管機關查證屬實者，不得再擔任調解委員或調解人；其經地方主管機關</w:t>
            </w:r>
            <w:proofErr w:type="gramStart"/>
            <w:r w:rsidRPr="00720A37">
              <w:rPr>
                <w:rFonts w:ascii="標楷體" w:eastAsia="標楷體" w:hAnsi="標楷體" w:cs="細明體" w:hint="eastAsia"/>
                <w:color w:val="000000"/>
                <w:kern w:val="0"/>
                <w:sz w:val="28"/>
                <w:szCs w:val="28"/>
              </w:rPr>
              <w:t>遴</w:t>
            </w:r>
            <w:proofErr w:type="gramEnd"/>
            <w:r w:rsidRPr="00720A37">
              <w:rPr>
                <w:rFonts w:ascii="標楷體" w:eastAsia="標楷體" w:hAnsi="標楷體" w:cs="細明體" w:hint="eastAsia"/>
                <w:color w:val="000000"/>
                <w:kern w:val="0"/>
                <w:sz w:val="28"/>
                <w:szCs w:val="28"/>
              </w:rPr>
              <w:t>聘為調解委員者，應即解聘，已取得勞資爭議調解人認證證書者，應通報中央主管機關註銷其證書。</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31" w:history="1">
              <w:r w:rsidRPr="00720A37">
                <w:rPr>
                  <w:rFonts w:ascii="標楷體" w:eastAsia="標楷體" w:hAnsi="標楷體" w:cs="新細明體" w:hint="eastAsia"/>
                  <w:color w:val="3366FF"/>
                  <w:kern w:val="0"/>
                  <w:sz w:val="28"/>
                  <w:szCs w:val="28"/>
                  <w:u w:val="single"/>
                  <w:bdr w:val="none" w:sz="0" w:space="0" w:color="auto" w:frame="1"/>
                </w:rPr>
                <w:t>第 25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勞資爭議調解委員會及調解人，應作成調解紀錄，記載下列事項：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一、本法第十條所定事項。</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二、勞資爭議調解之申請日期。</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三、舉行調解會議之日期及</w:t>
            </w:r>
            <w:proofErr w:type="gramStart"/>
            <w:r w:rsidRPr="00720A37">
              <w:rPr>
                <w:rFonts w:ascii="標楷體" w:eastAsia="標楷體" w:hAnsi="標楷體" w:cs="細明體" w:hint="eastAsia"/>
                <w:color w:val="000000"/>
                <w:kern w:val="0"/>
                <w:sz w:val="28"/>
                <w:szCs w:val="28"/>
              </w:rPr>
              <w:t>起迄</w:t>
            </w:r>
            <w:proofErr w:type="gramEnd"/>
            <w:r w:rsidRPr="00720A37">
              <w:rPr>
                <w:rFonts w:ascii="標楷體" w:eastAsia="標楷體" w:hAnsi="標楷體" w:cs="細明體" w:hint="eastAsia"/>
                <w:color w:val="000000"/>
                <w:kern w:val="0"/>
                <w:sz w:val="28"/>
                <w:szCs w:val="28"/>
              </w:rPr>
              <w:t>時間；有數次者應分別記載。</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四、舉行調解會議之地點。</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五、雙方當事人之主張。</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六、調查事實之結果。</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七、調解方案之內容。</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八、調解之結果。</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九、雙方當事人出席之情形。</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十、調解委員或調解人之姓名及簽名。</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調解不成立時，調解人應向雙方當事人說明本法第二十五條第一項所定事項，並記載於調解紀錄。</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調解委員會、調解人及受託辦理調解事務之民間團體，應於調解程序終結後三日內，將調解紀錄及相關案卷送地方主管機關。</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地方主管機關於收到前項紀錄後七日內，將該紀錄送達勞資爭議雙方當事人。</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調解紀錄及相關案卷應保存十五年。</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32" w:history="1">
              <w:r w:rsidRPr="00720A37">
                <w:rPr>
                  <w:rFonts w:ascii="標楷體" w:eastAsia="標楷體" w:hAnsi="標楷體" w:cs="新細明體" w:hint="eastAsia"/>
                  <w:color w:val="3366FF"/>
                  <w:kern w:val="0"/>
                  <w:sz w:val="28"/>
                  <w:szCs w:val="28"/>
                  <w:u w:val="single"/>
                  <w:bdr w:val="none" w:sz="0" w:space="0" w:color="auto" w:frame="1"/>
                </w:rPr>
                <w:t>第 26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地方主管機關對依本法第十一條第一項規定指派之調解人者，得支給調解案件費及調解所衍生之費用。</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地方主管機關對依本法第十一條第三項規定委託之民間團體，得支給委託費用。</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33" w:history="1">
              <w:r w:rsidRPr="00720A37">
                <w:rPr>
                  <w:rFonts w:ascii="標楷體" w:eastAsia="標楷體" w:hAnsi="標楷體" w:cs="新細明體" w:hint="eastAsia"/>
                  <w:color w:val="3366FF"/>
                  <w:kern w:val="0"/>
                  <w:sz w:val="28"/>
                  <w:szCs w:val="28"/>
                  <w:u w:val="single"/>
                  <w:bdr w:val="none" w:sz="0" w:space="0" w:color="auto" w:frame="1"/>
                </w:rPr>
                <w:t>第 27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本辦法之書表格式，由中央主管機關定之。</w:t>
            </w:r>
          </w:p>
        </w:tc>
      </w:tr>
      <w:tr w:rsidR="00720A37" w:rsidRPr="00720A37" w:rsidTr="00720A37">
        <w:tc>
          <w:tcPr>
            <w:tcW w:w="513"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hyperlink r:id="rId34" w:history="1">
              <w:r w:rsidRPr="00720A37">
                <w:rPr>
                  <w:rFonts w:ascii="標楷體" w:eastAsia="標楷體" w:hAnsi="標楷體" w:cs="新細明體" w:hint="eastAsia"/>
                  <w:color w:val="3366FF"/>
                  <w:kern w:val="0"/>
                  <w:sz w:val="28"/>
                  <w:szCs w:val="28"/>
                  <w:u w:val="single"/>
                  <w:bdr w:val="none" w:sz="0" w:space="0" w:color="auto" w:frame="1"/>
                </w:rPr>
                <w:t>第 28 條</w:t>
              </w:r>
            </w:hyperlink>
          </w:p>
        </w:tc>
        <w:tc>
          <w:tcPr>
            <w:tcW w:w="86"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spacing w:line="500" w:lineRule="exact"/>
              <w:rPr>
                <w:rFonts w:ascii="標楷體" w:eastAsia="標楷體" w:hAnsi="標楷體" w:cs="新細明體"/>
                <w:color w:val="000000"/>
                <w:kern w:val="0"/>
                <w:sz w:val="28"/>
                <w:szCs w:val="28"/>
              </w:rPr>
            </w:pPr>
          </w:p>
        </w:tc>
        <w:tc>
          <w:tcPr>
            <w:tcW w:w="4401"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本辦法自中華民國一百年五月一日施行。</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hint="eastAsia"/>
                <w:color w:val="000000"/>
                <w:kern w:val="0"/>
                <w:sz w:val="28"/>
                <w:szCs w:val="28"/>
              </w:rPr>
            </w:pPr>
            <w:r w:rsidRPr="00720A37">
              <w:rPr>
                <w:rFonts w:ascii="標楷體" w:eastAsia="標楷體" w:hAnsi="標楷體" w:cs="細明體" w:hint="eastAsia"/>
                <w:color w:val="000000"/>
                <w:kern w:val="0"/>
                <w:sz w:val="28"/>
                <w:szCs w:val="28"/>
              </w:rPr>
              <w:t>本辦法修正條文，除第十六條及第十七條自中華民國一百零五年五月一日</w:t>
            </w:r>
          </w:p>
          <w:p w:rsidR="00720A37" w:rsidRPr="00720A37" w:rsidRDefault="00720A37" w:rsidP="00720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color w:val="000000"/>
                <w:kern w:val="0"/>
                <w:sz w:val="28"/>
                <w:szCs w:val="28"/>
              </w:rPr>
            </w:pPr>
            <w:r w:rsidRPr="00720A37">
              <w:rPr>
                <w:rFonts w:ascii="標楷體" w:eastAsia="標楷體" w:hAnsi="標楷體" w:cs="細明體" w:hint="eastAsia"/>
                <w:color w:val="000000"/>
                <w:kern w:val="0"/>
                <w:sz w:val="28"/>
                <w:szCs w:val="28"/>
              </w:rPr>
              <w:t>施行外，自發布日施行。</w:t>
            </w:r>
          </w:p>
        </w:tc>
      </w:tr>
    </w:tbl>
    <w:p w:rsidR="00EC7818" w:rsidRPr="00720A37" w:rsidRDefault="00EC7818" w:rsidP="00720A37">
      <w:pPr>
        <w:spacing w:line="500" w:lineRule="exact"/>
        <w:rPr>
          <w:rFonts w:ascii="標楷體" w:eastAsia="標楷體" w:hAnsi="標楷體"/>
          <w:sz w:val="28"/>
          <w:szCs w:val="28"/>
        </w:rPr>
      </w:pPr>
    </w:p>
    <w:sectPr w:rsidR="00EC7818" w:rsidRPr="00720A37" w:rsidSect="00720A3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7E" w:rsidRDefault="00F5157E" w:rsidP="00720A37">
      <w:r>
        <w:separator/>
      </w:r>
    </w:p>
  </w:endnote>
  <w:endnote w:type="continuationSeparator" w:id="0">
    <w:p w:rsidR="00F5157E" w:rsidRDefault="00F5157E" w:rsidP="0072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7E" w:rsidRDefault="00F5157E" w:rsidP="00720A37">
      <w:r>
        <w:separator/>
      </w:r>
    </w:p>
  </w:footnote>
  <w:footnote w:type="continuationSeparator" w:id="0">
    <w:p w:rsidR="00F5157E" w:rsidRDefault="00F5157E" w:rsidP="0072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37"/>
    <w:rsid w:val="00720A37"/>
    <w:rsid w:val="00EC7818"/>
    <w:rsid w:val="00F515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A37"/>
    <w:pPr>
      <w:tabs>
        <w:tab w:val="center" w:pos="4153"/>
        <w:tab w:val="right" w:pos="8306"/>
      </w:tabs>
      <w:snapToGrid w:val="0"/>
    </w:pPr>
    <w:rPr>
      <w:sz w:val="20"/>
      <w:szCs w:val="20"/>
    </w:rPr>
  </w:style>
  <w:style w:type="character" w:customStyle="1" w:styleId="a4">
    <w:name w:val="頁首 字元"/>
    <w:basedOn w:val="a0"/>
    <w:link w:val="a3"/>
    <w:uiPriority w:val="99"/>
    <w:rsid w:val="00720A37"/>
    <w:rPr>
      <w:sz w:val="20"/>
      <w:szCs w:val="20"/>
    </w:rPr>
  </w:style>
  <w:style w:type="paragraph" w:styleId="a5">
    <w:name w:val="footer"/>
    <w:basedOn w:val="a"/>
    <w:link w:val="a6"/>
    <w:uiPriority w:val="99"/>
    <w:unhideWhenUsed/>
    <w:rsid w:val="00720A37"/>
    <w:pPr>
      <w:tabs>
        <w:tab w:val="center" w:pos="4153"/>
        <w:tab w:val="right" w:pos="8306"/>
      </w:tabs>
      <w:snapToGrid w:val="0"/>
    </w:pPr>
    <w:rPr>
      <w:sz w:val="20"/>
      <w:szCs w:val="20"/>
    </w:rPr>
  </w:style>
  <w:style w:type="character" w:customStyle="1" w:styleId="a6">
    <w:name w:val="頁尾 字元"/>
    <w:basedOn w:val="a0"/>
    <w:link w:val="a5"/>
    <w:uiPriority w:val="99"/>
    <w:rsid w:val="00720A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A37"/>
    <w:pPr>
      <w:tabs>
        <w:tab w:val="center" w:pos="4153"/>
        <w:tab w:val="right" w:pos="8306"/>
      </w:tabs>
      <w:snapToGrid w:val="0"/>
    </w:pPr>
    <w:rPr>
      <w:sz w:val="20"/>
      <w:szCs w:val="20"/>
    </w:rPr>
  </w:style>
  <w:style w:type="character" w:customStyle="1" w:styleId="a4">
    <w:name w:val="頁首 字元"/>
    <w:basedOn w:val="a0"/>
    <w:link w:val="a3"/>
    <w:uiPriority w:val="99"/>
    <w:rsid w:val="00720A37"/>
    <w:rPr>
      <w:sz w:val="20"/>
      <w:szCs w:val="20"/>
    </w:rPr>
  </w:style>
  <w:style w:type="paragraph" w:styleId="a5">
    <w:name w:val="footer"/>
    <w:basedOn w:val="a"/>
    <w:link w:val="a6"/>
    <w:uiPriority w:val="99"/>
    <w:unhideWhenUsed/>
    <w:rsid w:val="00720A37"/>
    <w:pPr>
      <w:tabs>
        <w:tab w:val="center" w:pos="4153"/>
        <w:tab w:val="right" w:pos="8306"/>
      </w:tabs>
      <w:snapToGrid w:val="0"/>
    </w:pPr>
    <w:rPr>
      <w:sz w:val="20"/>
      <w:szCs w:val="20"/>
    </w:rPr>
  </w:style>
  <w:style w:type="character" w:customStyle="1" w:styleId="a6">
    <w:name w:val="頁尾 字元"/>
    <w:basedOn w:val="a0"/>
    <w:link w:val="a5"/>
    <w:uiPriority w:val="99"/>
    <w:rsid w:val="00720A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If.aspx?Pcode=N0020015&amp;FLNO=2" TargetMode="External"/><Relationship Id="rId13" Type="http://schemas.openxmlformats.org/officeDocument/2006/relationships/hyperlink" Target="http://law.moj.gov.tw/LawClass/LawSingleIf.aspx?Pcode=N0020015&amp;FLNO=7" TargetMode="External"/><Relationship Id="rId18" Type="http://schemas.openxmlformats.org/officeDocument/2006/relationships/hyperlink" Target="http://law.moj.gov.tw/LawClass/LawSingleIf.aspx?Pcode=N0020015&amp;FLNO=12" TargetMode="External"/><Relationship Id="rId26" Type="http://schemas.openxmlformats.org/officeDocument/2006/relationships/hyperlink" Target="http://law.moj.gov.tw/LawClass/LawSingleIf.aspx?Pcode=N0020015&amp;FLNO=20" TargetMode="External"/><Relationship Id="rId3" Type="http://schemas.openxmlformats.org/officeDocument/2006/relationships/settings" Target="settings.xml"/><Relationship Id="rId21" Type="http://schemas.openxmlformats.org/officeDocument/2006/relationships/hyperlink" Target="http://law.moj.gov.tw/LawClass/LawSingleIf.aspx?Pcode=N0020015&amp;FLNO=15" TargetMode="External"/><Relationship Id="rId34" Type="http://schemas.openxmlformats.org/officeDocument/2006/relationships/hyperlink" Target="http://law.moj.gov.tw/LawClass/LawSingleIf.aspx?Pcode=N0020015&amp;FLNO=28" TargetMode="External"/><Relationship Id="rId7" Type="http://schemas.openxmlformats.org/officeDocument/2006/relationships/hyperlink" Target="http://law.moj.gov.tw/LawClass/LawSingleIf.aspx?Pcode=N0020015&amp;FLNO=1" TargetMode="External"/><Relationship Id="rId12" Type="http://schemas.openxmlformats.org/officeDocument/2006/relationships/hyperlink" Target="http://law.moj.gov.tw/LawClass/LawSingleIf.aspx?Pcode=N0020015&amp;FLNO=6" TargetMode="External"/><Relationship Id="rId17" Type="http://schemas.openxmlformats.org/officeDocument/2006/relationships/hyperlink" Target="http://law.moj.gov.tw/LawClass/LawSingleIf.aspx?Pcode=N0020015&amp;FLNO=11" TargetMode="External"/><Relationship Id="rId25" Type="http://schemas.openxmlformats.org/officeDocument/2006/relationships/hyperlink" Target="http://law.moj.gov.tw/LawClass/LawSingleIf.aspx?Pcode=N0020015&amp;FLNO=19" TargetMode="External"/><Relationship Id="rId33" Type="http://schemas.openxmlformats.org/officeDocument/2006/relationships/hyperlink" Target="http://law.moj.gov.tw/LawClass/LawSingleIf.aspx?Pcode=N0020015&amp;FLNO=27" TargetMode="External"/><Relationship Id="rId2" Type="http://schemas.microsoft.com/office/2007/relationships/stylesWithEffects" Target="stylesWithEffects.xml"/><Relationship Id="rId16" Type="http://schemas.openxmlformats.org/officeDocument/2006/relationships/hyperlink" Target="http://law.moj.gov.tw/LawClass/LawSingleIf.aspx?Pcode=N0020015&amp;FLNO=10" TargetMode="External"/><Relationship Id="rId20" Type="http://schemas.openxmlformats.org/officeDocument/2006/relationships/hyperlink" Target="http://law.moj.gov.tw/LawClass/LawSingleIf.aspx?Pcode=N0020015&amp;FLNO=14" TargetMode="External"/><Relationship Id="rId29" Type="http://schemas.openxmlformats.org/officeDocument/2006/relationships/hyperlink" Target="http://law.moj.gov.tw/LawClass/LawSingleIf.aspx?Pcode=N0020015&amp;FLNO=2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w.moj.gov.tw/LawClass/LawSingleIf.aspx?Pcode=N0020015&amp;FLNO=5" TargetMode="External"/><Relationship Id="rId24" Type="http://schemas.openxmlformats.org/officeDocument/2006/relationships/hyperlink" Target="http://law.moj.gov.tw/LawClass/LawSingleIf.aspx?Pcode=N0020015&amp;FLNO=18" TargetMode="External"/><Relationship Id="rId32" Type="http://schemas.openxmlformats.org/officeDocument/2006/relationships/hyperlink" Target="http://law.moj.gov.tw/LawClass/LawSingleIf.aspx?Pcode=N0020015&amp;FLNO=26" TargetMode="External"/><Relationship Id="rId5" Type="http://schemas.openxmlformats.org/officeDocument/2006/relationships/footnotes" Target="footnotes.xml"/><Relationship Id="rId15" Type="http://schemas.openxmlformats.org/officeDocument/2006/relationships/hyperlink" Target="http://law.moj.gov.tw/LawClass/LawSingleIf.aspx?Pcode=N0020015&amp;FLNO=9" TargetMode="External"/><Relationship Id="rId23" Type="http://schemas.openxmlformats.org/officeDocument/2006/relationships/hyperlink" Target="http://law.moj.gov.tw/LawClass/LawSingleIf.aspx?Pcode=N0020015&amp;FLNO=17" TargetMode="External"/><Relationship Id="rId28" Type="http://schemas.openxmlformats.org/officeDocument/2006/relationships/hyperlink" Target="http://law.moj.gov.tw/LawClass/LawSingleIf.aspx?Pcode=N0020015&amp;FLNO=22" TargetMode="External"/><Relationship Id="rId36" Type="http://schemas.openxmlformats.org/officeDocument/2006/relationships/theme" Target="theme/theme1.xml"/><Relationship Id="rId10" Type="http://schemas.openxmlformats.org/officeDocument/2006/relationships/hyperlink" Target="http://law.moj.gov.tw/LawClass/LawSingleIf.aspx?Pcode=N0020015&amp;FLNO=4" TargetMode="External"/><Relationship Id="rId19" Type="http://schemas.openxmlformats.org/officeDocument/2006/relationships/hyperlink" Target="http://law.moj.gov.tw/LawClass/LawSingleIf.aspx?Pcode=N0020015&amp;FLNO=13" TargetMode="External"/><Relationship Id="rId31" Type="http://schemas.openxmlformats.org/officeDocument/2006/relationships/hyperlink" Target="http://law.moj.gov.tw/LawClass/LawSingleIf.aspx?Pcode=N0020015&amp;FLNO=25" TargetMode="External"/><Relationship Id="rId4" Type="http://schemas.openxmlformats.org/officeDocument/2006/relationships/webSettings" Target="webSettings.xml"/><Relationship Id="rId9" Type="http://schemas.openxmlformats.org/officeDocument/2006/relationships/hyperlink" Target="http://law.moj.gov.tw/LawClass/LawSingleIf.aspx?Pcode=N0020015&amp;FLNO=3" TargetMode="External"/><Relationship Id="rId14" Type="http://schemas.openxmlformats.org/officeDocument/2006/relationships/hyperlink" Target="http://law.moj.gov.tw/LawClass/LawSingleIf.aspx?Pcode=N0020015&amp;FLNO=8" TargetMode="External"/><Relationship Id="rId22" Type="http://schemas.openxmlformats.org/officeDocument/2006/relationships/hyperlink" Target="http://law.moj.gov.tw/LawClass/LawSingleIf.aspx?Pcode=N0020015&amp;FLNO=16" TargetMode="External"/><Relationship Id="rId27" Type="http://schemas.openxmlformats.org/officeDocument/2006/relationships/hyperlink" Target="http://law.moj.gov.tw/LawClass/LawSingleIf.aspx?Pcode=N0020015&amp;FLNO=21" TargetMode="External"/><Relationship Id="rId30" Type="http://schemas.openxmlformats.org/officeDocument/2006/relationships/hyperlink" Target="http://law.moj.gov.tw/LawClass/LawSingleIf.aspx?Pcode=N0020015&amp;FLNO=24"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2015-11-06T09:04:00Z</dcterms:created>
  <dcterms:modified xsi:type="dcterms:W3CDTF">2015-11-06T09:14:00Z</dcterms:modified>
</cp:coreProperties>
</file>