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76" w:rsidRPr="0093352F" w:rsidRDefault="00B21976" w:rsidP="00B21976">
      <w:pPr>
        <w:pStyle w:val="3"/>
        <w:numPr>
          <w:ilvl w:val="0"/>
          <w:numId w:val="0"/>
        </w:numPr>
        <w:spacing w:after="120"/>
        <w:jc w:val="center"/>
        <w:rPr>
          <w:rFonts w:ascii="標楷體" w:hAnsi="標楷體"/>
          <w:b w:val="0"/>
          <w:bCs/>
          <w:szCs w:val="32"/>
        </w:rPr>
      </w:pPr>
      <w:bookmarkStart w:id="0" w:name="_Toc141004034"/>
      <w:bookmarkStart w:id="1" w:name="_Toc162244119"/>
      <w:r w:rsidRPr="0093352F">
        <w:rPr>
          <w:rFonts w:ascii="標楷體" w:hAnsi="標楷體" w:hint="eastAsia"/>
          <w:szCs w:val="32"/>
        </w:rPr>
        <w:t>登革熱病媒蚊密度調查紀錄表</w:t>
      </w:r>
      <w:bookmarkEnd w:id="0"/>
      <w:bookmarkEnd w:id="1"/>
    </w:p>
    <w:p w:rsidR="00B21976" w:rsidRPr="0093352F" w:rsidRDefault="00B21976" w:rsidP="00B21976">
      <w:pPr>
        <w:pStyle w:val="13"/>
        <w:jc w:val="both"/>
      </w:pPr>
      <w:r w:rsidRPr="0093352F">
        <w:rPr>
          <w:rFonts w:hint="eastAsia"/>
          <w:b/>
          <w:u w:val="single"/>
        </w:rPr>
        <w:t xml:space="preserve"> </w:t>
      </w:r>
      <w:r w:rsidRPr="0093352F">
        <w:rPr>
          <w:rFonts w:hint="eastAsia"/>
          <w:u w:val="single"/>
        </w:rPr>
        <w:t xml:space="preserve">      </w:t>
      </w:r>
      <w:r w:rsidRPr="0093352F">
        <w:rPr>
          <w:rFonts w:hint="eastAsia"/>
        </w:rPr>
        <w:t>縣</w:t>
      </w:r>
      <w:r w:rsidRPr="0093352F">
        <w:rPr>
          <w:rFonts w:hint="eastAsia"/>
        </w:rPr>
        <w:t>(</w:t>
      </w:r>
      <w:r w:rsidRPr="0093352F">
        <w:rPr>
          <w:rFonts w:hint="eastAsia"/>
        </w:rPr>
        <w:t>市</w:t>
      </w:r>
      <w:r w:rsidRPr="0093352F">
        <w:rPr>
          <w:rFonts w:hint="eastAsia"/>
        </w:rPr>
        <w:t>)</w:t>
      </w:r>
      <w:r w:rsidRPr="0093352F">
        <w:rPr>
          <w:rFonts w:hint="eastAsia"/>
          <w:u w:val="single"/>
        </w:rPr>
        <w:t xml:space="preserve">      </w:t>
      </w:r>
      <w:r w:rsidRPr="0093352F">
        <w:rPr>
          <w:rFonts w:hint="eastAsia"/>
        </w:rPr>
        <w:t>鄉鎮市</w:t>
      </w:r>
      <w:r w:rsidRPr="0093352F">
        <w:rPr>
          <w:rFonts w:hint="eastAsia"/>
        </w:rPr>
        <w:t>(</w:t>
      </w:r>
      <w:r w:rsidRPr="0093352F">
        <w:rPr>
          <w:rFonts w:hint="eastAsia"/>
        </w:rPr>
        <w:t>區</w:t>
      </w:r>
      <w:r w:rsidRPr="0093352F">
        <w:rPr>
          <w:rFonts w:hint="eastAsia"/>
        </w:rPr>
        <w:t>)</w:t>
      </w:r>
      <w:r w:rsidRPr="0093352F">
        <w:rPr>
          <w:rFonts w:hint="eastAsia"/>
          <w:u w:val="single"/>
        </w:rPr>
        <w:t xml:space="preserve">     </w:t>
      </w:r>
      <w:r w:rsidRPr="0093352F">
        <w:rPr>
          <w:rFonts w:hint="eastAsia"/>
        </w:rPr>
        <w:t>村</w:t>
      </w:r>
      <w:r w:rsidRPr="0093352F">
        <w:rPr>
          <w:rFonts w:hint="eastAsia"/>
        </w:rPr>
        <w:t>(</w:t>
      </w:r>
      <w:r w:rsidRPr="0093352F">
        <w:rPr>
          <w:rFonts w:hint="eastAsia"/>
        </w:rPr>
        <w:t>里</w:t>
      </w:r>
      <w:r w:rsidRPr="0093352F">
        <w:rPr>
          <w:rFonts w:hint="eastAsia"/>
        </w:rPr>
        <w:t xml:space="preserve">)      </w:t>
      </w:r>
      <w:r w:rsidRPr="0093352F">
        <w:rPr>
          <w:rFonts w:hint="eastAsia"/>
        </w:rPr>
        <w:t>調查日期：</w:t>
      </w:r>
      <w:r w:rsidRPr="0093352F">
        <w:rPr>
          <w:rFonts w:hint="eastAsia"/>
          <w:u w:val="single"/>
        </w:rPr>
        <w:t xml:space="preserve">    </w:t>
      </w:r>
      <w:r w:rsidRPr="0093352F">
        <w:rPr>
          <w:rFonts w:hint="eastAsia"/>
        </w:rPr>
        <w:t>年</w:t>
      </w:r>
      <w:r w:rsidRPr="0093352F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93352F">
        <w:rPr>
          <w:rFonts w:hint="eastAsia"/>
        </w:rPr>
        <w:t>月</w:t>
      </w:r>
      <w:r w:rsidRPr="0093352F">
        <w:rPr>
          <w:rFonts w:hint="eastAsia"/>
          <w:u w:val="single"/>
        </w:rPr>
        <w:t xml:space="preserve">    </w:t>
      </w:r>
      <w:r w:rsidRPr="0093352F">
        <w:rPr>
          <w:rFonts w:hint="eastAsia"/>
        </w:rPr>
        <w:t>日</w:t>
      </w:r>
      <w:r w:rsidRPr="0093352F">
        <w:rPr>
          <w:rFonts w:hint="eastAsia"/>
        </w:rPr>
        <w:t xml:space="preserve">   </w:t>
      </w:r>
      <w:r w:rsidRPr="0093352F">
        <w:rPr>
          <w:rFonts w:hint="eastAsia"/>
        </w:rPr>
        <w:t>調查者：</w:t>
      </w:r>
    </w:p>
    <w:tbl>
      <w:tblPr>
        <w:tblW w:w="16135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992"/>
        <w:gridCol w:w="4191"/>
        <w:gridCol w:w="665"/>
        <w:gridCol w:w="666"/>
        <w:gridCol w:w="830"/>
        <w:gridCol w:w="830"/>
        <w:gridCol w:w="1060"/>
        <w:gridCol w:w="1060"/>
        <w:gridCol w:w="1064"/>
        <w:gridCol w:w="991"/>
        <w:gridCol w:w="790"/>
        <w:gridCol w:w="803"/>
        <w:gridCol w:w="795"/>
        <w:gridCol w:w="742"/>
      </w:tblGrid>
      <w:tr w:rsidR="004722DD" w:rsidRPr="0093352F" w:rsidTr="004722DD">
        <w:trPr>
          <w:cantSplit/>
          <w:trHeight w:val="200"/>
        </w:trPr>
        <w:tc>
          <w:tcPr>
            <w:tcW w:w="65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編號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調查地區分類</w:t>
            </w:r>
          </w:p>
        </w:tc>
        <w:tc>
          <w:tcPr>
            <w:tcW w:w="4191" w:type="dxa"/>
            <w:vMerge w:val="restart"/>
            <w:tcBorders>
              <w:top w:val="single" w:sz="2" w:space="0" w:color="auto"/>
            </w:tcBorders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地址</w:t>
            </w:r>
          </w:p>
        </w:tc>
        <w:tc>
          <w:tcPr>
            <w:tcW w:w="1331" w:type="dxa"/>
            <w:gridSpan w:val="2"/>
            <w:tcBorders>
              <w:top w:val="single" w:sz="2" w:space="0" w:color="auto"/>
            </w:tcBorders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容器位置</w:t>
            </w:r>
          </w:p>
        </w:tc>
        <w:tc>
          <w:tcPr>
            <w:tcW w:w="83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容器種類編號</w:t>
            </w:r>
          </w:p>
        </w:tc>
        <w:tc>
          <w:tcPr>
            <w:tcW w:w="83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容器個數</w:t>
            </w:r>
          </w:p>
        </w:tc>
        <w:tc>
          <w:tcPr>
            <w:tcW w:w="3184" w:type="dxa"/>
            <w:gridSpan w:val="3"/>
            <w:tcBorders>
              <w:top w:val="single" w:sz="2" w:space="0" w:color="auto"/>
            </w:tcBorders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孳生斑蚊幼蟲數</w:t>
            </w:r>
            <w:r w:rsidRPr="0093352F">
              <w:rPr>
                <w:rFonts w:hint="eastAsia"/>
              </w:rPr>
              <w:t>(</w:t>
            </w:r>
            <w:r w:rsidRPr="0093352F">
              <w:rPr>
                <w:rFonts w:hint="eastAsia"/>
              </w:rPr>
              <w:t>隻</w:t>
            </w:r>
            <w:r w:rsidRPr="0093352F">
              <w:rPr>
                <w:rFonts w:hint="eastAsia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孳生斑蚊蛹數</w:t>
            </w:r>
            <w:r w:rsidRPr="0093352F">
              <w:rPr>
                <w:rFonts w:hint="eastAsia"/>
              </w:rPr>
              <w:t>(</w:t>
            </w:r>
            <w:r w:rsidRPr="0093352F">
              <w:rPr>
                <w:rFonts w:hint="eastAsia"/>
              </w:rPr>
              <w:t>隻</w:t>
            </w:r>
            <w:r w:rsidRPr="0093352F">
              <w:rPr>
                <w:rFonts w:hint="eastAsia"/>
              </w:rPr>
              <w:t>)</w:t>
            </w:r>
          </w:p>
        </w:tc>
        <w:tc>
          <w:tcPr>
            <w:tcW w:w="313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採獲斑蚊雌蚊數</w:t>
            </w:r>
            <w:r w:rsidRPr="0093352F">
              <w:rPr>
                <w:rFonts w:hint="eastAsia"/>
              </w:rPr>
              <w:t>(</w:t>
            </w:r>
            <w:r w:rsidRPr="0093352F">
              <w:rPr>
                <w:rFonts w:hint="eastAsia"/>
              </w:rPr>
              <w:t>隻</w:t>
            </w:r>
            <w:r w:rsidRPr="0093352F">
              <w:rPr>
                <w:rFonts w:hint="eastAsia"/>
              </w:rPr>
              <w:t>)</w:t>
            </w:r>
          </w:p>
        </w:tc>
      </w:tr>
      <w:tr w:rsidR="004722DD" w:rsidRPr="0093352F" w:rsidTr="004722DD">
        <w:trPr>
          <w:cantSplit/>
          <w:trHeight w:val="316"/>
        </w:trPr>
        <w:tc>
          <w:tcPr>
            <w:tcW w:w="656" w:type="dxa"/>
            <w:vMerge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  <w:vMerge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  <w:vMerge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665" w:type="dxa"/>
            <w:vMerge w:val="restart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戶內</w:t>
            </w:r>
          </w:p>
        </w:tc>
        <w:tc>
          <w:tcPr>
            <w:tcW w:w="666" w:type="dxa"/>
            <w:vMerge w:val="restart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戶外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埃及</w:t>
            </w:r>
          </w:p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斑蚊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白線</w:t>
            </w:r>
          </w:p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斑蚊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未分類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1593" w:type="dxa"/>
            <w:gridSpan w:val="2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埃及斑蚊</w:t>
            </w:r>
          </w:p>
        </w:tc>
        <w:tc>
          <w:tcPr>
            <w:tcW w:w="1537" w:type="dxa"/>
            <w:gridSpan w:val="2"/>
            <w:tcBorders>
              <w:right w:val="single" w:sz="2" w:space="0" w:color="auto"/>
            </w:tcBorders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白線斑蚊</w:t>
            </w:r>
          </w:p>
        </w:tc>
      </w:tr>
      <w:tr w:rsidR="004722DD" w:rsidRPr="0093352F" w:rsidTr="004722DD">
        <w:trPr>
          <w:cantSplit/>
          <w:trHeight w:val="232"/>
        </w:trPr>
        <w:tc>
          <w:tcPr>
            <w:tcW w:w="656" w:type="dxa"/>
            <w:vMerge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  <w:vMerge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  <w:vMerge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665" w:type="dxa"/>
            <w:vMerge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666" w:type="dxa"/>
            <w:vMerge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B21976" w:rsidRPr="0093352F" w:rsidRDefault="00B21976" w:rsidP="00A067B7">
            <w:pPr>
              <w:pStyle w:val="13"/>
            </w:pPr>
          </w:p>
        </w:tc>
        <w:tc>
          <w:tcPr>
            <w:tcW w:w="790" w:type="dxa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戶內</w:t>
            </w:r>
          </w:p>
        </w:tc>
        <w:tc>
          <w:tcPr>
            <w:tcW w:w="803" w:type="dxa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戶外</w:t>
            </w:r>
          </w:p>
        </w:tc>
        <w:tc>
          <w:tcPr>
            <w:tcW w:w="795" w:type="dxa"/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戶內</w:t>
            </w: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:rsidR="00B21976" w:rsidRPr="0093352F" w:rsidRDefault="00B21976" w:rsidP="00A067B7">
            <w:pPr>
              <w:pStyle w:val="13"/>
            </w:pPr>
            <w:r w:rsidRPr="0093352F">
              <w:rPr>
                <w:rFonts w:hint="eastAsia"/>
              </w:rPr>
              <w:t>戶外</w:t>
            </w: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496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4722DD" w:rsidRPr="0093352F" w:rsidTr="004722DD">
        <w:trPr>
          <w:trHeight w:val="528"/>
        </w:trPr>
        <w:tc>
          <w:tcPr>
            <w:tcW w:w="656" w:type="dxa"/>
            <w:tcBorders>
              <w:lef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2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4191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666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0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991" w:type="dxa"/>
            <w:shd w:val="clear" w:color="auto" w:fill="auto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0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803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95" w:type="dxa"/>
          </w:tcPr>
          <w:p w:rsidR="00B21976" w:rsidRPr="0093352F" w:rsidRDefault="00B21976" w:rsidP="00A067B7">
            <w:pPr>
              <w:pStyle w:val="13"/>
              <w:jc w:val="both"/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B21976" w:rsidRPr="0093352F" w:rsidRDefault="00B21976" w:rsidP="00A067B7">
            <w:pPr>
              <w:pStyle w:val="13"/>
              <w:jc w:val="both"/>
            </w:pPr>
          </w:p>
        </w:tc>
      </w:tr>
      <w:tr w:rsidR="00B21976" w:rsidRPr="0093352F" w:rsidTr="004722DD">
        <w:trPr>
          <w:cantSplit/>
          <w:trHeight w:val="1738"/>
        </w:trPr>
        <w:tc>
          <w:tcPr>
            <w:tcW w:w="1613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976" w:rsidRPr="0093352F" w:rsidRDefault="00B21976" w:rsidP="00B21976">
            <w:pPr>
              <w:pStyle w:val="13"/>
              <w:spacing w:line="320" w:lineRule="exact"/>
              <w:jc w:val="both"/>
              <w:rPr>
                <w:spacing w:val="0"/>
                <w:sz w:val="24"/>
                <w:szCs w:val="24"/>
              </w:rPr>
            </w:pPr>
            <w:r w:rsidRPr="0093352F">
              <w:rPr>
                <w:rFonts w:hAnsi="標楷體"/>
                <w:spacing w:val="0"/>
                <w:sz w:val="24"/>
                <w:szCs w:val="24"/>
              </w:rPr>
              <w:t>註一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>：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調查地區分類：</w:t>
            </w:r>
            <w:r w:rsidRPr="0093352F">
              <w:rPr>
                <w:spacing w:val="0"/>
                <w:sz w:val="24"/>
                <w:szCs w:val="24"/>
              </w:rPr>
              <w:t>1.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住宅、</w:t>
            </w:r>
            <w:r w:rsidRPr="0093352F">
              <w:rPr>
                <w:spacing w:val="0"/>
                <w:sz w:val="24"/>
                <w:szCs w:val="24"/>
              </w:rPr>
              <w:t>2.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機關、</w:t>
            </w:r>
            <w:r w:rsidRPr="0093352F">
              <w:rPr>
                <w:spacing w:val="0"/>
                <w:sz w:val="24"/>
                <w:szCs w:val="24"/>
              </w:rPr>
              <w:t>3.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學校、</w:t>
            </w:r>
            <w:r w:rsidRPr="0093352F">
              <w:rPr>
                <w:spacing w:val="0"/>
                <w:sz w:val="24"/>
                <w:szCs w:val="24"/>
              </w:rPr>
              <w:t>4.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空地、</w:t>
            </w:r>
            <w:r w:rsidRPr="0093352F">
              <w:rPr>
                <w:spacing w:val="0"/>
                <w:sz w:val="24"/>
                <w:szCs w:val="24"/>
              </w:rPr>
              <w:t>5.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公園、</w:t>
            </w:r>
            <w:r w:rsidRPr="0093352F">
              <w:rPr>
                <w:spacing w:val="0"/>
                <w:sz w:val="24"/>
                <w:szCs w:val="24"/>
              </w:rPr>
              <w:t>6.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菜園、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>7</w:t>
            </w:r>
            <w:r w:rsidRPr="0093352F">
              <w:rPr>
                <w:spacing w:val="0"/>
                <w:sz w:val="24"/>
                <w:szCs w:val="24"/>
              </w:rPr>
              <w:t>.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>市場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、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>8</w:t>
            </w:r>
            <w:r w:rsidRPr="0093352F">
              <w:rPr>
                <w:spacing w:val="0"/>
                <w:sz w:val="24"/>
                <w:szCs w:val="24"/>
              </w:rPr>
              <w:t>.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>山區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、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>9</w:t>
            </w:r>
            <w:r w:rsidRPr="0093352F">
              <w:rPr>
                <w:spacing w:val="0"/>
                <w:sz w:val="24"/>
                <w:szCs w:val="24"/>
              </w:rPr>
              <w:t>.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>其他</w:t>
            </w:r>
          </w:p>
          <w:p w:rsidR="00B21976" w:rsidRPr="0093352F" w:rsidRDefault="00B21976" w:rsidP="00B21976">
            <w:pPr>
              <w:pStyle w:val="13"/>
              <w:spacing w:line="320" w:lineRule="exact"/>
              <w:ind w:left="672" w:hanging="672"/>
              <w:jc w:val="both"/>
              <w:rPr>
                <w:rFonts w:hAnsi="標楷體"/>
                <w:spacing w:val="0"/>
                <w:sz w:val="24"/>
                <w:szCs w:val="24"/>
              </w:rPr>
            </w:pP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 xml:space="preserve">　　　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積水容器種類：</w:t>
            </w:r>
            <w:r w:rsidRPr="0093352F">
              <w:rPr>
                <w:spacing w:val="0"/>
                <w:sz w:val="24"/>
                <w:szCs w:val="24"/>
              </w:rPr>
              <w:t>1.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花瓶</w:t>
            </w:r>
            <w:r w:rsidRPr="0093352F">
              <w:rPr>
                <w:rFonts w:ascii="標楷體" w:hAnsi="標楷體"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>2.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各式底盤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>3.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水溝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 xml:space="preserve"> 4.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水塔、冷卻水塔</w:t>
            </w:r>
            <w:r w:rsidRPr="0093352F">
              <w:rPr>
                <w:spacing w:val="0"/>
                <w:sz w:val="24"/>
                <w:szCs w:val="24"/>
              </w:rPr>
              <w:t xml:space="preserve"> 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>5.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帆布、塑膠布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>6.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桶、缸、甕、盆</w:t>
            </w:r>
            <w:r w:rsidRPr="0093352F">
              <w:rPr>
                <w:spacing w:val="0"/>
                <w:sz w:val="24"/>
                <w:szCs w:val="24"/>
              </w:rPr>
              <w:t xml:space="preserve"> 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>7.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保利龍箱盤、塑膠</w:t>
            </w:r>
          </w:p>
          <w:p w:rsidR="00B21976" w:rsidRPr="0093352F" w:rsidRDefault="00B21976" w:rsidP="00B21976">
            <w:pPr>
              <w:pStyle w:val="13"/>
              <w:spacing w:line="320" w:lineRule="exact"/>
              <w:ind w:left="672" w:hanging="672"/>
              <w:jc w:val="both"/>
              <w:rPr>
                <w:spacing w:val="0"/>
                <w:sz w:val="24"/>
                <w:szCs w:val="24"/>
              </w:rPr>
            </w:pP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 xml:space="preserve">　　　　　　　　　　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籃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 xml:space="preserve"> 8.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馬桶、水箱</w:t>
            </w:r>
            <w:r w:rsidRPr="0093352F">
              <w:rPr>
                <w:spacing w:val="0"/>
                <w:sz w:val="24"/>
                <w:szCs w:val="24"/>
              </w:rPr>
              <w:t xml:space="preserve"> 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>9.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杯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>、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瓶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>、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碗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>、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罐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>、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盒</w:t>
            </w:r>
            <w:r w:rsidRPr="0093352F">
              <w:rPr>
                <w:spacing w:val="0"/>
                <w:sz w:val="24"/>
                <w:szCs w:val="24"/>
              </w:rPr>
              <w:t xml:space="preserve"> 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>10.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地下室、防空洞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 xml:space="preserve"> 11.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輪胎</w:t>
            </w:r>
            <w:r w:rsidRPr="0093352F">
              <w:rPr>
                <w:spacing w:val="0"/>
                <w:sz w:val="24"/>
                <w:szCs w:val="24"/>
              </w:rPr>
              <w:t xml:space="preserve"> </w:t>
            </w:r>
            <w:r w:rsidRPr="0093352F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93352F">
              <w:rPr>
                <w:spacing w:val="0"/>
                <w:sz w:val="24"/>
                <w:szCs w:val="24"/>
              </w:rPr>
              <w:t>12.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其他</w:t>
            </w:r>
          </w:p>
          <w:p w:rsidR="00B21976" w:rsidRPr="0093352F" w:rsidRDefault="00B21976" w:rsidP="00B21976">
            <w:pPr>
              <w:pStyle w:val="13"/>
              <w:spacing w:line="320" w:lineRule="exact"/>
              <w:jc w:val="both"/>
              <w:rPr>
                <w:spacing w:val="0"/>
                <w:sz w:val="24"/>
                <w:szCs w:val="24"/>
              </w:rPr>
            </w:pPr>
            <w:r w:rsidRPr="0093352F">
              <w:rPr>
                <w:rFonts w:hAnsi="標楷體"/>
                <w:spacing w:val="0"/>
                <w:sz w:val="24"/>
                <w:szCs w:val="24"/>
              </w:rPr>
              <w:t>註二：無水之容器不予紀錄。</w:t>
            </w:r>
          </w:p>
          <w:p w:rsidR="00B21976" w:rsidRPr="00B21976" w:rsidRDefault="00B21976" w:rsidP="00B21976">
            <w:pPr>
              <w:pStyle w:val="13"/>
              <w:spacing w:line="320" w:lineRule="exact"/>
              <w:ind w:left="672" w:hanging="672"/>
              <w:jc w:val="both"/>
              <w:rPr>
                <w:spacing w:val="0"/>
                <w:sz w:val="24"/>
                <w:szCs w:val="24"/>
              </w:rPr>
            </w:pPr>
            <w:r w:rsidRPr="0093352F">
              <w:rPr>
                <w:rFonts w:hAnsi="標楷體"/>
                <w:spacing w:val="0"/>
                <w:sz w:val="24"/>
                <w:szCs w:val="24"/>
              </w:rPr>
              <w:t>註三：孳生蚊類幼蟲數欄，如無法區分「埃及斑蚊」或「白線斑蚊」幼蟲，則填於「</w:t>
            </w:r>
            <w:r w:rsidRPr="0093352F">
              <w:rPr>
                <w:rFonts w:hAnsi="標楷體" w:hint="eastAsia"/>
                <w:spacing w:val="0"/>
                <w:sz w:val="24"/>
                <w:szCs w:val="24"/>
              </w:rPr>
              <w:t>未分類</w:t>
            </w:r>
            <w:r w:rsidRPr="0093352F">
              <w:rPr>
                <w:rFonts w:hAnsi="標楷體"/>
                <w:spacing w:val="0"/>
                <w:sz w:val="24"/>
                <w:szCs w:val="24"/>
              </w:rPr>
              <w:t>」欄，勿重複計算。</w:t>
            </w:r>
          </w:p>
        </w:tc>
      </w:tr>
    </w:tbl>
    <w:p w:rsidR="00547B1B" w:rsidRPr="00B21976" w:rsidRDefault="00547B1B" w:rsidP="001731F6">
      <w:pPr>
        <w:pStyle w:val="3"/>
        <w:numPr>
          <w:ilvl w:val="0"/>
          <w:numId w:val="0"/>
        </w:numPr>
        <w:spacing w:after="120"/>
        <w:rPr>
          <w:rFonts w:hint="eastAsia"/>
        </w:rPr>
      </w:pPr>
      <w:bookmarkStart w:id="2" w:name="_GoBack"/>
      <w:bookmarkEnd w:id="2"/>
    </w:p>
    <w:sectPr w:rsidR="00547B1B" w:rsidRPr="00B21976" w:rsidSect="00B21976">
      <w:pgSz w:w="16838" w:h="11906" w:orient="landscape"/>
      <w:pgMar w:top="284" w:right="1134" w:bottom="28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5D" w:rsidRDefault="00B11D5D" w:rsidP="00590CA4">
      <w:pPr>
        <w:spacing w:before="0" w:after="0" w:line="240" w:lineRule="auto"/>
      </w:pPr>
      <w:r>
        <w:separator/>
      </w:r>
    </w:p>
  </w:endnote>
  <w:endnote w:type="continuationSeparator" w:id="0">
    <w:p w:rsidR="00B11D5D" w:rsidRDefault="00B11D5D" w:rsidP="00590C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5D" w:rsidRDefault="00B11D5D" w:rsidP="00590CA4">
      <w:pPr>
        <w:spacing w:before="0" w:after="0" w:line="240" w:lineRule="auto"/>
      </w:pPr>
      <w:r>
        <w:separator/>
      </w:r>
    </w:p>
  </w:footnote>
  <w:footnote w:type="continuationSeparator" w:id="0">
    <w:p w:rsidR="00B11D5D" w:rsidRDefault="00B11D5D" w:rsidP="00590C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7556B"/>
    <w:multiLevelType w:val="multilevel"/>
    <w:tmpl w:val="75745D0C"/>
    <w:lvl w:ilvl="0"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華康楷書體W5" w:eastAsia="華康楷書體W5" w:hint="eastAsia"/>
        <w:b/>
        <w:i w:val="0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華康楷書體W5" w:eastAsia="華康楷書體W5" w:hint="eastAsia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5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76"/>
    <w:rsid w:val="001731F6"/>
    <w:rsid w:val="004722DD"/>
    <w:rsid w:val="00547B1B"/>
    <w:rsid w:val="00590CA4"/>
    <w:rsid w:val="00B11D5D"/>
    <w:rsid w:val="00B21976"/>
    <w:rsid w:val="00DA0DB6"/>
    <w:rsid w:val="00E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87DF5-DE99-49CD-A609-D177AAC9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76"/>
    <w:pPr>
      <w:widowControl w:val="0"/>
      <w:adjustRightInd w:val="0"/>
      <w:spacing w:before="120" w:after="120" w:line="400" w:lineRule="atLeast"/>
      <w:ind w:firstLine="600"/>
      <w:jc w:val="both"/>
      <w:textAlignment w:val="baseline"/>
    </w:pPr>
    <w:rPr>
      <w:rFonts w:ascii="Times New Roman" w:eastAsia="標楷體" w:hAnsi="Times New Roman" w:cs="Times New Roman"/>
      <w:spacing w:val="10"/>
      <w:kern w:val="0"/>
      <w:sz w:val="28"/>
      <w:szCs w:val="20"/>
    </w:rPr>
  </w:style>
  <w:style w:type="paragraph" w:styleId="1">
    <w:name w:val="heading 1"/>
    <w:basedOn w:val="a"/>
    <w:next w:val="a"/>
    <w:link w:val="10"/>
    <w:qFormat/>
    <w:rsid w:val="00B21976"/>
    <w:pPr>
      <w:keepNext/>
      <w:numPr>
        <w:numId w:val="1"/>
      </w:numPr>
      <w:spacing w:after="360"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B21976"/>
    <w:pPr>
      <w:keepNext/>
      <w:numPr>
        <w:ilvl w:val="2"/>
        <w:numId w:val="1"/>
      </w:numPr>
      <w:spacing w:after="240" w:line="240" w:lineRule="atLeast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21976"/>
    <w:pPr>
      <w:keepNext/>
      <w:numPr>
        <w:ilvl w:val="3"/>
        <w:numId w:val="1"/>
      </w:numPr>
      <w:spacing w:after="240"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B21976"/>
    <w:pPr>
      <w:keepNext/>
      <w:numPr>
        <w:ilvl w:val="4"/>
        <w:numId w:val="1"/>
      </w:numPr>
      <w:spacing w:after="240" w:line="240" w:lineRule="atLeas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21976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link w:val="70"/>
    <w:qFormat/>
    <w:rsid w:val="00B21976"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B21976"/>
    <w:pPr>
      <w:keepNext/>
      <w:numPr>
        <w:ilvl w:val="7"/>
        <w:numId w:val="1"/>
      </w:numPr>
      <w:spacing w:before="240" w:after="240" w:line="240" w:lineRule="atLeast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B21976"/>
    <w:pPr>
      <w:keepNext/>
      <w:numPr>
        <w:ilvl w:val="8"/>
        <w:numId w:val="1"/>
      </w:numPr>
      <w:spacing w:before="240" w:after="240" w:line="240" w:lineRule="atLeast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21976"/>
    <w:rPr>
      <w:rFonts w:ascii="Times New Roman" w:eastAsia="標楷體" w:hAnsi="Times New Roman" w:cs="Times New Roman"/>
      <w:b/>
      <w:spacing w:val="10"/>
      <w:kern w:val="0"/>
      <w:sz w:val="40"/>
      <w:szCs w:val="20"/>
    </w:rPr>
  </w:style>
  <w:style w:type="character" w:customStyle="1" w:styleId="30">
    <w:name w:val="標題 3 字元"/>
    <w:basedOn w:val="a0"/>
    <w:link w:val="3"/>
    <w:rsid w:val="00B21976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character" w:customStyle="1" w:styleId="40">
    <w:name w:val="標題 4 字元"/>
    <w:basedOn w:val="a0"/>
    <w:link w:val="4"/>
    <w:rsid w:val="00B21976"/>
    <w:rPr>
      <w:rFonts w:ascii="Times New Roman" w:eastAsia="標楷體" w:hAnsi="Times New Roman" w:cs="Times New Roman"/>
      <w:spacing w:val="10"/>
      <w:kern w:val="0"/>
      <w:sz w:val="28"/>
      <w:szCs w:val="20"/>
    </w:rPr>
  </w:style>
  <w:style w:type="character" w:customStyle="1" w:styleId="50">
    <w:name w:val="標題 5 字元"/>
    <w:basedOn w:val="a0"/>
    <w:link w:val="5"/>
    <w:rsid w:val="00B21976"/>
    <w:rPr>
      <w:rFonts w:ascii="Times New Roman" w:eastAsia="標楷體" w:hAnsi="Times New Roman" w:cs="Times New Roman"/>
      <w:b/>
      <w:spacing w:val="10"/>
      <w:kern w:val="0"/>
      <w:sz w:val="28"/>
      <w:szCs w:val="20"/>
    </w:rPr>
  </w:style>
  <w:style w:type="character" w:customStyle="1" w:styleId="60">
    <w:name w:val="標題 6 字元"/>
    <w:basedOn w:val="a0"/>
    <w:link w:val="6"/>
    <w:rsid w:val="00B21976"/>
    <w:rPr>
      <w:rFonts w:ascii="Arial" w:eastAsia="標楷體" w:hAnsi="Arial" w:cs="Times New Roman"/>
      <w:spacing w:val="10"/>
      <w:kern w:val="0"/>
      <w:sz w:val="36"/>
      <w:szCs w:val="20"/>
    </w:rPr>
  </w:style>
  <w:style w:type="character" w:customStyle="1" w:styleId="70">
    <w:name w:val="標題 7 字元"/>
    <w:basedOn w:val="a0"/>
    <w:link w:val="7"/>
    <w:rsid w:val="00B21976"/>
    <w:rPr>
      <w:rFonts w:ascii="Arial" w:eastAsia="標楷體" w:hAnsi="Arial" w:cs="Times New Roman"/>
      <w:b/>
      <w:spacing w:val="10"/>
      <w:kern w:val="0"/>
      <w:sz w:val="36"/>
      <w:szCs w:val="20"/>
    </w:rPr>
  </w:style>
  <w:style w:type="character" w:customStyle="1" w:styleId="80">
    <w:name w:val="標題 8 字元"/>
    <w:basedOn w:val="a0"/>
    <w:link w:val="8"/>
    <w:rsid w:val="00B21976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character" w:customStyle="1" w:styleId="90">
    <w:name w:val="標題 9 字元"/>
    <w:basedOn w:val="a0"/>
    <w:link w:val="9"/>
    <w:rsid w:val="00B21976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paragraph" w:customStyle="1" w:styleId="13">
    <w:name w:val="表13"/>
    <w:basedOn w:val="a"/>
    <w:rsid w:val="00B21976"/>
    <w:pPr>
      <w:spacing w:before="0" w:after="0" w:line="240" w:lineRule="atLeast"/>
      <w:ind w:firstLine="0"/>
      <w:jc w:val="center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590C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90CA4"/>
    <w:rPr>
      <w:rFonts w:ascii="Times New Roman" w:eastAsia="標楷體" w:hAnsi="Times New Roman" w:cs="Times New Roman"/>
      <w:spacing w:val="1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C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90CA4"/>
    <w:rPr>
      <w:rFonts w:ascii="Times New Roman" w:eastAsia="標楷體" w:hAnsi="Times New Roman" w:cs="Times New Roman"/>
      <w:spacing w:val="1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1ACEAD146B5314990D23C245F3DDC05" ma:contentTypeVersion="0" ma:contentTypeDescription="建立新的文件。" ma:contentTypeScope="" ma:versionID="0016d5967996227de8559b9f543bb3f2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58d99789fd5ba3455af164dce1345f69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XWVTFXZDR6YW-381-2920</_dlc_DocId>
    <_dlc_DocIdUrl xmlns="dd7fc72f-9582-4d4d-b968-62b9962b31e0">
      <Url>http://share.cdc.gov.tw/hotzone/_layouts/15/DocIdRedir.aspx?ID=XWVTFXZDR6YW-381-2920</Url>
      <Description>XWVTFXZDR6YW-381-2920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3BAC-6C37-4B47-87A5-E10DC6530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58D2E4-2665-4FE5-BA70-3A64756A1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3A46A-859E-44AD-BB43-A17FE455B1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4.xml><?xml version="1.0" encoding="utf-8"?>
<ds:datastoreItem xmlns:ds="http://schemas.openxmlformats.org/officeDocument/2006/customXml" ds:itemID="{C6DDAFC2-12FE-4B7E-8FB1-0EDAD3288E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38C360-8A27-472B-A360-953962E9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MIHC</cp:lastModifiedBy>
  <cp:revision>2</cp:revision>
  <cp:lastPrinted>2015-09-23T06:27:00Z</cp:lastPrinted>
  <dcterms:created xsi:type="dcterms:W3CDTF">2015-10-30T13:25:00Z</dcterms:created>
  <dcterms:modified xsi:type="dcterms:W3CDTF">2015-10-30T13:25:00Z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0x010100C1ACEAD146B5314990D23C245F3DDC05</vt:lpwstr>
  </property>
  <property fmtid="{D5CDD505-2E9C-101B-9397-08002B2CF9AE}" pid="3" name="_dlc_DocIdItemGuid">
    <vt:lpwstr>8c01c35f-73c4-4f7c-a29a-8840f157d46a</vt:lpwstr>
  </property>
</Properties>
</file>