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14A6" w14:textId="4EE57115" w:rsidR="004E1565" w:rsidRDefault="0047447E" w:rsidP="00365547">
      <w:pPr>
        <w:jc w:val="center"/>
        <w:rPr>
          <w:rFonts w:ascii="標楷體" w:eastAsia="標楷體" w:hAnsi="標楷體"/>
          <w:b/>
          <w:bCs/>
          <w:sz w:val="36"/>
          <w:szCs w:val="36"/>
        </w:rPr>
      </w:pPr>
      <w:proofErr w:type="gramStart"/>
      <w:r w:rsidRPr="0047447E">
        <w:rPr>
          <w:rFonts w:ascii="標楷體" w:eastAsia="標楷體" w:hAnsi="標楷體" w:hint="eastAsia"/>
          <w:b/>
          <w:bCs/>
          <w:sz w:val="36"/>
          <w:szCs w:val="36"/>
        </w:rPr>
        <w:t>臺</w:t>
      </w:r>
      <w:proofErr w:type="gramEnd"/>
      <w:r w:rsidRPr="0047447E">
        <w:rPr>
          <w:rFonts w:ascii="標楷體" w:eastAsia="標楷體" w:hAnsi="標楷體" w:hint="eastAsia"/>
          <w:b/>
          <w:bCs/>
          <w:sz w:val="36"/>
          <w:szCs w:val="36"/>
        </w:rPr>
        <w:t>南市無障礙改善諮詢及審查小組人數性別統計通報</w:t>
      </w:r>
    </w:p>
    <w:p w14:paraId="5D3FAE92" w14:textId="77777777" w:rsidR="00493064" w:rsidRDefault="0047447E" w:rsidP="00850385">
      <w:pPr>
        <w:spacing w:line="560" w:lineRule="exact"/>
        <w:ind w:firstLineChars="200" w:firstLine="560"/>
        <w:rPr>
          <w:rFonts w:ascii="標楷體" w:eastAsia="標楷體" w:hAnsi="標楷體"/>
          <w:sz w:val="28"/>
          <w:szCs w:val="28"/>
        </w:rPr>
      </w:pPr>
      <w:r>
        <w:rPr>
          <w:rFonts w:ascii="標楷體" w:eastAsia="標楷體" w:hAnsi="標楷體" w:hint="eastAsia"/>
          <w:sz w:val="28"/>
          <w:szCs w:val="28"/>
        </w:rPr>
        <w:t>隨著高齡社會的</w:t>
      </w:r>
      <w:r w:rsidR="002971D9">
        <w:rPr>
          <w:rFonts w:ascii="標楷體" w:eastAsia="標楷體" w:hAnsi="標楷體" w:hint="eastAsia"/>
          <w:sz w:val="28"/>
          <w:szCs w:val="28"/>
        </w:rPr>
        <w:t>到來</w:t>
      </w:r>
      <w:r>
        <w:rPr>
          <w:rFonts w:ascii="標楷體" w:eastAsia="標楷體" w:hAnsi="標楷體" w:hint="eastAsia"/>
          <w:sz w:val="28"/>
          <w:szCs w:val="28"/>
        </w:rPr>
        <w:t>以及身心障礙者權益</w:t>
      </w:r>
      <w:r w:rsidR="00850385">
        <w:rPr>
          <w:rFonts w:ascii="標楷體" w:eastAsia="標楷體" w:hAnsi="標楷體" w:hint="eastAsia"/>
          <w:sz w:val="28"/>
          <w:szCs w:val="28"/>
        </w:rPr>
        <w:t>意識高漲</w:t>
      </w:r>
      <w:r>
        <w:rPr>
          <w:rFonts w:ascii="標楷體" w:eastAsia="標楷體" w:hAnsi="標楷體" w:hint="eastAsia"/>
          <w:sz w:val="28"/>
          <w:szCs w:val="28"/>
        </w:rPr>
        <w:t>，為了使行動不便族群</w:t>
      </w:r>
      <w:r w:rsidR="00493064">
        <w:rPr>
          <w:rFonts w:ascii="標楷體" w:eastAsia="標楷體" w:hAnsi="標楷體" w:hint="eastAsia"/>
          <w:sz w:val="28"/>
          <w:szCs w:val="28"/>
        </w:rPr>
        <w:t>能</w:t>
      </w:r>
      <w:r w:rsidR="002971D9">
        <w:rPr>
          <w:rFonts w:ascii="標楷體" w:eastAsia="標楷體" w:hAnsi="標楷體" w:hint="eastAsia"/>
          <w:sz w:val="28"/>
          <w:szCs w:val="28"/>
        </w:rPr>
        <w:t>自由的移動不受物理環境的阻礙，</w:t>
      </w:r>
      <w:r w:rsidR="00530FED">
        <w:rPr>
          <w:rFonts w:ascii="標楷體" w:eastAsia="標楷體" w:hAnsi="標楷體" w:hint="eastAsia"/>
          <w:sz w:val="28"/>
          <w:szCs w:val="28"/>
        </w:rPr>
        <w:t>建築主管機關致力於推動</w:t>
      </w:r>
      <w:r w:rsidR="00850385">
        <w:rPr>
          <w:rFonts w:ascii="標楷體" w:eastAsia="標楷體" w:hAnsi="標楷體" w:hint="eastAsia"/>
          <w:sz w:val="28"/>
          <w:szCs w:val="28"/>
        </w:rPr>
        <w:t>建築物</w:t>
      </w:r>
      <w:r w:rsidR="002143FB">
        <w:rPr>
          <w:rFonts w:ascii="標楷體" w:eastAsia="標楷體" w:hAnsi="標楷體" w:hint="eastAsia"/>
          <w:sz w:val="28"/>
          <w:szCs w:val="28"/>
        </w:rPr>
        <w:t>無障礙環境的建置。為此建築技術規則建築設計施工編</w:t>
      </w:r>
      <w:proofErr w:type="gramStart"/>
      <w:r w:rsidR="002143FB">
        <w:rPr>
          <w:rFonts w:ascii="標楷體" w:eastAsia="標楷體" w:hAnsi="標楷體" w:hint="eastAsia"/>
          <w:sz w:val="28"/>
          <w:szCs w:val="28"/>
        </w:rPr>
        <w:t>第十章訂有</w:t>
      </w:r>
      <w:proofErr w:type="gramEnd"/>
      <w:r w:rsidR="002143FB">
        <w:rPr>
          <w:rFonts w:ascii="標楷體" w:eastAsia="標楷體" w:hAnsi="標楷體" w:hint="eastAsia"/>
          <w:sz w:val="28"/>
          <w:szCs w:val="28"/>
        </w:rPr>
        <w:t>無障礙設計專章，明文規定</w:t>
      </w:r>
      <w:r w:rsidR="00850385">
        <w:rPr>
          <w:rFonts w:ascii="標楷體" w:eastAsia="標楷體" w:hAnsi="標楷體" w:hint="eastAsia"/>
          <w:sz w:val="28"/>
          <w:szCs w:val="28"/>
        </w:rPr>
        <w:t>建築物應針對通路、電梯、停車、衛浴</w:t>
      </w:r>
      <w:r w:rsidR="00493064">
        <w:rPr>
          <w:rFonts w:ascii="標楷體" w:eastAsia="標楷體" w:hAnsi="標楷體"/>
          <w:sz w:val="28"/>
          <w:szCs w:val="28"/>
        </w:rPr>
        <w:t>…</w:t>
      </w:r>
      <w:proofErr w:type="gramStart"/>
      <w:r w:rsidR="00493064">
        <w:rPr>
          <w:rFonts w:ascii="標楷體" w:eastAsia="標楷體" w:hAnsi="標楷體"/>
          <w:sz w:val="28"/>
          <w:szCs w:val="28"/>
        </w:rPr>
        <w:t>…</w:t>
      </w:r>
      <w:proofErr w:type="gramEnd"/>
      <w:r w:rsidR="00850385">
        <w:rPr>
          <w:rFonts w:ascii="標楷體" w:eastAsia="標楷體" w:hAnsi="標楷體" w:hint="eastAsia"/>
          <w:sz w:val="28"/>
          <w:szCs w:val="28"/>
        </w:rPr>
        <w:t>等</w:t>
      </w:r>
      <w:r w:rsidR="00493064">
        <w:rPr>
          <w:rFonts w:ascii="標楷體" w:eastAsia="標楷體" w:hAnsi="標楷體" w:hint="eastAsia"/>
          <w:sz w:val="28"/>
          <w:szCs w:val="28"/>
        </w:rPr>
        <w:t>相關</w:t>
      </w:r>
      <w:r w:rsidR="00850385">
        <w:rPr>
          <w:rFonts w:ascii="標楷體" w:eastAsia="標楷體" w:hAnsi="標楷體" w:hint="eastAsia"/>
          <w:sz w:val="28"/>
          <w:szCs w:val="28"/>
        </w:rPr>
        <w:t>設施</w:t>
      </w:r>
      <w:r w:rsidR="00493064">
        <w:rPr>
          <w:rFonts w:ascii="標楷體" w:eastAsia="標楷體" w:hAnsi="標楷體" w:hint="eastAsia"/>
          <w:sz w:val="28"/>
          <w:szCs w:val="28"/>
        </w:rPr>
        <w:t>建</w:t>
      </w:r>
      <w:r w:rsidR="00850385" w:rsidRPr="00850385">
        <w:rPr>
          <w:rFonts w:ascii="標楷體" w:eastAsia="標楷體" w:hAnsi="標楷體" w:hint="eastAsia"/>
          <w:sz w:val="28"/>
          <w:szCs w:val="28"/>
        </w:rPr>
        <w:t>置無障礙</w:t>
      </w:r>
      <w:r w:rsidR="00493064">
        <w:rPr>
          <w:rFonts w:ascii="標楷體" w:eastAsia="標楷體" w:hAnsi="標楷體" w:hint="eastAsia"/>
          <w:sz w:val="28"/>
          <w:szCs w:val="28"/>
        </w:rPr>
        <w:t>設施及設備</w:t>
      </w:r>
      <w:r w:rsidR="00850385">
        <w:rPr>
          <w:rFonts w:ascii="標楷體" w:eastAsia="標楷體" w:hAnsi="標楷體" w:hint="eastAsia"/>
          <w:sz w:val="28"/>
          <w:szCs w:val="28"/>
        </w:rPr>
        <w:t>，以期打造不論行動不便之老人、婦幼、身心障礙者</w:t>
      </w:r>
      <w:r w:rsidR="00493064">
        <w:rPr>
          <w:rFonts w:ascii="標楷體" w:eastAsia="標楷體" w:hAnsi="標楷體" w:hint="eastAsia"/>
          <w:sz w:val="28"/>
          <w:szCs w:val="28"/>
        </w:rPr>
        <w:t>，不需要仰賴他人協助，皆</w:t>
      </w:r>
      <w:r w:rsidR="00850385">
        <w:rPr>
          <w:rFonts w:ascii="標楷體" w:eastAsia="標楷體" w:hAnsi="標楷體" w:hint="eastAsia"/>
          <w:sz w:val="28"/>
          <w:szCs w:val="28"/>
        </w:rPr>
        <w:t>可以</w:t>
      </w:r>
      <w:r w:rsidR="00493064">
        <w:rPr>
          <w:rFonts w:ascii="標楷體" w:eastAsia="標楷體" w:hAnsi="標楷體" w:hint="eastAsia"/>
          <w:sz w:val="28"/>
          <w:szCs w:val="28"/>
        </w:rPr>
        <w:t>自由移動的</w:t>
      </w:r>
      <w:r w:rsidR="00850385">
        <w:rPr>
          <w:rFonts w:ascii="標楷體" w:eastAsia="標楷體" w:hAnsi="標楷體" w:hint="eastAsia"/>
          <w:sz w:val="28"/>
          <w:szCs w:val="28"/>
        </w:rPr>
        <w:t>生活環境。</w:t>
      </w:r>
      <w:r w:rsidR="00493064">
        <w:rPr>
          <w:rFonts w:ascii="標楷體" w:eastAsia="標楷體" w:hAnsi="標楷體" w:hint="eastAsia"/>
          <w:sz w:val="28"/>
          <w:szCs w:val="28"/>
        </w:rPr>
        <w:t>在實務推行上，針對新建建築物要求應符合建築物無障礙設施及設備設計規範才能核發使用許可；至於既存</w:t>
      </w:r>
      <w:proofErr w:type="gramStart"/>
      <w:r w:rsidR="00493064">
        <w:rPr>
          <w:rFonts w:ascii="標楷體" w:eastAsia="標楷體" w:hAnsi="標楷體" w:hint="eastAsia"/>
          <w:sz w:val="28"/>
          <w:szCs w:val="28"/>
        </w:rPr>
        <w:t>建築物依按分區</w:t>
      </w:r>
      <w:proofErr w:type="gramEnd"/>
      <w:r w:rsidR="00493064">
        <w:rPr>
          <w:rFonts w:ascii="標楷體" w:eastAsia="標楷體" w:hAnsi="標楷體" w:hint="eastAsia"/>
          <w:sz w:val="28"/>
          <w:szCs w:val="28"/>
        </w:rPr>
        <w:t>分期逐步要求改善。</w:t>
      </w:r>
    </w:p>
    <w:p w14:paraId="1333A158" w14:textId="30007CCE" w:rsidR="00493064" w:rsidRDefault="00493064" w:rsidP="00493064">
      <w:pPr>
        <w:spacing w:line="560" w:lineRule="exact"/>
        <w:ind w:firstLineChars="200" w:firstLine="560"/>
        <w:rPr>
          <w:rFonts w:ascii="標楷體" w:eastAsia="標楷體" w:hAnsi="標楷體"/>
          <w:sz w:val="28"/>
          <w:szCs w:val="28"/>
        </w:rPr>
      </w:pPr>
      <w:r>
        <w:rPr>
          <w:rFonts w:ascii="標楷體" w:eastAsia="標楷體" w:hAnsi="標楷體" w:hint="eastAsia"/>
          <w:sz w:val="28"/>
          <w:szCs w:val="28"/>
        </w:rPr>
        <w:t>為使政策實施過程中能符合使用者需求，並適時諮詢使用者意見，</w:t>
      </w:r>
      <w:proofErr w:type="gramStart"/>
      <w:r>
        <w:rPr>
          <w:rFonts w:ascii="標楷體" w:eastAsia="標楷體" w:hAnsi="標楷體" w:hint="eastAsia"/>
          <w:sz w:val="28"/>
          <w:szCs w:val="28"/>
        </w:rPr>
        <w:t>本市訂有</w:t>
      </w:r>
      <w:proofErr w:type="gramEnd"/>
      <w:r>
        <w:rPr>
          <w:rFonts w:ascii="標楷體" w:eastAsia="標楷體" w:hAnsi="標楷體" w:hint="eastAsia"/>
          <w:sz w:val="28"/>
          <w:szCs w:val="28"/>
        </w:rPr>
        <w:t>「</w:t>
      </w:r>
      <w:proofErr w:type="gramStart"/>
      <w:r w:rsidRPr="00493064">
        <w:rPr>
          <w:rFonts w:ascii="標楷體" w:eastAsia="標楷體" w:hAnsi="標楷體" w:hint="eastAsia"/>
          <w:sz w:val="28"/>
          <w:szCs w:val="28"/>
        </w:rPr>
        <w:t>臺</w:t>
      </w:r>
      <w:proofErr w:type="gramEnd"/>
      <w:r w:rsidRPr="00493064">
        <w:rPr>
          <w:rFonts w:ascii="標楷體" w:eastAsia="標楷體" w:hAnsi="標楷體" w:hint="eastAsia"/>
          <w:sz w:val="28"/>
          <w:szCs w:val="28"/>
        </w:rPr>
        <w:t>南市政府工務局公共建築物供行動不便者使用設施改善諮詢及審查小組設置要點</w:t>
      </w:r>
      <w:r>
        <w:rPr>
          <w:rFonts w:ascii="標楷體" w:eastAsia="標楷體" w:hAnsi="標楷體" w:hint="eastAsia"/>
          <w:sz w:val="28"/>
          <w:szCs w:val="28"/>
        </w:rPr>
        <w:t>」，召集有無障礙改善諮詢及審查小組，以執行下開任務：</w:t>
      </w:r>
    </w:p>
    <w:p w14:paraId="39FA2CDB" w14:textId="77777777" w:rsidR="00493064" w:rsidRDefault="00493064" w:rsidP="00493064">
      <w:pPr>
        <w:spacing w:line="560" w:lineRule="exact"/>
        <w:ind w:left="840" w:hangingChars="300" w:hanging="840"/>
        <w:rPr>
          <w:rFonts w:ascii="標楷體" w:eastAsia="標楷體" w:hAnsi="標楷體"/>
          <w:sz w:val="28"/>
          <w:szCs w:val="28"/>
        </w:rPr>
      </w:pPr>
      <w:r w:rsidRPr="00493064">
        <w:rPr>
          <w:rFonts w:ascii="標楷體" w:eastAsia="標楷體" w:hAnsi="標楷體" w:hint="eastAsia"/>
          <w:sz w:val="28"/>
          <w:szCs w:val="28"/>
        </w:rPr>
        <w:t>（一）分類、分期、分區改善執行計畫及期限之擬定。</w:t>
      </w:r>
    </w:p>
    <w:p w14:paraId="4E79602A" w14:textId="77777777" w:rsidR="00493064" w:rsidRDefault="00493064" w:rsidP="00493064">
      <w:pPr>
        <w:spacing w:line="560" w:lineRule="exact"/>
        <w:ind w:left="840" w:hangingChars="300" w:hanging="840"/>
        <w:rPr>
          <w:rFonts w:ascii="標楷體" w:eastAsia="標楷體" w:hAnsi="標楷體"/>
          <w:sz w:val="28"/>
          <w:szCs w:val="28"/>
        </w:rPr>
      </w:pPr>
      <w:r w:rsidRPr="00493064">
        <w:rPr>
          <w:rFonts w:ascii="標楷體" w:eastAsia="標楷體" w:hAnsi="標楷體" w:hint="eastAsia"/>
          <w:sz w:val="28"/>
          <w:szCs w:val="28"/>
        </w:rPr>
        <w:t>（二）各類建築物行動不便者使用設施項目優先改善次序之擬定。</w:t>
      </w:r>
    </w:p>
    <w:p w14:paraId="68321369" w14:textId="77777777" w:rsidR="00493064" w:rsidRDefault="00493064" w:rsidP="00493064">
      <w:pPr>
        <w:spacing w:line="560" w:lineRule="exact"/>
        <w:ind w:left="840" w:hangingChars="300" w:hanging="840"/>
        <w:rPr>
          <w:rFonts w:ascii="標楷體" w:eastAsia="標楷體" w:hAnsi="標楷體"/>
          <w:sz w:val="28"/>
          <w:szCs w:val="28"/>
        </w:rPr>
      </w:pPr>
      <w:r w:rsidRPr="00493064">
        <w:rPr>
          <w:rFonts w:ascii="標楷體" w:eastAsia="標楷體" w:hAnsi="標楷體" w:hint="eastAsia"/>
          <w:sz w:val="28"/>
          <w:szCs w:val="28"/>
        </w:rPr>
        <w:t>（三）公共建築物替代改善計畫之諮詢及指導。</w:t>
      </w:r>
    </w:p>
    <w:p w14:paraId="53B9B4E1" w14:textId="77777777" w:rsidR="00493064" w:rsidRDefault="00493064" w:rsidP="00493064">
      <w:pPr>
        <w:spacing w:line="560" w:lineRule="exact"/>
        <w:ind w:left="840" w:hangingChars="300" w:hanging="840"/>
        <w:rPr>
          <w:rFonts w:ascii="標楷體" w:eastAsia="標楷體" w:hAnsi="標楷體"/>
          <w:sz w:val="28"/>
          <w:szCs w:val="28"/>
        </w:rPr>
      </w:pPr>
      <w:r w:rsidRPr="00493064">
        <w:rPr>
          <w:rFonts w:ascii="標楷體" w:eastAsia="標楷體" w:hAnsi="標楷體" w:hint="eastAsia"/>
          <w:sz w:val="28"/>
          <w:szCs w:val="28"/>
        </w:rPr>
        <w:t>（四）公共建築物可否提具替代改善計畫之認定及替代改善計畫之審核。</w:t>
      </w:r>
    </w:p>
    <w:p w14:paraId="3B37122E" w14:textId="34568C9D" w:rsidR="00850385" w:rsidRDefault="00493064" w:rsidP="00493064">
      <w:pPr>
        <w:spacing w:line="560" w:lineRule="exact"/>
        <w:ind w:left="840" w:hangingChars="300" w:hanging="840"/>
        <w:rPr>
          <w:rFonts w:ascii="標楷體" w:eastAsia="標楷體" w:hAnsi="標楷體"/>
          <w:sz w:val="28"/>
          <w:szCs w:val="28"/>
        </w:rPr>
      </w:pPr>
      <w:r w:rsidRPr="00493064">
        <w:rPr>
          <w:rFonts w:ascii="標楷體" w:eastAsia="標楷體" w:hAnsi="標楷體" w:hint="eastAsia"/>
          <w:sz w:val="28"/>
          <w:szCs w:val="28"/>
        </w:rPr>
        <w:t>（五）公共建築物改善完竣報請備查之勘驗。</w:t>
      </w:r>
      <w:r w:rsidR="00365547">
        <w:rPr>
          <w:rFonts w:ascii="標楷體" w:eastAsia="標楷體" w:hAnsi="標楷體"/>
          <w:sz w:val="28"/>
          <w:szCs w:val="28"/>
        </w:rPr>
        <w:br/>
      </w:r>
      <w:r w:rsidR="00365547">
        <w:rPr>
          <w:rFonts w:ascii="標楷體" w:eastAsia="標楷體" w:hAnsi="標楷體" w:hint="eastAsia"/>
          <w:sz w:val="28"/>
          <w:szCs w:val="28"/>
        </w:rPr>
        <w:t>以健全本市建築物無障礙政策之推動。</w:t>
      </w:r>
    </w:p>
    <w:p w14:paraId="17EA0BAA" w14:textId="2F935C79" w:rsidR="00365547" w:rsidRDefault="00365547" w:rsidP="00D4501F">
      <w:pPr>
        <w:spacing w:line="560" w:lineRule="exact"/>
        <w:rPr>
          <w:rFonts w:ascii="標楷體" w:eastAsia="標楷體" w:hAnsi="標楷體"/>
          <w:sz w:val="28"/>
          <w:szCs w:val="28"/>
        </w:rPr>
      </w:pPr>
      <w:r>
        <w:rPr>
          <w:rFonts w:ascii="標楷體" w:eastAsia="標楷體" w:hAnsi="標楷體" w:hint="eastAsia"/>
          <w:sz w:val="28"/>
          <w:szCs w:val="28"/>
        </w:rPr>
        <w:t>本小組108年至113年之委員性別統計表如下：</w:t>
      </w:r>
    </w:p>
    <w:tbl>
      <w:tblPr>
        <w:tblStyle w:val="a3"/>
        <w:tblW w:w="9634" w:type="dxa"/>
        <w:tblLook w:val="04A0" w:firstRow="1" w:lastRow="0" w:firstColumn="1" w:lastColumn="0" w:noHBand="0" w:noVBand="1"/>
      </w:tblPr>
      <w:tblGrid>
        <w:gridCol w:w="2074"/>
        <w:gridCol w:w="2074"/>
        <w:gridCol w:w="2074"/>
        <w:gridCol w:w="3412"/>
      </w:tblGrid>
      <w:tr w:rsidR="00365547" w14:paraId="11EDF28C" w14:textId="77777777" w:rsidTr="00092886">
        <w:trPr>
          <w:trHeight w:val="510"/>
        </w:trPr>
        <w:tc>
          <w:tcPr>
            <w:tcW w:w="2074" w:type="dxa"/>
            <w:shd w:val="clear" w:color="auto" w:fill="D9D9D9" w:themeFill="background1" w:themeFillShade="D9"/>
            <w:vAlign w:val="center"/>
          </w:tcPr>
          <w:p w14:paraId="5F8A313C" w14:textId="77777777" w:rsidR="00365547" w:rsidRDefault="00365547" w:rsidP="00D4501F">
            <w:pPr>
              <w:spacing w:line="280" w:lineRule="exact"/>
              <w:jc w:val="center"/>
              <w:rPr>
                <w:rFonts w:ascii="標楷體" w:eastAsia="標楷體" w:hAnsi="標楷體"/>
                <w:sz w:val="28"/>
                <w:szCs w:val="28"/>
              </w:rPr>
            </w:pPr>
          </w:p>
        </w:tc>
        <w:tc>
          <w:tcPr>
            <w:tcW w:w="2074" w:type="dxa"/>
            <w:shd w:val="clear" w:color="auto" w:fill="D9D9D9" w:themeFill="background1" w:themeFillShade="D9"/>
            <w:vAlign w:val="center"/>
          </w:tcPr>
          <w:p w14:paraId="538FB93E" w14:textId="76968956"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男性</w:t>
            </w:r>
          </w:p>
        </w:tc>
        <w:tc>
          <w:tcPr>
            <w:tcW w:w="2074" w:type="dxa"/>
            <w:shd w:val="clear" w:color="auto" w:fill="D9D9D9" w:themeFill="background1" w:themeFillShade="D9"/>
            <w:vAlign w:val="center"/>
          </w:tcPr>
          <w:p w14:paraId="4BC24F52" w14:textId="4B5C0E56"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女性</w:t>
            </w:r>
          </w:p>
        </w:tc>
        <w:tc>
          <w:tcPr>
            <w:tcW w:w="3412" w:type="dxa"/>
            <w:shd w:val="clear" w:color="auto" w:fill="D9D9D9" w:themeFill="background1" w:themeFillShade="D9"/>
            <w:vAlign w:val="center"/>
          </w:tcPr>
          <w:p w14:paraId="7869E7C9" w14:textId="4023E3C9"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合計</w:t>
            </w:r>
          </w:p>
        </w:tc>
      </w:tr>
      <w:tr w:rsidR="00365547" w14:paraId="36EE5C7D" w14:textId="77777777" w:rsidTr="00092886">
        <w:trPr>
          <w:trHeight w:val="510"/>
        </w:trPr>
        <w:tc>
          <w:tcPr>
            <w:tcW w:w="2074" w:type="dxa"/>
            <w:shd w:val="clear" w:color="auto" w:fill="D9D9D9" w:themeFill="background1" w:themeFillShade="D9"/>
            <w:vAlign w:val="center"/>
          </w:tcPr>
          <w:p w14:paraId="707EA751" w14:textId="63623F65"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108～109</w:t>
            </w:r>
          </w:p>
        </w:tc>
        <w:tc>
          <w:tcPr>
            <w:tcW w:w="2074" w:type="dxa"/>
            <w:vAlign w:val="center"/>
          </w:tcPr>
          <w:p w14:paraId="45E5D30D" w14:textId="102AB5F2"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10</w:t>
            </w:r>
          </w:p>
        </w:tc>
        <w:tc>
          <w:tcPr>
            <w:tcW w:w="2074" w:type="dxa"/>
            <w:vAlign w:val="center"/>
          </w:tcPr>
          <w:p w14:paraId="1CDE60AF" w14:textId="68B4D8F2"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5</w:t>
            </w:r>
          </w:p>
        </w:tc>
        <w:tc>
          <w:tcPr>
            <w:tcW w:w="3412" w:type="dxa"/>
            <w:vAlign w:val="center"/>
          </w:tcPr>
          <w:p w14:paraId="1A2FCD94" w14:textId="2C008E08"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15</w:t>
            </w:r>
          </w:p>
        </w:tc>
      </w:tr>
      <w:tr w:rsidR="00365547" w14:paraId="40B1497D" w14:textId="77777777" w:rsidTr="00092886">
        <w:trPr>
          <w:trHeight w:val="510"/>
        </w:trPr>
        <w:tc>
          <w:tcPr>
            <w:tcW w:w="2074" w:type="dxa"/>
            <w:shd w:val="clear" w:color="auto" w:fill="D9D9D9" w:themeFill="background1" w:themeFillShade="D9"/>
            <w:vAlign w:val="center"/>
          </w:tcPr>
          <w:p w14:paraId="715F0A50" w14:textId="2245D65B"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110～111</w:t>
            </w:r>
          </w:p>
        </w:tc>
        <w:tc>
          <w:tcPr>
            <w:tcW w:w="2074" w:type="dxa"/>
            <w:vAlign w:val="center"/>
          </w:tcPr>
          <w:p w14:paraId="661B9645" w14:textId="04F7E329"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10</w:t>
            </w:r>
          </w:p>
        </w:tc>
        <w:tc>
          <w:tcPr>
            <w:tcW w:w="2074" w:type="dxa"/>
            <w:vAlign w:val="center"/>
          </w:tcPr>
          <w:p w14:paraId="4B60D4F8" w14:textId="125BD987"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5</w:t>
            </w:r>
          </w:p>
        </w:tc>
        <w:tc>
          <w:tcPr>
            <w:tcW w:w="3412" w:type="dxa"/>
            <w:vAlign w:val="center"/>
          </w:tcPr>
          <w:p w14:paraId="5CD70A41" w14:textId="6965ECAE"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15</w:t>
            </w:r>
          </w:p>
        </w:tc>
      </w:tr>
      <w:tr w:rsidR="00365547" w14:paraId="56FD159E" w14:textId="77777777" w:rsidTr="00092886">
        <w:trPr>
          <w:trHeight w:val="510"/>
        </w:trPr>
        <w:tc>
          <w:tcPr>
            <w:tcW w:w="2074" w:type="dxa"/>
            <w:shd w:val="clear" w:color="auto" w:fill="D9D9D9" w:themeFill="background1" w:themeFillShade="D9"/>
            <w:vAlign w:val="center"/>
          </w:tcPr>
          <w:p w14:paraId="3EA8E6E1" w14:textId="082FF0A7"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112～113</w:t>
            </w:r>
          </w:p>
        </w:tc>
        <w:tc>
          <w:tcPr>
            <w:tcW w:w="2074" w:type="dxa"/>
            <w:vAlign w:val="center"/>
          </w:tcPr>
          <w:p w14:paraId="70AE2A11" w14:textId="0113DA05"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10</w:t>
            </w:r>
          </w:p>
        </w:tc>
        <w:tc>
          <w:tcPr>
            <w:tcW w:w="2074" w:type="dxa"/>
            <w:vAlign w:val="center"/>
          </w:tcPr>
          <w:p w14:paraId="6490B054" w14:textId="719F9674"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5</w:t>
            </w:r>
          </w:p>
        </w:tc>
        <w:tc>
          <w:tcPr>
            <w:tcW w:w="3412" w:type="dxa"/>
            <w:vAlign w:val="center"/>
          </w:tcPr>
          <w:p w14:paraId="1DC984EC" w14:textId="58EA2C9C" w:rsidR="00365547" w:rsidRDefault="00365547" w:rsidP="00D4501F">
            <w:pPr>
              <w:spacing w:line="280" w:lineRule="exact"/>
              <w:jc w:val="center"/>
              <w:rPr>
                <w:rFonts w:ascii="標楷體" w:eastAsia="標楷體" w:hAnsi="標楷體"/>
                <w:sz w:val="28"/>
                <w:szCs w:val="28"/>
              </w:rPr>
            </w:pPr>
            <w:r>
              <w:rPr>
                <w:rFonts w:ascii="標楷體" w:eastAsia="標楷體" w:hAnsi="標楷體" w:hint="eastAsia"/>
                <w:sz w:val="28"/>
                <w:szCs w:val="28"/>
              </w:rPr>
              <w:t>15</w:t>
            </w:r>
          </w:p>
        </w:tc>
      </w:tr>
    </w:tbl>
    <w:p w14:paraId="5A7FE6ED" w14:textId="1CEC6DD0" w:rsidR="00365547" w:rsidRPr="0047447E" w:rsidRDefault="00A82824" w:rsidP="00D4501F">
      <w:pPr>
        <w:spacing w:line="560" w:lineRule="exact"/>
        <w:rPr>
          <w:rFonts w:ascii="標楷體" w:eastAsia="標楷體" w:hAnsi="標楷體"/>
          <w:sz w:val="28"/>
          <w:szCs w:val="28"/>
        </w:rPr>
      </w:pPr>
      <w:r>
        <w:rPr>
          <w:rFonts w:ascii="標楷體" w:eastAsia="標楷體" w:hAnsi="標楷體" w:hint="eastAsia"/>
          <w:sz w:val="28"/>
          <w:szCs w:val="28"/>
        </w:rPr>
        <w:t>資料來源：工務局使用管理科</w:t>
      </w:r>
    </w:p>
    <w:sectPr w:rsidR="00365547" w:rsidRPr="0047447E" w:rsidSect="0036554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65"/>
    <w:rsid w:val="00092886"/>
    <w:rsid w:val="002143FB"/>
    <w:rsid w:val="002971D9"/>
    <w:rsid w:val="00365547"/>
    <w:rsid w:val="00395698"/>
    <w:rsid w:val="0047447E"/>
    <w:rsid w:val="00493064"/>
    <w:rsid w:val="004E1565"/>
    <w:rsid w:val="00530FED"/>
    <w:rsid w:val="00850385"/>
    <w:rsid w:val="00A82824"/>
    <w:rsid w:val="00D4501F"/>
    <w:rsid w:val="00FF5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325B"/>
  <w15:chartTrackingRefBased/>
  <w15:docId w15:val="{FD14A107-6A86-4B38-B3D2-CACEE89F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白忠銓</dc:creator>
  <cp:keywords/>
  <dc:description/>
  <cp:lastModifiedBy>郭芳羽</cp:lastModifiedBy>
  <cp:revision>2</cp:revision>
  <dcterms:created xsi:type="dcterms:W3CDTF">2023-04-11T06:41:00Z</dcterms:created>
  <dcterms:modified xsi:type="dcterms:W3CDTF">2023-04-11T06:41:00Z</dcterms:modified>
</cp:coreProperties>
</file>