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F6" w:rsidRDefault="00552FD1">
      <w:pPr>
        <w:jc w:val="center"/>
        <w:rPr>
          <w:rFonts w:ascii="Times New Roman" w:eastAsia="標楷體" w:hAnsi="Times New Roman"/>
          <w:b/>
          <w:color w:val="000000"/>
          <w:sz w:val="40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11</w:t>
      </w:r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3</w:t>
      </w:r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/1/</w:t>
      </w:r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6</w:t>
      </w:r>
      <w:proofErr w:type="gramStart"/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臺</w:t>
      </w:r>
      <w:proofErr w:type="gramEnd"/>
      <w:r>
        <w:rPr>
          <w:rFonts w:ascii="Times New Roman" w:eastAsia="標楷體" w:hAnsi="Times New Roman" w:hint="eastAsia"/>
          <w:b/>
          <w:color w:val="000000"/>
          <w:sz w:val="40"/>
          <w:szCs w:val="32"/>
        </w:rPr>
        <w:t>南市防制指揮中心應變執行成果</w:t>
      </w:r>
    </w:p>
    <w:p w:rsidR="004B53F6" w:rsidRDefault="00552FD1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bCs/>
          <w:color w:val="000000"/>
          <w:sz w:val="28"/>
        </w:rPr>
      </w:pPr>
      <w:r>
        <w:rPr>
          <w:rFonts w:ascii="Times New Roman" w:eastAsia="標楷體" w:hAnsi="Times New Roman" w:hint="eastAsia"/>
          <w:bCs/>
          <w:color w:val="000000"/>
          <w:sz w:val="28"/>
        </w:rPr>
        <w:t>依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8"/>
        </w:rPr>
        <w:t>環境部測站</w:t>
      </w:r>
      <w:proofErr w:type="gramEnd"/>
      <w:r>
        <w:rPr>
          <w:rFonts w:ascii="Times New Roman" w:eastAsia="標楷體" w:hAnsi="Times New Roman" w:hint="eastAsia"/>
          <w:bCs/>
          <w:color w:val="000000"/>
          <w:sz w:val="28"/>
        </w:rPr>
        <w:t>上午</w:t>
      </w:r>
      <w:r>
        <w:rPr>
          <w:rFonts w:ascii="Times New Roman" w:eastAsia="標楷體" w:hAnsi="Times New Roman" w:hint="eastAsia"/>
          <w:bCs/>
          <w:color w:val="000000"/>
          <w:sz w:val="28"/>
        </w:rPr>
        <w:t>8</w:t>
      </w:r>
      <w:r>
        <w:rPr>
          <w:rFonts w:ascii="Times New Roman" w:eastAsia="標楷體" w:hAnsi="Times New Roman" w:hint="eastAsia"/>
          <w:bCs/>
          <w:color w:val="000000"/>
          <w:sz w:val="28"/>
        </w:rPr>
        <w:t>時數據顯示，安南、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8"/>
        </w:rPr>
        <w:t>臺南測站達</w:t>
      </w:r>
      <w:proofErr w:type="gramEnd"/>
      <w:r>
        <w:rPr>
          <w:rFonts w:ascii="Times New Roman" w:eastAsia="標楷體" w:hAnsi="Times New Roman" w:hint="eastAsia"/>
          <w:bCs/>
          <w:color w:val="000000"/>
          <w:sz w:val="28"/>
        </w:rPr>
        <w:t>中</w:t>
      </w:r>
      <w:r>
        <w:rPr>
          <w:rFonts w:ascii="Times New Roman" w:eastAsia="標楷體" w:hAnsi="Times New Roman" w:hint="eastAsia"/>
          <w:bCs/>
          <w:color w:val="000000"/>
          <w:sz w:val="28"/>
        </w:rPr>
        <w:t>級預警</w:t>
      </w:r>
      <w:r>
        <w:rPr>
          <w:rFonts w:ascii="Times New Roman" w:eastAsia="標楷體" w:hAnsi="Times New Roman" w:hint="eastAsia"/>
          <w:bCs/>
          <w:color w:val="000000"/>
          <w:sz w:val="28"/>
        </w:rPr>
        <w:t>、新營、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8"/>
        </w:rPr>
        <w:t>善化</w:t>
      </w:r>
      <w:r>
        <w:rPr>
          <w:rFonts w:ascii="Times New Roman" w:eastAsia="標楷體" w:hAnsi="Times New Roman" w:hint="eastAsia"/>
          <w:bCs/>
          <w:color w:val="000000"/>
          <w:sz w:val="28"/>
        </w:rPr>
        <w:t>站</w:t>
      </w:r>
      <w:r>
        <w:rPr>
          <w:rFonts w:ascii="Times New Roman" w:eastAsia="標楷體" w:hAnsi="Times New Roman" w:hint="eastAsia"/>
          <w:bCs/>
          <w:color w:val="000000"/>
          <w:sz w:val="28"/>
        </w:rPr>
        <w:t>達初級</w:t>
      </w:r>
      <w:proofErr w:type="gramEnd"/>
      <w:r>
        <w:rPr>
          <w:rFonts w:ascii="Times New Roman" w:eastAsia="標楷體" w:hAnsi="Times New Roman" w:hint="eastAsia"/>
          <w:bCs/>
          <w:color w:val="000000"/>
          <w:sz w:val="28"/>
        </w:rPr>
        <w:t>預警，指標污染物為</w:t>
      </w:r>
      <w:r>
        <w:rPr>
          <w:rFonts w:ascii="Times New Roman" w:eastAsia="標楷體" w:hAnsi="Times New Roman" w:hint="eastAsia"/>
          <w:bCs/>
          <w:color w:val="000000"/>
          <w:sz w:val="28"/>
        </w:rPr>
        <w:t>PM</w:t>
      </w:r>
      <w:r>
        <w:rPr>
          <w:rFonts w:ascii="Times New Roman" w:eastAsia="標楷體" w:hAnsi="Times New Roman" w:hint="eastAsia"/>
          <w:bCs/>
          <w:color w:val="000000"/>
          <w:sz w:val="28"/>
          <w:vertAlign w:val="subscript"/>
        </w:rPr>
        <w:t>2.5</w:t>
      </w:r>
      <w:r>
        <w:rPr>
          <w:rFonts w:ascii="Times New Roman" w:eastAsia="標楷體" w:hAnsi="Times New Roman" w:hint="eastAsia"/>
          <w:bCs/>
          <w:color w:val="000000"/>
          <w:sz w:val="28"/>
        </w:rPr>
        <w:t>，已啟動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8"/>
        </w:rPr>
        <w:t>臺</w:t>
      </w:r>
      <w:proofErr w:type="gramEnd"/>
      <w:r>
        <w:rPr>
          <w:rFonts w:ascii="Times New Roman" w:eastAsia="標楷體" w:hAnsi="Times New Roman" w:hint="eastAsia"/>
          <w:bCs/>
          <w:color w:val="000000"/>
          <w:sz w:val="28"/>
        </w:rPr>
        <w:t>南市防制指揮中心。</w:t>
      </w:r>
    </w:p>
    <w:p w:rsidR="004B53F6" w:rsidRDefault="00552FD1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Cs/>
          <w:color w:val="000000"/>
          <w:sz w:val="28"/>
        </w:rPr>
      </w:pPr>
      <w:r>
        <w:rPr>
          <w:rFonts w:ascii="Times New Roman" w:eastAsia="標楷體" w:hAnsi="Times New Roman" w:hint="eastAsia"/>
          <w:bCs/>
          <w:color w:val="000000"/>
          <w:sz w:val="28"/>
        </w:rPr>
        <w:t>今日各局處執行成果如下</w:t>
      </w:r>
      <w:r>
        <w:rPr>
          <w:rFonts w:ascii="Times New Roman" w:eastAsia="標楷體" w:hAnsi="Times New Roman"/>
          <w:bCs/>
          <w:color w:val="000000"/>
          <w:sz w:val="28"/>
        </w:rPr>
        <w:t>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一、新聞處：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已於應變系統填報平台上回報。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二、秘書處：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已於應變系統填報平台上回報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三、警察局：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已於各分局及分駐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派出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所利用駐地之跑馬燈播放空氣品質不良預警資訊。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己於應變系統填報平台上傳應變成果。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t>四、經發局：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未回報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五、環保局：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空噪科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污染物減量共計：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TSP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3623.977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PM10 1035.997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PM2.5 222.961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NOx 5.773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VOCs 2.499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公斤，成果如下：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工廠管制：通報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處工業區進行自主管理，落實製程及防制設備正常操作，並通報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60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家工廠需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配合空品不良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應變落實防制設備操作或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減排降載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；巡查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家工廠，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家工廠（亞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、台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水泥、環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水泥、億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年、東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八廠）現場正常運作，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家工廠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實業、台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亞、東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四廠、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晟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O)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未操作；通報連線業者確認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CEMS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數據連線情況，確認後，業者並無數據缺漏及逾限情形。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營建工程管制：通報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97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處營建工地，要求加強工區範圍灑水、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物料加蓋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，巡查安南、台南測站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處無缺失，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處皆無缺失。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餐飲業管制：通知轄區內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86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家大型餐飲業須落實防制設備操作紀錄，並巡查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家大型餐飲業（大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寬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廷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宴會廳），現場防制設備正常運作。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(4)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洗街：執行南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134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、文華路、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德糖路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等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路段洗街至明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日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凌晨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點，共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193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公里，去除粒狀污染物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2,663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公斤。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>(5)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移動源管制：於北區成大醫院周邊執行高污染機車攔檢作業，攔查機車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輛，檢測機車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輛，另於安南區安南醫院、北區成大醫院及中西區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郭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綜合醫院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周邊執行反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怠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速勸導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44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輛，皆現場改善；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南市南區濱南路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600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號對面執行柴油車路邊攔檢攔查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輛，檢測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輛，無不合格車輛；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南市奇美博物館及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南都會公園停車場執行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車辨，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柴油車車辨數量總計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448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輛，後續比對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車籍後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，若有違反規定之車輛，將追蹤改善。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(6)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吹葉機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管制：查核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處公園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南區明和公園、東區小東公園、喜樹平安情公園、喜樹生活公園、灣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裡舉喜公園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、安南區大聖公園、新安公園、州南清水公園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及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處府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外單位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四草綠色隧道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，皆無使用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吹葉機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情事。</w:t>
      </w:r>
    </w:p>
    <w:p w:rsidR="004B53F6" w:rsidRDefault="00552FD1">
      <w:pPr>
        <w:widowControl/>
        <w:shd w:val="clear" w:color="auto" w:fill="FFFFFF"/>
        <w:spacing w:beforeLines="50" w:before="180" w:after="100" w:afterAutospacing="1" w:line="360" w:lineRule="exact"/>
        <w:rPr>
          <w:rFonts w:ascii="Times New Roman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事廢科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113/1/6</w:t>
      </w:r>
      <w:r>
        <w:rPr>
          <w:rFonts w:ascii="標楷體" w:eastAsia="標楷體" w:hAnsi="標楷體" w:hint="eastAsia"/>
          <w:color w:val="000000"/>
          <w:sz w:val="28"/>
          <w:szCs w:val="28"/>
        </w:rPr>
        <w:t>已通知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家柳科高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污染處理機構，及轄內收受燃煤飛灰及營建混合物之再利用機構</w:t>
      </w:r>
      <w:r>
        <w:rPr>
          <w:rFonts w:ascii="標楷體" w:eastAsia="標楷體" w:hAnsi="標楷體" w:hint="eastAsia"/>
          <w:color w:val="000000"/>
          <w:sz w:val="28"/>
          <w:szCs w:val="28"/>
        </w:rPr>
        <w:t>24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家，並現場稽查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家處理機構以及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家再利用機構，其通知現場情形簡述如下：分別針對金士盛、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利百景、詠固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混凝土及立富鑫等機構通知及查核（今日有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家再利用機構及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家處理機構現場未營運外，餘皆正常操作中），現場告知因近期空氣品質惡化，請務必加強空氣污染防治設備維持正常運作，避免惡化空氣品質，否則將依法告發處分</w:t>
      </w:r>
      <w:r>
        <w:rPr>
          <w:rFonts w:ascii="Times New Roman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稽查科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113.1.6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巡查南科園區，仁德保安工業區，永康工業區及新營工業區共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家工廠，無有揚塵、污染或開單情形，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並已於應變平台填報</w:t>
      </w:r>
      <w:r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Lines="50" w:before="180" w:before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.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清管科：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清管科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1/6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已派溝渠隊用水車進行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灑水抑塵作業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；於中西區（民權路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段、中華西路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段）安平區（中華西路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段、健康路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段永華路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段）北區（中華北路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段、和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緯路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段）安南區（安明路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段）等區計執行灑水約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48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公里。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.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土壤科：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1/6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因應空品不良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，依應變計畫前往中石化安順場址確認應變作業，辦理情形如下，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請鈞參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完成車行道路灑水長度總計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5,400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公尺。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場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址周界巡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檢，避免揚塵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和散土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確認土方堆置區覆蓋完整。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(4)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場址內運作中廠房皆已關閉。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.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廢管科：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永康焚化廠：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空品中級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預警警報，目前持續進行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NOx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濃度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排放量管控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中。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城西焚化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廠：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空品中級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預警警報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目前進行濃度控制點加嚴管控中。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(3)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城西掩埋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場，巡視無進行明顯空氣污染作業，今日有以水車灑水抑制揚塵。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廢管科工程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北門區環保設施用地整地工程：工地加強灑水面積達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0.9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公頃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六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、教育局：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(1/6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時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AQI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測站臺南（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156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）、安南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(156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已達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151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，另善化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(133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及新營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(134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，請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AQI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測站周圍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公里內所屬學加強校園裸露地灑水作業，以防止揚塵嚴重產生。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已於應變系統填報平台上傳應變成果。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七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、社會局：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社會局已通知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家老人福利機構及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家身心障礙福利機構減少或避免戶外劇烈活動，並做好防護措施。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八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、文化局：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市圖新總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館、台江文化中心今日於電子看板、公佈欄發布空氣品質不良預警資訊。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(2) 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赤崁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一、二期工地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範圍均已地面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灑水抑制揚塵。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(3)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本局已禁止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於空品不良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季節使用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吹葉機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(4)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已於應變系統填報平台上傳應變成果。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九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交通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局：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已通知火車站之跑馬燈、電子看板或廣播等發布空氣品質不良預警訊息。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</w:t>
      </w:r>
      <w:r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已於公車候車亭跑馬燈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播放空品不良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訊息及請民眾多加搭乘大眾運輸工具。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(3</w:t>
      </w:r>
      <w:r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已於應變系統填報平台上傳應變成果。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十、農業局：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通知各農會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執行空品惡化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應變及提醒農民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勿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露天燃燒行為及作物收割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採行低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揚塵方式進行。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通知稻米產區區公所相關課室進行露天燃燒稻草稽查。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已於本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所臉書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發布今（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0106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）日環保署監測空氣品質不良預警資訊及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南市政府啟動應變作為圖卡，並提醒民眾減少非必要之戶外活動，如需出門應做好自我防護。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>(4)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已於應變系統填報平台上傳應變成果。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、工務局：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未回報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B53F6" w:rsidRDefault="00552FD1">
      <w:pPr>
        <w:pStyle w:val="Web"/>
        <w:numPr>
          <w:ilvl w:val="0"/>
          <w:numId w:val="1"/>
        </w:numPr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觀光局：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(1)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觀旅局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已通知各景點（含虎頭埤、龜丹溫泉）及旅遊服務中心於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LED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看板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告示空品不良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資訊；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另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，葫蘆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埤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、德元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埤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荷蘭村、雙春濱海遊憩區、遊憩碼頭委、黃金海岸地下一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樓等委外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廠商亦已通知，協助進行提醒及宣導。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通知禁用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吹葉機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三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、消防局：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未回報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、衛生局：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通知本市各醫院及護理之家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針對空品惡化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資訊宣導並防護。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通知本市各區衛生所，配合執行上揭宣導及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空品旗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設置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應變成果與照片已登載於平台。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五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、民政局：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未回報</w:t>
      </w:r>
      <w:r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numPr>
          <w:ilvl w:val="0"/>
          <w:numId w:val="2"/>
        </w:numPr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地政局：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已通知施工中之案件加強灑水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七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、勞工局：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已於轄管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處機構於電子看板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發布空品不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佳訊息並請民眾採取必要防護措施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八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、水利局：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海東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D2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抽水站工程工地周邊灑水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(2)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鹽州抽水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站工程工地周邊灑水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下水道工程工地周邊灑水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十九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、體育局：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(1)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已於田徑場跑馬燈發布空氣品質不良預警資訊，並宣導民眾減少或避免戶外活動及做好防護措施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>(2)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已全面禁止使用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吹葉機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二十、研考會：</w:t>
      </w:r>
    </w:p>
    <w:p w:rsidR="004B53F6" w:rsidRDefault="00552FD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一、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1999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專線通報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: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統計期間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: 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7:00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10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17:00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案件來源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:1999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) 1999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通報案件統計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:</w:t>
      </w:r>
    </w:p>
    <w:p w:rsidR="004B53F6" w:rsidRDefault="00552FD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時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分至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時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分，計有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3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shd w:val="clear" w:color="auto" w:fill="FFFFFF"/>
        </w:rPr>
        <w:t>件民眾通報空氣品質不良案件。</w:t>
      </w:r>
      <w:r>
        <w:rPr>
          <w:rFonts w:ascii="Times New Roman" w:eastAsia="標楷體" w:hAnsi="Times New Roman"/>
          <w:color w:val="FF0000"/>
          <w:sz w:val="28"/>
          <w:szCs w:val="28"/>
        </w:rPr>
        <w:br/>
      </w:r>
    </w:p>
    <w:p w:rsidR="004B53F6" w:rsidRDefault="004B53F6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color w:val="FF0000"/>
          <w:sz w:val="28"/>
          <w:szCs w:val="28"/>
        </w:rPr>
      </w:pPr>
    </w:p>
    <w:sectPr w:rsidR="004B53F6">
      <w:pgSz w:w="11906" w:h="16838"/>
      <w:pgMar w:top="1134" w:right="964" w:bottom="1134" w:left="96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DC74"/>
    <w:multiLevelType w:val="singleLevel"/>
    <w:tmpl w:val="6598DC74"/>
    <w:lvl w:ilvl="0">
      <w:start w:val="16"/>
      <w:numFmt w:val="chineseCounting"/>
      <w:suff w:val="nothing"/>
      <w:lvlText w:val="%1、"/>
      <w:lvlJc w:val="left"/>
    </w:lvl>
  </w:abstractNum>
  <w:abstractNum w:abstractNumId="1" w15:restartNumberingAfterBreak="0">
    <w:nsid w:val="6598DCC4"/>
    <w:multiLevelType w:val="singleLevel"/>
    <w:tmpl w:val="6598DCC4"/>
    <w:lvl w:ilvl="0">
      <w:start w:val="1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6"/>
    <w:rsid w:val="004B53F6"/>
    <w:rsid w:val="005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60962EF-7573-4D28-8856-00E3215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113/1/6臺南市防制指揮中心應變執行成果</dc:title>
  <dc:creator>浩洋 許</dc:creator>
  <cp:lastModifiedBy>MIHC</cp:lastModifiedBy>
  <cp:revision>2</cp:revision>
  <cp:lastPrinted>2022-02-27T09:37:00Z</cp:lastPrinted>
  <dcterms:created xsi:type="dcterms:W3CDTF">2024-01-11T05:36:00Z</dcterms:created>
  <dcterms:modified xsi:type="dcterms:W3CDTF">2024-01-11T05:36:00Z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