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4C" w:rsidRDefault="0018444C">
      <w:pPr>
        <w:widowControl/>
        <w:rPr>
          <w:rFonts w:ascii="Times New Roman" w:eastAsia="標楷體" w:hAnsi="Times New Roman"/>
          <w:kern w:val="0"/>
          <w:sz w:val="72"/>
          <w:szCs w:val="72"/>
        </w:rPr>
      </w:pPr>
      <w:bookmarkStart w:id="0" w:name="_Toc385837558"/>
      <w:bookmarkStart w:id="1" w:name="_Toc385837947"/>
      <w:bookmarkStart w:id="2" w:name="_Toc391412470"/>
      <w:bookmarkStart w:id="3" w:name="_Toc457337627"/>
      <w:bookmarkStart w:id="4" w:name="_Toc457331467"/>
      <w:bookmarkStart w:id="5" w:name="_Toc457337597"/>
    </w:p>
    <w:p w:rsidR="0018444C" w:rsidRDefault="00980E38">
      <w:pPr>
        <w:pStyle w:val="DefaultText"/>
        <w:spacing w:after="280" w:line="360" w:lineRule="exact"/>
        <w:ind w:left="1300"/>
      </w:pPr>
      <w:bookmarkStart w:id="6" w:name="_GoBack"/>
      <w:bookmarkEnd w:id="6"/>
      <w:r>
        <w:rPr>
          <w:rFonts w:ascii="Times New Roman" w:eastAsia="標楷體" w:hAnsi="Times New Roman"/>
          <w:noProof/>
          <w:sz w:val="72"/>
          <w:szCs w:val="72"/>
        </w:rPr>
        <mc:AlternateContent>
          <mc:Choice Requires="wps">
            <w:drawing>
              <wp:anchor distT="0" distB="0" distL="114300" distR="114300" simplePos="0" relativeHeight="251665408" behindDoc="0" locked="0" layoutInCell="1" allowOverlap="1">
                <wp:simplePos x="0" y="0"/>
                <wp:positionH relativeFrom="column">
                  <wp:posOffset>-23490</wp:posOffset>
                </wp:positionH>
                <wp:positionV relativeFrom="paragraph">
                  <wp:posOffset>-667383</wp:posOffset>
                </wp:positionV>
                <wp:extent cx="6429375" cy="676912"/>
                <wp:effectExtent l="0" t="0" r="28575" b="27938"/>
                <wp:wrapNone/>
                <wp:docPr id="1" name="Text Box 26"/>
                <wp:cNvGraphicFramePr/>
                <a:graphic xmlns:a="http://schemas.openxmlformats.org/drawingml/2006/main">
                  <a:graphicData uri="http://schemas.microsoft.com/office/word/2010/wordprocessingShape">
                    <wps:wsp>
                      <wps:cNvSpPr txBox="1"/>
                      <wps:spPr>
                        <a:xfrm>
                          <a:off x="0" y="0"/>
                          <a:ext cx="6429375" cy="676912"/>
                        </a:xfrm>
                        <a:prstGeom prst="rect">
                          <a:avLst/>
                        </a:prstGeom>
                        <a:solidFill>
                          <a:srgbClr val="FFFFFF"/>
                        </a:solidFill>
                        <a:ln w="9528">
                          <a:solidFill>
                            <a:srgbClr val="000000"/>
                          </a:solidFill>
                          <a:prstDash val="solid"/>
                        </a:ln>
                      </wps:spPr>
                      <wps:txbx>
                        <w:txbxContent>
                          <w:p w:rsidR="0018444C" w:rsidRDefault="00980E38">
                            <w:proofErr w:type="gramStart"/>
                            <w:r>
                              <w:rPr>
                                <w:rFonts w:ascii="標楷體" w:eastAsia="標楷體" w:hAnsi="標楷體"/>
                                <w:b/>
                                <w:sz w:val="32"/>
                                <w:szCs w:val="32"/>
                              </w:rPr>
                              <w:t>臺</w:t>
                            </w:r>
                            <w:proofErr w:type="gramEnd"/>
                            <w:r>
                              <w:rPr>
                                <w:rFonts w:ascii="標楷體" w:eastAsia="標楷體" w:hAnsi="標楷體"/>
                                <w:b/>
                                <w:sz w:val="32"/>
                                <w:szCs w:val="32"/>
                              </w:rPr>
                              <w:t>南市容積</w:t>
                            </w:r>
                            <w:r w:rsidR="004F6715">
                              <w:rPr>
                                <w:rFonts w:ascii="標楷體" w:eastAsia="標楷體" w:hAnsi="標楷體" w:hint="eastAsia"/>
                                <w:b/>
                                <w:sz w:val="32"/>
                                <w:szCs w:val="32"/>
                              </w:rPr>
                              <w:t>移轉折</w:t>
                            </w:r>
                            <w:proofErr w:type="gramStart"/>
                            <w:r w:rsidR="004F6715">
                              <w:rPr>
                                <w:rFonts w:ascii="標楷體" w:eastAsia="標楷體" w:hAnsi="標楷體" w:hint="eastAsia"/>
                                <w:b/>
                                <w:sz w:val="32"/>
                                <w:szCs w:val="32"/>
                              </w:rPr>
                              <w:t>繳</w:t>
                            </w:r>
                            <w:proofErr w:type="gramEnd"/>
                            <w:r>
                              <w:rPr>
                                <w:rFonts w:ascii="標楷體" w:eastAsia="標楷體" w:hAnsi="標楷體"/>
                                <w:b/>
                                <w:sz w:val="32"/>
                                <w:szCs w:val="32"/>
                              </w:rPr>
                              <w:t>代金價值計算土地估價報告書範本</w:t>
                            </w:r>
                          </w:p>
                          <w:p w:rsidR="0018444C" w:rsidRDefault="0018444C">
                            <w:pPr>
                              <w:ind w:left="1680"/>
                              <w:rPr>
                                <w:color w:val="FF0000"/>
                                <w:u w:val="single"/>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85pt;margin-top:-52.55pt;width:506.25pt;height:53.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" strokeweight=".26467mm">
                <v:textbox>
                  <w:txbxContent>
                    <w:p w:rsidR="0018444C" w:rsidRDefault="00980E38">
                      <w:proofErr w:type="gramStart"/>
                      <w:r>
                        <w:rPr>
                          <w:rFonts w:ascii="標楷體" w:eastAsia="標楷體" w:hAnsi="標楷體"/>
                          <w:b/>
                          <w:sz w:val="32"/>
                          <w:szCs w:val="32"/>
                        </w:rPr>
                        <w:t>臺</w:t>
                      </w:r>
                      <w:proofErr w:type="gramEnd"/>
                      <w:r>
                        <w:rPr>
                          <w:rFonts w:ascii="標楷體" w:eastAsia="標楷體" w:hAnsi="標楷體"/>
                          <w:b/>
                          <w:sz w:val="32"/>
                          <w:szCs w:val="32"/>
                        </w:rPr>
                        <w:t>南市容積</w:t>
                      </w:r>
                      <w:r w:rsidR="004F6715">
                        <w:rPr>
                          <w:rFonts w:ascii="標楷體" w:eastAsia="標楷體" w:hAnsi="標楷體" w:hint="eastAsia"/>
                          <w:b/>
                          <w:sz w:val="32"/>
                          <w:szCs w:val="32"/>
                        </w:rPr>
                        <w:t>移轉折</w:t>
                      </w:r>
                      <w:proofErr w:type="gramStart"/>
                      <w:r w:rsidR="004F6715">
                        <w:rPr>
                          <w:rFonts w:ascii="標楷體" w:eastAsia="標楷體" w:hAnsi="標楷體" w:hint="eastAsia"/>
                          <w:b/>
                          <w:sz w:val="32"/>
                          <w:szCs w:val="32"/>
                        </w:rPr>
                        <w:t>繳</w:t>
                      </w:r>
                      <w:proofErr w:type="gramEnd"/>
                      <w:r>
                        <w:rPr>
                          <w:rFonts w:ascii="標楷體" w:eastAsia="標楷體" w:hAnsi="標楷體"/>
                          <w:b/>
                          <w:sz w:val="32"/>
                          <w:szCs w:val="32"/>
                        </w:rPr>
                        <w:t>代金價值計算土地估價報告書範本</w:t>
                      </w:r>
                    </w:p>
                    <w:p w:rsidR="0018444C" w:rsidRDefault="0018444C">
                      <w:pPr>
                        <w:ind w:left="1680"/>
                        <w:rPr>
                          <w:color w:val="FF0000"/>
                          <w:u w:val="single"/>
                        </w:rPr>
                      </w:pPr>
                    </w:p>
                  </w:txbxContent>
                </v:textbox>
              </v:shape>
            </w:pict>
          </mc:Fallback>
        </mc:AlternateContent>
      </w:r>
    </w:p>
    <w:p w:rsidR="0018444C" w:rsidRDefault="0018444C">
      <w:pPr>
        <w:pStyle w:val="DefaultText"/>
        <w:spacing w:after="280" w:line="360" w:lineRule="exact"/>
        <w:ind w:left="1300"/>
        <w:rPr>
          <w:rFonts w:ascii="Times New Roman" w:eastAsia="標楷體" w:hAnsi="Times New Roman"/>
          <w:sz w:val="72"/>
          <w:szCs w:val="72"/>
        </w:rPr>
      </w:pPr>
    </w:p>
    <w:p w:rsidR="0018444C" w:rsidRDefault="0018444C">
      <w:pPr>
        <w:pStyle w:val="DefaultText"/>
        <w:spacing w:after="280" w:line="360" w:lineRule="exact"/>
        <w:ind w:left="1300"/>
        <w:rPr>
          <w:rFonts w:ascii="Times New Roman" w:eastAsia="標楷體" w:hAnsi="Times New Roman"/>
          <w:sz w:val="72"/>
          <w:szCs w:val="72"/>
        </w:rPr>
      </w:pPr>
    </w:p>
    <w:p w:rsidR="0018444C" w:rsidRDefault="0018444C">
      <w:pPr>
        <w:pStyle w:val="DefaultText"/>
        <w:spacing w:after="280" w:line="360" w:lineRule="exact"/>
        <w:rPr>
          <w:rFonts w:ascii="Times New Roman" w:eastAsia="標楷體" w:hAnsi="Times New Roman"/>
          <w:sz w:val="72"/>
          <w:szCs w:val="72"/>
        </w:rPr>
      </w:pPr>
    </w:p>
    <w:p w:rsidR="0018444C" w:rsidRDefault="0018444C">
      <w:pPr>
        <w:pStyle w:val="DefaultText"/>
        <w:spacing w:after="280" w:line="360" w:lineRule="exact"/>
        <w:rPr>
          <w:rFonts w:ascii="Times New Roman" w:eastAsia="標楷體" w:hAnsi="Times New Roman"/>
          <w:sz w:val="72"/>
          <w:szCs w:val="72"/>
        </w:rPr>
      </w:pPr>
    </w:p>
    <w:p w:rsidR="0018444C" w:rsidRDefault="00980E38">
      <w:pPr>
        <w:jc w:val="center"/>
        <w:rPr>
          <w:rFonts w:ascii="Times New Roman" w:eastAsia="標楷體" w:hAnsi="Times New Roman"/>
          <w:sz w:val="52"/>
          <w:szCs w:val="52"/>
        </w:rPr>
      </w:pPr>
      <w:proofErr w:type="gramStart"/>
      <w:r>
        <w:rPr>
          <w:rFonts w:ascii="Times New Roman" w:eastAsia="標楷體" w:hAnsi="Times New Roman"/>
          <w:sz w:val="52"/>
          <w:szCs w:val="52"/>
        </w:rPr>
        <w:t>臺</w:t>
      </w:r>
      <w:proofErr w:type="gramEnd"/>
      <w:r>
        <w:rPr>
          <w:rFonts w:ascii="Times New Roman" w:eastAsia="標楷體" w:hAnsi="Times New Roman"/>
          <w:sz w:val="52"/>
          <w:szCs w:val="52"/>
        </w:rPr>
        <w:t>南市</w:t>
      </w:r>
      <w:r>
        <w:rPr>
          <w:rFonts w:ascii="Times New Roman" w:eastAsia="標楷體" w:hAnsi="Times New Roman"/>
          <w:sz w:val="52"/>
          <w:szCs w:val="52"/>
        </w:rPr>
        <w:t>○○</w:t>
      </w:r>
      <w:r>
        <w:rPr>
          <w:rFonts w:ascii="Times New Roman" w:eastAsia="標楷體" w:hAnsi="Times New Roman"/>
          <w:sz w:val="52"/>
          <w:szCs w:val="52"/>
        </w:rPr>
        <w:t>區</w:t>
      </w:r>
      <w:r>
        <w:rPr>
          <w:rFonts w:ascii="Times New Roman" w:eastAsia="標楷體" w:hAnsi="Times New Roman"/>
          <w:sz w:val="52"/>
          <w:szCs w:val="52"/>
        </w:rPr>
        <w:t>○○</w:t>
      </w:r>
      <w:r>
        <w:rPr>
          <w:rFonts w:ascii="Times New Roman" w:eastAsia="標楷體" w:hAnsi="Times New Roman"/>
          <w:sz w:val="52"/>
          <w:szCs w:val="52"/>
        </w:rPr>
        <w:t>段</w:t>
      </w:r>
      <w:r>
        <w:rPr>
          <w:rFonts w:ascii="Times New Roman" w:eastAsia="標楷體" w:hAnsi="Times New Roman"/>
          <w:sz w:val="52"/>
          <w:szCs w:val="52"/>
        </w:rPr>
        <w:t>○○</w:t>
      </w:r>
      <w:r>
        <w:rPr>
          <w:rFonts w:ascii="Times New Roman" w:eastAsia="標楷體" w:hAnsi="Times New Roman"/>
          <w:sz w:val="52"/>
          <w:szCs w:val="52"/>
        </w:rPr>
        <w:t>小段</w:t>
      </w:r>
    </w:p>
    <w:p w:rsidR="0018444C" w:rsidRDefault="00980E38">
      <w:pPr>
        <w:jc w:val="center"/>
        <w:rPr>
          <w:rFonts w:ascii="Times New Roman" w:eastAsia="標楷體" w:hAnsi="Times New Roman"/>
          <w:sz w:val="52"/>
          <w:szCs w:val="52"/>
        </w:rPr>
      </w:pPr>
      <w:r>
        <w:rPr>
          <w:rFonts w:ascii="Times New Roman" w:eastAsia="標楷體" w:hAnsi="Times New Roman"/>
          <w:sz w:val="52"/>
          <w:szCs w:val="52"/>
        </w:rPr>
        <w:t>○○</w:t>
      </w:r>
      <w:r>
        <w:rPr>
          <w:rFonts w:ascii="Times New Roman" w:eastAsia="標楷體" w:hAnsi="Times New Roman"/>
          <w:sz w:val="52"/>
          <w:szCs w:val="52"/>
        </w:rPr>
        <w:t>地號等</w:t>
      </w:r>
      <w:r>
        <w:rPr>
          <w:rFonts w:ascii="Times New Roman" w:eastAsia="標楷體" w:hAnsi="Times New Roman"/>
          <w:sz w:val="52"/>
          <w:szCs w:val="52"/>
        </w:rPr>
        <w:t>○○</w:t>
      </w:r>
      <w:r>
        <w:rPr>
          <w:rFonts w:ascii="Times New Roman" w:eastAsia="標楷體" w:hAnsi="Times New Roman"/>
          <w:sz w:val="52"/>
          <w:szCs w:val="52"/>
        </w:rPr>
        <w:t>筆土地</w:t>
      </w:r>
    </w:p>
    <w:p w:rsidR="0018444C" w:rsidRDefault="00980E38">
      <w:pPr>
        <w:jc w:val="center"/>
        <w:rPr>
          <w:rFonts w:ascii="Times New Roman" w:eastAsia="標楷體" w:hAnsi="Times New Roman"/>
          <w:sz w:val="52"/>
          <w:szCs w:val="52"/>
        </w:rPr>
      </w:pPr>
      <w:r>
        <w:rPr>
          <w:rFonts w:ascii="Times New Roman" w:eastAsia="標楷體" w:hAnsi="Times New Roman"/>
          <w:sz w:val="52"/>
          <w:szCs w:val="52"/>
        </w:rPr>
        <w:t>容積代金估價報告書</w:t>
      </w:r>
    </w:p>
    <w:p w:rsidR="0018444C" w:rsidRDefault="0018444C">
      <w:pPr>
        <w:pStyle w:val="DefaultText"/>
        <w:spacing w:after="280" w:line="360" w:lineRule="exact"/>
        <w:ind w:left="1300"/>
        <w:rPr>
          <w:rFonts w:ascii="Times New Roman" w:eastAsia="標楷體" w:hAnsi="Times New Roman"/>
        </w:rPr>
      </w:pPr>
    </w:p>
    <w:p w:rsidR="0018444C" w:rsidRDefault="0018444C">
      <w:pPr>
        <w:pStyle w:val="DefaultText"/>
        <w:spacing w:after="280" w:line="360" w:lineRule="exact"/>
        <w:ind w:left="1300"/>
        <w:rPr>
          <w:rFonts w:ascii="Times New Roman" w:eastAsia="標楷體" w:hAnsi="Times New Roman"/>
          <w:sz w:val="32"/>
          <w:szCs w:val="32"/>
        </w:rPr>
      </w:pPr>
    </w:p>
    <w:p w:rsidR="0018444C" w:rsidRDefault="0018444C">
      <w:pPr>
        <w:pStyle w:val="DefaultText"/>
        <w:spacing w:after="280" w:line="360" w:lineRule="exact"/>
        <w:ind w:left="1300"/>
        <w:rPr>
          <w:rFonts w:ascii="Times New Roman" w:eastAsia="標楷體" w:hAnsi="Times New Roman"/>
        </w:rPr>
      </w:pPr>
    </w:p>
    <w:p w:rsidR="0018444C" w:rsidRDefault="0018444C">
      <w:pPr>
        <w:pStyle w:val="DefaultText"/>
        <w:spacing w:after="280" w:line="360" w:lineRule="exact"/>
        <w:ind w:left="1300"/>
        <w:rPr>
          <w:rFonts w:ascii="Times New Roman" w:eastAsia="標楷體" w:hAnsi="Times New Roman"/>
          <w:sz w:val="32"/>
          <w:szCs w:val="32"/>
        </w:rPr>
      </w:pPr>
    </w:p>
    <w:p w:rsidR="0018444C" w:rsidRDefault="0018444C">
      <w:pPr>
        <w:pStyle w:val="DefaultText"/>
        <w:snapToGrid w:val="0"/>
        <w:spacing w:line="360" w:lineRule="auto"/>
        <w:ind w:left="960"/>
      </w:pPr>
    </w:p>
    <w:p w:rsidR="0018444C" w:rsidRDefault="00980E38">
      <w:pPr>
        <w:pStyle w:val="DefaultText"/>
        <w:snapToGrid w:val="0"/>
        <w:spacing w:line="360" w:lineRule="auto"/>
        <w:ind w:left="960"/>
        <w:rPr>
          <w:rFonts w:ascii="Times New Roman" w:eastAsia="標楷體" w:hAnsi="Times New Roman"/>
          <w:sz w:val="40"/>
          <w:szCs w:val="40"/>
        </w:rPr>
      </w:pPr>
      <w:r>
        <w:rPr>
          <w:rFonts w:ascii="Times New Roman" w:eastAsia="標楷體" w:hAnsi="Times New Roman"/>
          <w:sz w:val="40"/>
          <w:szCs w:val="40"/>
        </w:rPr>
        <w:t>申請人：</w:t>
      </w:r>
      <w:r>
        <w:rPr>
          <w:rFonts w:ascii="Times New Roman" w:eastAsia="標楷體" w:hAnsi="Times New Roman"/>
          <w:sz w:val="40"/>
          <w:szCs w:val="40"/>
        </w:rPr>
        <w:t>○○○</w:t>
      </w:r>
    </w:p>
    <w:p w:rsidR="0018444C" w:rsidRDefault="00980E38">
      <w:pPr>
        <w:pStyle w:val="DefaultText"/>
        <w:snapToGrid w:val="0"/>
        <w:spacing w:line="360" w:lineRule="auto"/>
        <w:ind w:left="2944" w:hanging="1984"/>
        <w:rPr>
          <w:rFonts w:ascii="Times New Roman" w:eastAsia="標楷體" w:hAnsi="Times New Roman"/>
          <w:sz w:val="40"/>
          <w:szCs w:val="40"/>
        </w:rPr>
      </w:pPr>
      <w:r>
        <w:rPr>
          <w:rFonts w:ascii="Times New Roman" w:eastAsia="標楷體" w:hAnsi="Times New Roman"/>
          <w:sz w:val="40"/>
          <w:szCs w:val="40"/>
        </w:rPr>
        <w:t>受託人：</w:t>
      </w:r>
      <w:r>
        <w:rPr>
          <w:rFonts w:ascii="Times New Roman" w:eastAsia="標楷體" w:hAnsi="Times New Roman"/>
          <w:sz w:val="40"/>
          <w:szCs w:val="40"/>
        </w:rPr>
        <w:t>○○</w:t>
      </w:r>
      <w:r>
        <w:rPr>
          <w:rFonts w:ascii="Times New Roman" w:eastAsia="標楷體" w:hAnsi="Times New Roman"/>
          <w:sz w:val="40"/>
          <w:szCs w:val="40"/>
        </w:rPr>
        <w:t>不動產估價師（聯合）事務所</w:t>
      </w:r>
    </w:p>
    <w:p w:rsidR="0018444C" w:rsidRDefault="00980E38">
      <w:pPr>
        <w:pStyle w:val="DefaultText"/>
        <w:snapToGrid w:val="0"/>
        <w:spacing w:line="360" w:lineRule="auto"/>
        <w:ind w:left="2944" w:hanging="1984"/>
        <w:rPr>
          <w:rFonts w:ascii="Times New Roman" w:eastAsia="標楷體" w:hAnsi="Times New Roman"/>
          <w:sz w:val="40"/>
          <w:szCs w:val="40"/>
        </w:rPr>
      </w:pPr>
      <w:r>
        <w:rPr>
          <w:rFonts w:ascii="Times New Roman" w:eastAsia="標楷體" w:hAnsi="Times New Roman"/>
          <w:sz w:val="40"/>
          <w:szCs w:val="40"/>
        </w:rPr>
        <w:t>版本：</w:t>
      </w:r>
    </w:p>
    <w:p w:rsidR="0018444C" w:rsidRDefault="0018444C">
      <w:pPr>
        <w:pStyle w:val="DefaultText"/>
        <w:snapToGrid w:val="0"/>
        <w:spacing w:line="400" w:lineRule="exact"/>
        <w:ind w:firstLine="141"/>
        <w:rPr>
          <w:rFonts w:ascii="Times New Roman" w:eastAsia="標楷體" w:hAnsi="Times New Roman"/>
          <w:sz w:val="32"/>
        </w:rPr>
      </w:pPr>
    </w:p>
    <w:p w:rsidR="0018444C" w:rsidRDefault="00980E38">
      <w:pPr>
        <w:pStyle w:val="DefaultText"/>
        <w:snapToGrid w:val="0"/>
        <w:spacing w:line="400" w:lineRule="exact"/>
        <w:jc w:val="center"/>
        <w:sectPr w:rsidR="0018444C">
          <w:headerReference w:type="even" r:id="rId8"/>
          <w:headerReference w:type="default" r:id="rId9"/>
          <w:pgSz w:w="11905" w:h="16838"/>
          <w:pgMar w:top="1701" w:right="907" w:bottom="851" w:left="907" w:header="646" w:footer="794" w:gutter="0"/>
          <w:pgNumType w:start="1"/>
          <w:cols w:space="720"/>
        </w:sectPr>
      </w:pPr>
      <w:r>
        <w:rPr>
          <w:rFonts w:ascii="Times New Roman" w:eastAsia="標楷體" w:hAnsi="Times New Roman"/>
        </w:rPr>
        <w:t>出件日期：</w:t>
      </w:r>
      <w:r>
        <w:rPr>
          <w:rFonts w:ascii="Times New Roman" w:eastAsia="標楷體" w:hAnsi="Times New Roman"/>
          <w:spacing w:val="128"/>
        </w:rPr>
        <w:t>中華民國</w:t>
      </w:r>
      <w:r>
        <w:rPr>
          <w:rFonts w:ascii="Times New Roman" w:eastAsia="標楷體" w:hAnsi="Times New Roman"/>
          <w:spacing w:val="128"/>
        </w:rPr>
        <w:t>○○</w:t>
      </w:r>
      <w:r>
        <w:rPr>
          <w:rFonts w:ascii="Times New Roman" w:eastAsia="標楷體" w:hAnsi="Times New Roman"/>
          <w:spacing w:val="128"/>
        </w:rPr>
        <w:t>年</w:t>
      </w:r>
      <w:r>
        <w:rPr>
          <w:rFonts w:ascii="Times New Roman" w:eastAsia="標楷體" w:hAnsi="Times New Roman"/>
          <w:spacing w:val="128"/>
        </w:rPr>
        <w:t>○○</w:t>
      </w:r>
      <w:r>
        <w:rPr>
          <w:rFonts w:ascii="Times New Roman" w:eastAsia="標楷體" w:hAnsi="Times New Roman"/>
          <w:spacing w:val="128"/>
        </w:rPr>
        <w:t>月</w:t>
      </w:r>
      <w:r>
        <w:rPr>
          <w:rFonts w:ascii="Times New Roman" w:eastAsia="標楷體" w:hAnsi="Times New Roman"/>
          <w:spacing w:val="128"/>
        </w:rPr>
        <w:t>○○</w:t>
      </w:r>
      <w:r>
        <w:rPr>
          <w:rFonts w:ascii="Times New Roman" w:eastAsia="標楷體" w:hAnsi="Times New Roman"/>
          <w:spacing w:val="4"/>
        </w:rPr>
        <w:t>日</w:t>
      </w:r>
    </w:p>
    <w:p w:rsidR="0018444C" w:rsidRDefault="00980E38">
      <w:pPr>
        <w:rPr>
          <w:rFonts w:ascii="Times New Roman" w:eastAsia="標楷體" w:hAnsi="Times New Roman"/>
          <w:sz w:val="28"/>
          <w:szCs w:val="28"/>
        </w:rPr>
      </w:pPr>
      <w:bookmarkStart w:id="7" w:name="_Toc271206275"/>
      <w:bookmarkStart w:id="8" w:name="_Toc300219499"/>
      <w:bookmarkStart w:id="9" w:name="_Toc310843617"/>
      <w:r>
        <w:rPr>
          <w:rFonts w:ascii="Times New Roman" w:eastAsia="標楷體" w:hAnsi="Times New Roman"/>
          <w:sz w:val="28"/>
          <w:szCs w:val="28"/>
        </w:rPr>
        <w:lastRenderedPageBreak/>
        <w:t>《注意須知》</w:t>
      </w:r>
    </w:p>
    <w:p w:rsidR="0018444C" w:rsidRDefault="00980E38">
      <w:pPr>
        <w:pStyle w:val="afff5"/>
        <w:numPr>
          <w:ilvl w:val="0"/>
          <w:numId w:val="2"/>
        </w:numPr>
        <w:tabs>
          <w:tab w:val="left" w:pos="567"/>
        </w:tabs>
        <w:rPr>
          <w:rFonts w:eastAsia="標楷體"/>
          <w:sz w:val="28"/>
          <w:szCs w:val="28"/>
        </w:rPr>
      </w:pPr>
      <w:r>
        <w:rPr>
          <w:rFonts w:eastAsia="標楷體"/>
          <w:sz w:val="28"/>
          <w:szCs w:val="28"/>
        </w:rPr>
        <w:t>版面格式及內容相關數字</w:t>
      </w:r>
    </w:p>
    <w:p w:rsidR="0018444C" w:rsidRDefault="00980E38">
      <w:pPr>
        <w:pStyle w:val="afff5"/>
        <w:numPr>
          <w:ilvl w:val="0"/>
          <w:numId w:val="3"/>
        </w:numPr>
        <w:rPr>
          <w:rFonts w:eastAsia="標楷體"/>
          <w:sz w:val="28"/>
          <w:szCs w:val="28"/>
        </w:rPr>
      </w:pPr>
      <w:r>
        <w:rPr>
          <w:rFonts w:eastAsia="標楷體"/>
          <w:sz w:val="28"/>
          <w:szCs w:val="28"/>
        </w:rPr>
        <w:t xml:space="preserve"> </w:t>
      </w:r>
      <w:r>
        <w:rPr>
          <w:rFonts w:eastAsia="標楷體"/>
          <w:sz w:val="28"/>
          <w:szCs w:val="28"/>
        </w:rPr>
        <w:t>報告書以</w:t>
      </w:r>
      <w:r>
        <w:rPr>
          <w:rFonts w:eastAsia="標楷體"/>
          <w:sz w:val="28"/>
          <w:szCs w:val="28"/>
        </w:rPr>
        <w:t>A4</w:t>
      </w:r>
      <w:r>
        <w:rPr>
          <w:rFonts w:eastAsia="標楷體"/>
          <w:sz w:val="28"/>
          <w:szCs w:val="28"/>
        </w:rPr>
        <w:t>紙張雙面列印製作，字體及行距不宜過大，內容字體最小為</w:t>
      </w:r>
      <w:r>
        <w:rPr>
          <w:rFonts w:eastAsia="標楷體"/>
          <w:sz w:val="28"/>
          <w:szCs w:val="28"/>
        </w:rPr>
        <w:t>14</w:t>
      </w:r>
      <w:r>
        <w:rPr>
          <w:rFonts w:eastAsia="標楷體"/>
          <w:sz w:val="28"/>
          <w:szCs w:val="28"/>
        </w:rPr>
        <w:t>，且表格內字體最小為</w:t>
      </w:r>
      <w:r>
        <w:rPr>
          <w:rFonts w:eastAsia="標楷體"/>
          <w:sz w:val="28"/>
          <w:szCs w:val="28"/>
        </w:rPr>
        <w:t>10</w:t>
      </w:r>
      <w:r>
        <w:rPr>
          <w:rFonts w:eastAsia="標楷體"/>
          <w:sz w:val="28"/>
          <w:szCs w:val="28"/>
        </w:rPr>
        <w:t>，</w:t>
      </w:r>
      <w:proofErr w:type="gramStart"/>
      <w:r>
        <w:rPr>
          <w:rFonts w:eastAsia="標楷體"/>
          <w:sz w:val="28"/>
          <w:szCs w:val="28"/>
        </w:rPr>
        <w:t>表格若較大</w:t>
      </w:r>
      <w:proofErr w:type="gramEnd"/>
      <w:r>
        <w:rPr>
          <w:rFonts w:eastAsia="標楷體"/>
          <w:sz w:val="28"/>
          <w:szCs w:val="28"/>
        </w:rPr>
        <w:t>則以</w:t>
      </w:r>
      <w:r>
        <w:rPr>
          <w:rFonts w:eastAsia="標楷體"/>
          <w:sz w:val="28"/>
          <w:szCs w:val="28"/>
        </w:rPr>
        <w:t>A4</w:t>
      </w:r>
      <w:r>
        <w:rPr>
          <w:rFonts w:eastAsia="標楷體"/>
          <w:sz w:val="28"/>
          <w:szCs w:val="28"/>
        </w:rPr>
        <w:t>橫式</w:t>
      </w:r>
      <w:r>
        <w:rPr>
          <w:rFonts w:eastAsia="標楷體"/>
          <w:sz w:val="28"/>
          <w:szCs w:val="28"/>
        </w:rPr>
        <w:t>A3</w:t>
      </w:r>
      <w:r>
        <w:rPr>
          <w:rFonts w:eastAsia="標楷體"/>
          <w:sz w:val="28"/>
          <w:szCs w:val="28"/>
        </w:rPr>
        <w:t>紙張製作</w:t>
      </w:r>
      <w:proofErr w:type="gramStart"/>
      <w:r>
        <w:rPr>
          <w:rFonts w:eastAsia="標楷體"/>
          <w:sz w:val="28"/>
          <w:szCs w:val="28"/>
        </w:rPr>
        <w:t>但要折頁</w:t>
      </w:r>
      <w:proofErr w:type="gramEnd"/>
      <w:r>
        <w:rPr>
          <w:rFonts w:eastAsia="標楷體"/>
          <w:sz w:val="28"/>
          <w:szCs w:val="28"/>
        </w:rPr>
        <w:t>，且報告書內表格</w:t>
      </w:r>
      <w:proofErr w:type="gramStart"/>
      <w:r>
        <w:rPr>
          <w:rFonts w:eastAsia="標楷體"/>
          <w:sz w:val="28"/>
          <w:szCs w:val="28"/>
        </w:rPr>
        <w:t>勿</w:t>
      </w:r>
      <w:proofErr w:type="gramEnd"/>
      <w:r>
        <w:rPr>
          <w:rFonts w:eastAsia="標楷體"/>
          <w:sz w:val="28"/>
          <w:szCs w:val="28"/>
        </w:rPr>
        <w:t>任意調整位置。</w:t>
      </w:r>
    </w:p>
    <w:p w:rsidR="0018444C" w:rsidRDefault="00980E38">
      <w:pPr>
        <w:pStyle w:val="afff5"/>
        <w:numPr>
          <w:ilvl w:val="0"/>
          <w:numId w:val="3"/>
        </w:numPr>
        <w:rPr>
          <w:rFonts w:eastAsia="標楷體"/>
          <w:sz w:val="28"/>
          <w:szCs w:val="28"/>
        </w:rPr>
      </w:pPr>
      <w:r>
        <w:rPr>
          <w:rFonts w:eastAsia="標楷體"/>
          <w:sz w:val="28"/>
          <w:szCs w:val="28"/>
        </w:rPr>
        <w:t>報告書中日期以民國紀年表示。</w:t>
      </w:r>
    </w:p>
    <w:p w:rsidR="0018444C" w:rsidRDefault="00980E38">
      <w:pPr>
        <w:pStyle w:val="afff5"/>
        <w:numPr>
          <w:ilvl w:val="0"/>
          <w:numId w:val="3"/>
        </w:numPr>
        <w:rPr>
          <w:rFonts w:eastAsia="標楷體"/>
          <w:sz w:val="28"/>
          <w:szCs w:val="28"/>
        </w:rPr>
      </w:pPr>
      <w:r>
        <w:rPr>
          <w:rFonts w:eastAsia="標楷體"/>
          <w:sz w:val="28"/>
          <w:szCs w:val="28"/>
        </w:rPr>
        <w:t>應與委託人確認報告書中之土地或建物面積。</w:t>
      </w:r>
    </w:p>
    <w:p w:rsidR="0018444C" w:rsidRDefault="00980E38">
      <w:pPr>
        <w:pStyle w:val="afff5"/>
        <w:numPr>
          <w:ilvl w:val="0"/>
          <w:numId w:val="3"/>
        </w:numPr>
        <w:rPr>
          <w:rFonts w:eastAsia="標楷體"/>
          <w:sz w:val="28"/>
          <w:szCs w:val="28"/>
        </w:rPr>
      </w:pPr>
      <w:proofErr w:type="gramStart"/>
      <w:r>
        <w:rPr>
          <w:rFonts w:eastAsia="標楷體"/>
          <w:sz w:val="28"/>
          <w:szCs w:val="28"/>
        </w:rPr>
        <w:t>複</w:t>
      </w:r>
      <w:proofErr w:type="gramEnd"/>
      <w:r>
        <w:rPr>
          <w:rFonts w:eastAsia="標楷體"/>
          <w:sz w:val="28"/>
          <w:szCs w:val="28"/>
        </w:rPr>
        <w:t>審報告書應於估價報告內容摘要頁之前載明「</w:t>
      </w:r>
      <w:proofErr w:type="gramStart"/>
      <w:r>
        <w:rPr>
          <w:rFonts w:eastAsia="標楷體"/>
          <w:sz w:val="28"/>
          <w:szCs w:val="28"/>
        </w:rPr>
        <w:t>臺</w:t>
      </w:r>
      <w:proofErr w:type="gramEnd"/>
      <w:r>
        <w:rPr>
          <w:rFonts w:eastAsia="標楷體"/>
          <w:sz w:val="28"/>
          <w:szCs w:val="28"/>
        </w:rPr>
        <w:t>南市估價師公</w:t>
      </w:r>
      <w:proofErr w:type="gramStart"/>
      <w:r>
        <w:rPr>
          <w:rFonts w:eastAsia="標楷體"/>
          <w:sz w:val="28"/>
          <w:szCs w:val="28"/>
        </w:rPr>
        <w:t>會容移代金協檢</w:t>
      </w:r>
      <w:proofErr w:type="gramEnd"/>
      <w:r>
        <w:rPr>
          <w:rFonts w:eastAsia="標楷體"/>
          <w:sz w:val="28"/>
          <w:szCs w:val="28"/>
        </w:rPr>
        <w:t>意見說明與回應表」及「歷次價格調整差異表」（如附錄）。</w:t>
      </w:r>
    </w:p>
    <w:p w:rsidR="0018444C" w:rsidRDefault="00980E38">
      <w:pPr>
        <w:pStyle w:val="afff5"/>
        <w:numPr>
          <w:ilvl w:val="0"/>
          <w:numId w:val="3"/>
        </w:numPr>
        <w:rPr>
          <w:rFonts w:eastAsia="標楷體"/>
          <w:color w:val="FF0000"/>
          <w:sz w:val="28"/>
          <w:szCs w:val="28"/>
        </w:rPr>
      </w:pPr>
      <w:r>
        <w:rPr>
          <w:rFonts w:eastAsia="標楷體"/>
          <w:color w:val="FF0000"/>
          <w:sz w:val="28"/>
          <w:szCs w:val="28"/>
        </w:rPr>
        <w:t>報告書版本請依下列方式填寫</w:t>
      </w:r>
      <w:r>
        <w:rPr>
          <w:rFonts w:eastAsia="標楷體"/>
          <w:color w:val="FF0000"/>
          <w:sz w:val="28"/>
          <w:szCs w:val="28"/>
        </w:rPr>
        <w:t>(1)</w:t>
      </w:r>
      <w:r>
        <w:rPr>
          <w:rFonts w:eastAsia="標楷體"/>
          <w:color w:val="FF0000"/>
          <w:sz w:val="28"/>
          <w:szCs w:val="28"/>
        </w:rPr>
        <w:t>初審版</w:t>
      </w:r>
      <w:r>
        <w:rPr>
          <w:rFonts w:eastAsia="標楷體"/>
          <w:color w:val="FF0000"/>
          <w:sz w:val="28"/>
          <w:szCs w:val="28"/>
        </w:rPr>
        <w:t>(2)</w:t>
      </w:r>
      <w:r>
        <w:rPr>
          <w:rFonts w:eastAsia="標楷體"/>
          <w:color w:val="FF0000"/>
          <w:sz w:val="28"/>
          <w:szCs w:val="28"/>
        </w:rPr>
        <w:t>初審修正版</w:t>
      </w:r>
      <w:r>
        <w:rPr>
          <w:rFonts w:eastAsia="標楷體"/>
          <w:color w:val="FF0000"/>
          <w:sz w:val="28"/>
          <w:szCs w:val="28"/>
        </w:rPr>
        <w:t>(3)</w:t>
      </w:r>
      <w:r>
        <w:rPr>
          <w:rFonts w:eastAsia="標楷體"/>
          <w:color w:val="FF0000"/>
          <w:sz w:val="28"/>
          <w:szCs w:val="28"/>
        </w:rPr>
        <w:t>第一次</w:t>
      </w:r>
      <w:proofErr w:type="gramStart"/>
      <w:r>
        <w:rPr>
          <w:rFonts w:eastAsia="標楷體"/>
          <w:color w:val="FF0000"/>
          <w:sz w:val="28"/>
          <w:szCs w:val="28"/>
        </w:rPr>
        <w:t>複審版</w:t>
      </w:r>
      <w:proofErr w:type="gramEnd"/>
      <w:r>
        <w:rPr>
          <w:rFonts w:eastAsia="標楷體"/>
          <w:color w:val="FF0000"/>
          <w:sz w:val="28"/>
          <w:szCs w:val="28"/>
        </w:rPr>
        <w:t>(4)</w:t>
      </w:r>
      <w:r>
        <w:rPr>
          <w:rFonts w:eastAsia="標楷體"/>
          <w:color w:val="FF0000"/>
          <w:sz w:val="28"/>
          <w:szCs w:val="28"/>
        </w:rPr>
        <w:t>第二次</w:t>
      </w:r>
      <w:proofErr w:type="gramStart"/>
      <w:r>
        <w:rPr>
          <w:rFonts w:eastAsia="標楷體"/>
          <w:color w:val="FF0000"/>
          <w:sz w:val="28"/>
          <w:szCs w:val="28"/>
        </w:rPr>
        <w:t>複審版</w:t>
      </w:r>
      <w:proofErr w:type="gramEnd"/>
      <w:r>
        <w:rPr>
          <w:rFonts w:eastAsia="標楷體"/>
          <w:color w:val="FF0000"/>
          <w:sz w:val="28"/>
          <w:szCs w:val="28"/>
        </w:rPr>
        <w:t>(5)</w:t>
      </w:r>
      <w:proofErr w:type="gramStart"/>
      <w:r>
        <w:rPr>
          <w:rFonts w:eastAsia="標楷體"/>
          <w:color w:val="FF0000"/>
          <w:sz w:val="28"/>
          <w:szCs w:val="28"/>
        </w:rPr>
        <w:t>公會協審完成</w:t>
      </w:r>
      <w:proofErr w:type="gramEnd"/>
      <w:r>
        <w:rPr>
          <w:rFonts w:eastAsia="標楷體"/>
          <w:color w:val="FF0000"/>
          <w:sz w:val="28"/>
          <w:szCs w:val="28"/>
        </w:rPr>
        <w:t>版</w:t>
      </w:r>
      <w:r>
        <w:rPr>
          <w:rFonts w:eastAsia="標楷體"/>
          <w:color w:val="FF0000"/>
          <w:sz w:val="28"/>
          <w:szCs w:val="28"/>
        </w:rPr>
        <w:t>(6)</w:t>
      </w:r>
      <w:r>
        <w:rPr>
          <w:rFonts w:eastAsia="標楷體"/>
          <w:color w:val="FF0000"/>
          <w:sz w:val="28"/>
          <w:szCs w:val="28"/>
        </w:rPr>
        <w:t>核定版</w:t>
      </w:r>
      <w:r>
        <w:rPr>
          <w:rFonts w:eastAsia="標楷體"/>
          <w:color w:val="FF0000"/>
          <w:sz w:val="28"/>
          <w:szCs w:val="28"/>
        </w:rPr>
        <w:t>(</w:t>
      </w:r>
      <w:r>
        <w:rPr>
          <w:rFonts w:eastAsia="標楷體"/>
          <w:color w:val="FF0000"/>
          <w:sz w:val="28"/>
          <w:szCs w:val="28"/>
        </w:rPr>
        <w:t>沒有大會就不用核定版</w:t>
      </w:r>
      <w:r>
        <w:rPr>
          <w:rFonts w:eastAsia="標楷體"/>
          <w:color w:val="FF0000"/>
          <w:sz w:val="28"/>
          <w:szCs w:val="28"/>
        </w:rPr>
        <w:t>)</w:t>
      </w:r>
      <w:r>
        <w:rPr>
          <w:rFonts w:eastAsia="標楷體"/>
          <w:color w:val="FF0000"/>
          <w:sz w:val="28"/>
          <w:szCs w:val="28"/>
        </w:rPr>
        <w:t>。</w:t>
      </w:r>
    </w:p>
    <w:p w:rsidR="0018444C" w:rsidRDefault="00980E38">
      <w:pPr>
        <w:pStyle w:val="afff5"/>
        <w:numPr>
          <w:ilvl w:val="0"/>
          <w:numId w:val="2"/>
        </w:numPr>
        <w:tabs>
          <w:tab w:val="left" w:pos="567"/>
        </w:tabs>
        <w:rPr>
          <w:rFonts w:eastAsia="標楷體"/>
          <w:sz w:val="28"/>
          <w:szCs w:val="28"/>
        </w:rPr>
      </w:pPr>
      <w:r>
        <w:rPr>
          <w:rFonts w:eastAsia="標楷體"/>
          <w:sz w:val="28"/>
          <w:szCs w:val="28"/>
        </w:rPr>
        <w:t>關於委託合約應注意事項</w:t>
      </w:r>
    </w:p>
    <w:p w:rsidR="0018444C" w:rsidRDefault="00980E38">
      <w:pPr>
        <w:pStyle w:val="afff5"/>
        <w:numPr>
          <w:ilvl w:val="0"/>
          <w:numId w:val="4"/>
        </w:numPr>
      </w:pPr>
      <w:r>
        <w:rPr>
          <w:rFonts w:eastAsia="標楷體"/>
          <w:color w:val="FF0000"/>
          <w:sz w:val="28"/>
          <w:szCs w:val="28"/>
        </w:rPr>
        <w:t>價格日期：容積移轉折</w:t>
      </w:r>
      <w:proofErr w:type="gramStart"/>
      <w:r>
        <w:rPr>
          <w:rFonts w:eastAsia="標楷體"/>
          <w:color w:val="FF0000"/>
          <w:sz w:val="28"/>
          <w:szCs w:val="28"/>
        </w:rPr>
        <w:t>繳</w:t>
      </w:r>
      <w:proofErr w:type="gramEnd"/>
      <w:r>
        <w:rPr>
          <w:rFonts w:eastAsia="標楷體"/>
          <w:color w:val="FF0000"/>
          <w:sz w:val="28"/>
          <w:szCs w:val="28"/>
        </w:rPr>
        <w:t>代金申請估價收件日。</w:t>
      </w:r>
      <w:r>
        <w:rPr>
          <w:rFonts w:eastAsia="標楷體"/>
          <w:color w:val="FF0000"/>
          <w:sz w:val="28"/>
          <w:szCs w:val="28"/>
        </w:rPr>
        <w:t>(</w:t>
      </w:r>
      <w:r>
        <w:rPr>
          <w:rFonts w:eastAsia="標楷體"/>
          <w:color w:val="FF0000"/>
          <w:sz w:val="28"/>
          <w:szCs w:val="28"/>
        </w:rPr>
        <w:t>確認價格日期是否以廠商提出申請時間</w:t>
      </w:r>
      <w:r>
        <w:rPr>
          <w:rFonts w:eastAsia="標楷體"/>
          <w:color w:val="FF0000"/>
          <w:sz w:val="28"/>
          <w:szCs w:val="28"/>
        </w:rPr>
        <w:t>?)</w:t>
      </w:r>
    </w:p>
    <w:p w:rsidR="0018444C" w:rsidRDefault="00980E38">
      <w:pPr>
        <w:pStyle w:val="afff5"/>
        <w:numPr>
          <w:ilvl w:val="0"/>
          <w:numId w:val="4"/>
        </w:numPr>
        <w:rPr>
          <w:rFonts w:eastAsia="標楷體"/>
          <w:sz w:val="28"/>
          <w:szCs w:val="28"/>
        </w:rPr>
      </w:pPr>
      <w:r>
        <w:rPr>
          <w:rFonts w:eastAsia="標楷體"/>
          <w:sz w:val="28"/>
          <w:szCs w:val="28"/>
        </w:rPr>
        <w:t>容積移入前、後土地價值均屬於正常價格。</w:t>
      </w:r>
    </w:p>
    <w:p w:rsidR="0018444C" w:rsidRDefault="00980E38">
      <w:pPr>
        <w:pStyle w:val="afff5"/>
        <w:numPr>
          <w:ilvl w:val="0"/>
          <w:numId w:val="4"/>
        </w:numPr>
      </w:pPr>
      <w:r>
        <w:rPr>
          <w:rFonts w:eastAsia="標楷體"/>
          <w:sz w:val="28"/>
          <w:szCs w:val="28"/>
        </w:rPr>
        <w:t>估價條件應依</w:t>
      </w:r>
      <w:r>
        <w:rPr>
          <w:rFonts w:eastAsia="標楷體"/>
          <w:color w:val="FF0000"/>
          <w:sz w:val="28"/>
          <w:szCs w:val="28"/>
        </w:rPr>
        <w:t>容積移轉折</w:t>
      </w:r>
      <w:proofErr w:type="gramStart"/>
      <w:r>
        <w:rPr>
          <w:rFonts w:eastAsia="標楷體"/>
          <w:color w:val="FF0000"/>
          <w:sz w:val="28"/>
          <w:szCs w:val="28"/>
        </w:rPr>
        <w:t>繳</w:t>
      </w:r>
      <w:proofErr w:type="gramEnd"/>
      <w:r>
        <w:rPr>
          <w:rFonts w:eastAsia="標楷體"/>
          <w:color w:val="FF0000"/>
          <w:sz w:val="28"/>
          <w:szCs w:val="28"/>
        </w:rPr>
        <w:t>代金估價說明書</w:t>
      </w:r>
      <w:r>
        <w:rPr>
          <w:rFonts w:eastAsia="標楷體"/>
          <w:color w:val="FF0000"/>
          <w:sz w:val="28"/>
          <w:szCs w:val="28"/>
        </w:rPr>
        <w:t>(</w:t>
      </w:r>
      <w:r>
        <w:rPr>
          <w:rFonts w:eastAsia="標楷體"/>
          <w:color w:val="FF0000"/>
          <w:sz w:val="28"/>
          <w:szCs w:val="28"/>
        </w:rPr>
        <w:t>確認名稱</w:t>
      </w:r>
      <w:r>
        <w:rPr>
          <w:rFonts w:eastAsia="標楷體"/>
          <w:color w:val="FF0000"/>
          <w:sz w:val="28"/>
          <w:szCs w:val="28"/>
        </w:rPr>
        <w:t>)</w:t>
      </w:r>
      <w:r>
        <w:rPr>
          <w:rFonts w:eastAsia="標楷體"/>
          <w:sz w:val="28"/>
          <w:szCs w:val="28"/>
        </w:rPr>
        <w:t>內容記載土地容積移入前後之樓地板面積。</w:t>
      </w:r>
    </w:p>
    <w:p w:rsidR="0018444C" w:rsidRDefault="00980E38">
      <w:pPr>
        <w:pStyle w:val="afff5"/>
        <w:numPr>
          <w:ilvl w:val="0"/>
          <w:numId w:val="4"/>
        </w:numPr>
        <w:rPr>
          <w:rFonts w:eastAsia="標楷體"/>
          <w:sz w:val="28"/>
          <w:szCs w:val="28"/>
        </w:rPr>
      </w:pPr>
      <w:r>
        <w:rPr>
          <w:rFonts w:eastAsia="標楷體"/>
          <w:sz w:val="28"/>
          <w:szCs w:val="28"/>
        </w:rPr>
        <w:t>委託者應提供資料</w:t>
      </w:r>
    </w:p>
    <w:p w:rsidR="0018444C" w:rsidRDefault="00980E38">
      <w:pPr>
        <w:pStyle w:val="afff5"/>
        <w:numPr>
          <w:ilvl w:val="0"/>
          <w:numId w:val="5"/>
        </w:numPr>
        <w:ind w:left="1418" w:hanging="567"/>
      </w:pPr>
      <w:r>
        <w:rPr>
          <w:rFonts w:eastAsia="標楷體"/>
          <w:color w:val="FF0000"/>
          <w:sz w:val="28"/>
          <w:szCs w:val="28"/>
        </w:rPr>
        <w:t>容積移轉折</w:t>
      </w:r>
      <w:proofErr w:type="gramStart"/>
      <w:r>
        <w:rPr>
          <w:rFonts w:eastAsia="標楷體"/>
          <w:color w:val="FF0000"/>
          <w:sz w:val="28"/>
          <w:szCs w:val="28"/>
        </w:rPr>
        <w:t>繳</w:t>
      </w:r>
      <w:proofErr w:type="gramEnd"/>
      <w:r>
        <w:rPr>
          <w:rFonts w:eastAsia="標楷體"/>
          <w:color w:val="FF0000"/>
          <w:sz w:val="28"/>
          <w:szCs w:val="28"/>
        </w:rPr>
        <w:t>代金估價說明書</w:t>
      </w:r>
      <w:r>
        <w:rPr>
          <w:rFonts w:eastAsia="標楷體"/>
          <w:color w:val="000000"/>
          <w:sz w:val="28"/>
          <w:szCs w:val="28"/>
        </w:rPr>
        <w:t>及建築圖說</w:t>
      </w:r>
      <w:r>
        <w:rPr>
          <w:rFonts w:eastAsia="標楷體"/>
          <w:color w:val="000000"/>
          <w:sz w:val="28"/>
          <w:szCs w:val="28"/>
        </w:rPr>
        <w:t>[</w:t>
      </w:r>
      <w:r>
        <w:rPr>
          <w:rFonts w:eastAsia="標楷體"/>
          <w:color w:val="000000"/>
          <w:sz w:val="28"/>
          <w:szCs w:val="28"/>
        </w:rPr>
        <w:t>應包含基地基本條件、各層面積</w:t>
      </w:r>
      <w:r>
        <w:rPr>
          <w:rFonts w:eastAsia="標楷體"/>
          <w:color w:val="000000"/>
          <w:sz w:val="28"/>
          <w:szCs w:val="28"/>
        </w:rPr>
        <w:t>(</w:t>
      </w:r>
      <w:r>
        <w:rPr>
          <w:rFonts w:eastAsia="標楷體"/>
          <w:color w:val="000000"/>
          <w:sz w:val="28"/>
          <w:szCs w:val="28"/>
        </w:rPr>
        <w:t>含各層樓地板面積、</w:t>
      </w:r>
      <w:proofErr w:type="gramStart"/>
      <w:r>
        <w:rPr>
          <w:rFonts w:eastAsia="標楷體"/>
          <w:color w:val="000000"/>
          <w:sz w:val="28"/>
          <w:szCs w:val="28"/>
        </w:rPr>
        <w:t>梯廳</w:t>
      </w:r>
      <w:proofErr w:type="gramEnd"/>
      <w:r>
        <w:rPr>
          <w:rFonts w:eastAsia="標楷體"/>
          <w:color w:val="000000"/>
          <w:sz w:val="28"/>
          <w:szCs w:val="28"/>
        </w:rPr>
        <w:t>、機電、陽台、</w:t>
      </w:r>
      <w:proofErr w:type="gramStart"/>
      <w:r>
        <w:rPr>
          <w:rFonts w:eastAsia="標楷體"/>
          <w:color w:val="000000"/>
          <w:sz w:val="28"/>
          <w:szCs w:val="28"/>
        </w:rPr>
        <w:t>露台</w:t>
      </w:r>
      <w:proofErr w:type="gramEnd"/>
      <w:r>
        <w:rPr>
          <w:rFonts w:eastAsia="標楷體"/>
          <w:color w:val="000000"/>
          <w:sz w:val="28"/>
          <w:szCs w:val="28"/>
        </w:rPr>
        <w:t>、容積樓地板面積、戶數、用途等</w:t>
      </w:r>
      <w:r>
        <w:rPr>
          <w:rFonts w:eastAsia="標楷體"/>
          <w:color w:val="000000"/>
          <w:sz w:val="28"/>
          <w:szCs w:val="28"/>
        </w:rPr>
        <w:t>)</w:t>
      </w:r>
      <w:r>
        <w:rPr>
          <w:rFonts w:eastAsia="標楷體"/>
          <w:color w:val="000000"/>
          <w:sz w:val="28"/>
          <w:szCs w:val="28"/>
        </w:rPr>
        <w:t>、停車空間設計</w:t>
      </w:r>
      <w:r>
        <w:rPr>
          <w:rFonts w:eastAsia="標楷體"/>
          <w:color w:val="000000"/>
          <w:sz w:val="28"/>
          <w:szCs w:val="28"/>
        </w:rPr>
        <w:t>(</w:t>
      </w:r>
      <w:r>
        <w:rPr>
          <w:rFonts w:eastAsia="標楷體"/>
          <w:color w:val="000000"/>
          <w:sz w:val="28"/>
          <w:szCs w:val="28"/>
        </w:rPr>
        <w:t>含</w:t>
      </w:r>
      <w:proofErr w:type="gramStart"/>
      <w:r>
        <w:rPr>
          <w:rFonts w:eastAsia="標楷體"/>
          <w:color w:val="000000"/>
          <w:sz w:val="28"/>
          <w:szCs w:val="28"/>
        </w:rPr>
        <w:t>各層車位數</w:t>
      </w:r>
      <w:proofErr w:type="gramEnd"/>
      <w:r>
        <w:rPr>
          <w:rFonts w:eastAsia="標楷體"/>
          <w:color w:val="000000"/>
          <w:sz w:val="28"/>
          <w:szCs w:val="28"/>
        </w:rPr>
        <w:t>、尺寸、車位型態等</w:t>
      </w:r>
      <w:r>
        <w:rPr>
          <w:rFonts w:eastAsia="標楷體"/>
          <w:color w:val="000000"/>
          <w:sz w:val="28"/>
          <w:szCs w:val="28"/>
        </w:rPr>
        <w:t>)]</w:t>
      </w:r>
      <w:r>
        <w:rPr>
          <w:rFonts w:eastAsia="標楷體"/>
          <w:color w:val="000000"/>
          <w:sz w:val="28"/>
          <w:szCs w:val="28"/>
        </w:rPr>
        <w:t>、建築結構、特殊建材或特殊建築工法。</w:t>
      </w:r>
    </w:p>
    <w:p w:rsidR="0018444C" w:rsidRDefault="00980E38">
      <w:pPr>
        <w:pStyle w:val="afff5"/>
        <w:numPr>
          <w:ilvl w:val="0"/>
          <w:numId w:val="5"/>
        </w:numPr>
        <w:ind w:left="1418" w:hanging="567"/>
        <w:rPr>
          <w:rFonts w:eastAsia="標楷體"/>
          <w:sz w:val="28"/>
          <w:szCs w:val="28"/>
        </w:rPr>
      </w:pPr>
      <w:r>
        <w:rPr>
          <w:rFonts w:eastAsia="標楷體"/>
          <w:sz w:val="28"/>
          <w:szCs w:val="28"/>
        </w:rPr>
        <w:t>若估價案件為都市更新案件時：申請人應提供與都市更新事業計畫內容相符之建築面積概算表</w:t>
      </w:r>
      <w:r>
        <w:rPr>
          <w:rFonts w:eastAsia="標楷體"/>
          <w:sz w:val="28"/>
          <w:szCs w:val="28"/>
        </w:rPr>
        <w:t>(</w:t>
      </w:r>
      <w:proofErr w:type="gramStart"/>
      <w:r>
        <w:rPr>
          <w:rFonts w:eastAsia="標楷體"/>
          <w:sz w:val="28"/>
          <w:szCs w:val="28"/>
        </w:rPr>
        <w:t>須附各層</w:t>
      </w:r>
      <w:proofErr w:type="gramEnd"/>
      <w:r>
        <w:rPr>
          <w:rFonts w:eastAsia="標楷體"/>
          <w:sz w:val="28"/>
          <w:szCs w:val="28"/>
        </w:rPr>
        <w:t>平面圖並具比例尺</w:t>
      </w:r>
      <w:r>
        <w:rPr>
          <w:rFonts w:eastAsia="標楷體"/>
          <w:sz w:val="28"/>
          <w:szCs w:val="28"/>
        </w:rPr>
        <w:t>)</w:t>
      </w:r>
      <w:r>
        <w:rPr>
          <w:rFonts w:eastAsia="標楷體"/>
          <w:sz w:val="28"/>
          <w:szCs w:val="28"/>
        </w:rPr>
        <w:t>以及都市更新事業計畫內估價所需資料</w:t>
      </w:r>
      <w:r>
        <w:rPr>
          <w:rFonts w:eastAsia="標楷體"/>
          <w:sz w:val="28"/>
          <w:szCs w:val="28"/>
        </w:rPr>
        <w:t>(</w:t>
      </w:r>
      <w:r>
        <w:rPr>
          <w:rFonts w:eastAsia="標楷體"/>
          <w:sz w:val="28"/>
          <w:szCs w:val="28"/>
        </w:rPr>
        <w:t>如建築興建計畫及財務計畫</w:t>
      </w:r>
      <w:r>
        <w:rPr>
          <w:rFonts w:eastAsia="標楷體"/>
          <w:sz w:val="28"/>
          <w:szCs w:val="28"/>
        </w:rPr>
        <w:t>)</w:t>
      </w:r>
      <w:r>
        <w:rPr>
          <w:rFonts w:eastAsia="標楷體"/>
          <w:sz w:val="28"/>
          <w:szCs w:val="28"/>
        </w:rPr>
        <w:t>。</w:t>
      </w:r>
    </w:p>
    <w:p w:rsidR="0018444C" w:rsidRDefault="00980E38">
      <w:pPr>
        <w:pStyle w:val="afff5"/>
        <w:numPr>
          <w:ilvl w:val="0"/>
          <w:numId w:val="5"/>
        </w:numPr>
        <w:ind w:left="1418" w:hanging="567"/>
        <w:rPr>
          <w:rFonts w:eastAsia="標楷體"/>
          <w:sz w:val="28"/>
          <w:szCs w:val="28"/>
        </w:rPr>
      </w:pPr>
      <w:r>
        <w:rPr>
          <w:rFonts w:eastAsia="標楷體"/>
          <w:sz w:val="28"/>
          <w:szCs w:val="28"/>
        </w:rPr>
        <w:t>若上述資料內容未相符時，應由估價師依專業參</w:t>
      </w:r>
      <w:proofErr w:type="gramStart"/>
      <w:r>
        <w:rPr>
          <w:rFonts w:eastAsia="標楷體"/>
          <w:sz w:val="28"/>
          <w:szCs w:val="28"/>
        </w:rPr>
        <w:t>採</w:t>
      </w:r>
      <w:proofErr w:type="gramEnd"/>
      <w:r>
        <w:rPr>
          <w:rFonts w:eastAsia="標楷體"/>
          <w:sz w:val="28"/>
          <w:szCs w:val="28"/>
        </w:rPr>
        <w:t>資料內容，並於估價報告書內補充文字說明。</w:t>
      </w:r>
    </w:p>
    <w:p w:rsidR="0018444C" w:rsidRDefault="00980E38">
      <w:pPr>
        <w:pStyle w:val="afff5"/>
        <w:numPr>
          <w:ilvl w:val="0"/>
          <w:numId w:val="2"/>
        </w:numPr>
        <w:tabs>
          <w:tab w:val="left" w:pos="567"/>
        </w:tabs>
        <w:rPr>
          <w:rFonts w:eastAsia="標楷體"/>
          <w:sz w:val="28"/>
          <w:szCs w:val="28"/>
        </w:rPr>
      </w:pPr>
      <w:r>
        <w:rPr>
          <w:rFonts w:eastAsia="標楷體"/>
          <w:sz w:val="28"/>
          <w:szCs w:val="28"/>
        </w:rPr>
        <w:t>容積代金評估方式之說明</w:t>
      </w:r>
    </w:p>
    <w:p w:rsidR="0018444C" w:rsidRDefault="00980E38">
      <w:pPr>
        <w:pStyle w:val="afff5"/>
        <w:numPr>
          <w:ilvl w:val="0"/>
          <w:numId w:val="6"/>
        </w:numPr>
        <w:rPr>
          <w:rFonts w:eastAsia="標楷體"/>
          <w:sz w:val="28"/>
          <w:szCs w:val="28"/>
        </w:rPr>
      </w:pPr>
      <w:r>
        <w:rPr>
          <w:rFonts w:eastAsia="標楷體"/>
          <w:sz w:val="28"/>
          <w:szCs w:val="28"/>
        </w:rPr>
        <w:t>估價基本公式：</w:t>
      </w:r>
    </w:p>
    <w:p w:rsidR="0018444C" w:rsidRDefault="00980E38">
      <w:pPr>
        <w:tabs>
          <w:tab w:val="left" w:pos="1276"/>
          <w:tab w:val="left" w:pos="1418"/>
        </w:tabs>
        <w:spacing w:line="500" w:lineRule="exact"/>
        <w:ind w:left="960" w:right="-377"/>
        <w:rPr>
          <w:rFonts w:ascii="Times New Roman" w:eastAsia="標楷體" w:hAnsi="Times New Roman"/>
          <w:b/>
          <w:sz w:val="28"/>
          <w:szCs w:val="28"/>
        </w:rPr>
      </w:pPr>
      <w:r>
        <w:rPr>
          <w:rFonts w:ascii="Times New Roman" w:eastAsia="標楷體" w:hAnsi="Times New Roman"/>
          <w:b/>
          <w:sz w:val="28"/>
          <w:szCs w:val="28"/>
        </w:rPr>
        <w:t>容積代金金額</w:t>
      </w:r>
      <w:r>
        <w:rPr>
          <w:rFonts w:ascii="Times New Roman" w:eastAsia="標楷體" w:hAnsi="Times New Roman"/>
          <w:b/>
          <w:sz w:val="28"/>
          <w:szCs w:val="28"/>
        </w:rPr>
        <w:t>=(</w:t>
      </w:r>
      <w:r>
        <w:rPr>
          <w:rFonts w:ascii="Times New Roman" w:eastAsia="標楷體" w:hAnsi="Times New Roman"/>
          <w:b/>
          <w:sz w:val="28"/>
          <w:szCs w:val="28"/>
        </w:rPr>
        <w:t>含容積移入之基地價格</w:t>
      </w:r>
      <w:r>
        <w:rPr>
          <w:rFonts w:ascii="Times New Roman" w:eastAsia="標楷體" w:hAnsi="Times New Roman"/>
          <w:b/>
          <w:sz w:val="28"/>
          <w:szCs w:val="28"/>
        </w:rPr>
        <w:t>-</w:t>
      </w:r>
      <w:r>
        <w:rPr>
          <w:rFonts w:ascii="Times New Roman" w:eastAsia="標楷體" w:hAnsi="Times New Roman"/>
          <w:b/>
          <w:sz w:val="28"/>
          <w:szCs w:val="28"/>
        </w:rPr>
        <w:t>未含容積移入之基地價格</w:t>
      </w:r>
      <w:r>
        <w:rPr>
          <w:rFonts w:ascii="Times New Roman" w:eastAsia="標楷體" w:hAnsi="Times New Roman"/>
          <w:b/>
          <w:sz w:val="28"/>
          <w:szCs w:val="28"/>
        </w:rPr>
        <w:t xml:space="preserve">) </w:t>
      </w:r>
    </w:p>
    <w:p w:rsidR="0018444C" w:rsidRDefault="00980E38">
      <w:pPr>
        <w:pStyle w:val="afff5"/>
        <w:numPr>
          <w:ilvl w:val="0"/>
          <w:numId w:val="7"/>
        </w:numPr>
        <w:ind w:left="1418" w:hanging="567"/>
        <w:rPr>
          <w:rFonts w:eastAsia="標楷體"/>
          <w:sz w:val="28"/>
          <w:szCs w:val="28"/>
        </w:rPr>
      </w:pPr>
      <w:r>
        <w:rPr>
          <w:rFonts w:eastAsia="標楷體"/>
          <w:sz w:val="28"/>
          <w:szCs w:val="28"/>
        </w:rPr>
        <w:t>未含容積移入之基地價格指容積移入前之地價，基地容積之評估基礎應包含法定容積、其他都市計畫獎勵容積、都更獎勵容積或海沙屋獎勵容積等非移入容積部分，且為實際申請額度，非上限額度。</w:t>
      </w:r>
    </w:p>
    <w:p w:rsidR="0018444C" w:rsidRDefault="00980E38">
      <w:pPr>
        <w:pStyle w:val="afff5"/>
        <w:numPr>
          <w:ilvl w:val="0"/>
          <w:numId w:val="7"/>
        </w:numPr>
        <w:ind w:left="1418" w:hanging="567"/>
        <w:rPr>
          <w:rFonts w:eastAsia="標楷體"/>
          <w:sz w:val="28"/>
          <w:szCs w:val="28"/>
        </w:rPr>
      </w:pPr>
      <w:r>
        <w:rPr>
          <w:rFonts w:eastAsia="標楷體"/>
          <w:sz w:val="28"/>
          <w:szCs w:val="28"/>
        </w:rPr>
        <w:t>含容積移入之基地價格指容積移入後之地價，基地容積之評估基礎應除包含法定容積、其他都市計畫獎勵容積、都更獎勵容積或海沙屋獎勵容積等非移入容積部分外，</w:t>
      </w:r>
      <w:proofErr w:type="gramStart"/>
      <w:r>
        <w:rPr>
          <w:rFonts w:eastAsia="標楷體"/>
          <w:sz w:val="28"/>
          <w:szCs w:val="28"/>
        </w:rPr>
        <w:t>加計移入</w:t>
      </w:r>
      <w:proofErr w:type="gramEnd"/>
      <w:r>
        <w:rPr>
          <w:rFonts w:eastAsia="標楷體"/>
          <w:sz w:val="28"/>
          <w:szCs w:val="28"/>
        </w:rPr>
        <w:t>容積部分，且為實際申請額度；此亦為基地最後審定之總樓地板面積。</w:t>
      </w:r>
    </w:p>
    <w:p w:rsidR="0018444C" w:rsidRDefault="00980E38">
      <w:pPr>
        <w:pStyle w:val="afff5"/>
        <w:pageBreakBefore/>
        <w:numPr>
          <w:ilvl w:val="0"/>
          <w:numId w:val="6"/>
        </w:numPr>
        <w:suppressAutoHyphens w:val="0"/>
      </w:pPr>
      <w:r>
        <w:rPr>
          <w:rFonts w:eastAsia="標楷體"/>
          <w:sz w:val="28"/>
          <w:szCs w:val="28"/>
        </w:rPr>
        <w:lastRenderedPageBreak/>
        <w:t>有關容積移入後地價評估，以土地開發分析法為主，並應參酌比較法或其他方法共同決定之，若無法採用土地開發分析法以外之方法評估，則應依不動產估價技術規則規定敘明之。</w:t>
      </w:r>
    </w:p>
    <w:p w:rsidR="0018444C" w:rsidRDefault="00980E38">
      <w:pPr>
        <w:pStyle w:val="afff5"/>
        <w:numPr>
          <w:ilvl w:val="0"/>
          <w:numId w:val="2"/>
        </w:numPr>
        <w:tabs>
          <w:tab w:val="left" w:pos="567"/>
        </w:tabs>
        <w:rPr>
          <w:rFonts w:eastAsia="標楷體"/>
          <w:sz w:val="28"/>
          <w:szCs w:val="28"/>
        </w:rPr>
      </w:pPr>
      <w:proofErr w:type="gramStart"/>
      <w:r>
        <w:rPr>
          <w:rFonts w:eastAsia="標楷體"/>
          <w:sz w:val="28"/>
          <w:szCs w:val="28"/>
        </w:rPr>
        <w:t>個</w:t>
      </w:r>
      <w:proofErr w:type="gramEnd"/>
      <w:r>
        <w:rPr>
          <w:rFonts w:eastAsia="標楷體"/>
          <w:sz w:val="28"/>
          <w:szCs w:val="28"/>
        </w:rPr>
        <w:t>資保護</w:t>
      </w:r>
    </w:p>
    <w:p w:rsidR="0018444C" w:rsidRDefault="00980E38">
      <w:pPr>
        <w:pStyle w:val="afff5"/>
        <w:tabs>
          <w:tab w:val="left" w:pos="567"/>
        </w:tabs>
        <w:rPr>
          <w:rFonts w:eastAsia="標楷體"/>
          <w:sz w:val="28"/>
          <w:szCs w:val="28"/>
        </w:rPr>
      </w:pPr>
      <w:r>
        <w:rPr>
          <w:rFonts w:eastAsia="標楷體"/>
          <w:sz w:val="28"/>
          <w:szCs w:val="28"/>
        </w:rPr>
        <w:t xml:space="preserve">    </w:t>
      </w:r>
      <w:r>
        <w:rPr>
          <w:rFonts w:eastAsia="標楷體"/>
          <w:sz w:val="28"/>
          <w:szCs w:val="28"/>
        </w:rPr>
        <w:t>因應個人資料保護法之相關規定，報告書中所載之比較標的之地號、建號及門牌號碼，應以去識別化、區段化方式呈現；惟送審之報告書，仍應詳細載明具體之標示資訊，或以附錄方式呈現具體標示訊息。</w:t>
      </w:r>
    </w:p>
    <w:p w:rsidR="0018444C" w:rsidRDefault="00980E38">
      <w:pPr>
        <w:pStyle w:val="afff5"/>
        <w:numPr>
          <w:ilvl w:val="0"/>
          <w:numId w:val="2"/>
        </w:numPr>
        <w:tabs>
          <w:tab w:val="left" w:pos="567"/>
        </w:tabs>
        <w:rPr>
          <w:rFonts w:eastAsia="標楷體"/>
          <w:sz w:val="28"/>
          <w:szCs w:val="28"/>
        </w:rPr>
      </w:pPr>
      <w:r>
        <w:rPr>
          <w:rFonts w:eastAsia="標楷體"/>
          <w:sz w:val="28"/>
          <w:szCs w:val="28"/>
        </w:rPr>
        <w:t>本容積代金估價報告書範本為原則性規範提供</w:t>
      </w:r>
      <w:proofErr w:type="gramStart"/>
      <w:r>
        <w:rPr>
          <w:rFonts w:eastAsia="標楷體"/>
          <w:sz w:val="28"/>
          <w:szCs w:val="28"/>
        </w:rPr>
        <w:t>估價師查估</w:t>
      </w:r>
      <w:proofErr w:type="gramEnd"/>
      <w:r>
        <w:rPr>
          <w:rFonts w:eastAsia="標楷體"/>
          <w:sz w:val="28"/>
          <w:szCs w:val="28"/>
        </w:rPr>
        <w:t>參考，估價過程中仍應由估價師遵循不動產估價師法及不動產估價技術規則相關規定、國內外之不動產估價理論及個人專業評估訂定之。估價報告書如與本範本有不同處，則於估價報告書內補充文字說明。</w:t>
      </w:r>
    </w:p>
    <w:p w:rsidR="0018444C" w:rsidRDefault="0018444C">
      <w:pPr>
        <w:pStyle w:val="afff5"/>
        <w:pageBreakBefore/>
        <w:tabs>
          <w:tab w:val="left" w:pos="567"/>
        </w:tabs>
        <w:rPr>
          <w:rFonts w:eastAsia="標楷體"/>
        </w:rPr>
      </w:pPr>
      <w:bookmarkStart w:id="10" w:name="_Toc385837533"/>
      <w:bookmarkStart w:id="11" w:name="_Toc385837922"/>
      <w:bookmarkStart w:id="12" w:name="_Toc385837960"/>
      <w:bookmarkStart w:id="13" w:name="_Toc391412445"/>
    </w:p>
    <w:p w:rsidR="0018444C" w:rsidRDefault="00980E38">
      <w:pPr>
        <w:pStyle w:val="1"/>
        <w:spacing w:before="120" w:after="240" w:line="430" w:lineRule="exact"/>
        <w:jc w:val="center"/>
      </w:pPr>
      <w:bookmarkStart w:id="14" w:name="_Toc457337601"/>
      <w:bookmarkStart w:id="15" w:name="_Toc462300991"/>
      <w:bookmarkStart w:id="16" w:name="_Toc488152784"/>
      <w:bookmarkStart w:id="17" w:name="_Toc488163337"/>
      <w:r>
        <w:rPr>
          <w:rFonts w:ascii="Times New Roman" w:hAnsi="Times New Roman"/>
          <w:sz w:val="40"/>
          <w:szCs w:val="40"/>
        </w:rPr>
        <w:t>估價報告內容摘要</w:t>
      </w:r>
      <w:bookmarkEnd w:id="7"/>
      <w:bookmarkEnd w:id="8"/>
      <w:bookmarkEnd w:id="9"/>
      <w:bookmarkEnd w:id="10"/>
      <w:bookmarkEnd w:id="11"/>
      <w:bookmarkEnd w:id="12"/>
      <w:bookmarkEnd w:id="13"/>
      <w:bookmarkEnd w:id="14"/>
      <w:bookmarkEnd w:id="15"/>
      <w:bookmarkEnd w:id="16"/>
      <w:bookmarkEnd w:id="17"/>
    </w:p>
    <w:p w:rsidR="0018444C" w:rsidRDefault="00980E38">
      <w:pPr>
        <w:pStyle w:val="DefaultText"/>
        <w:numPr>
          <w:ilvl w:val="0"/>
          <w:numId w:val="8"/>
        </w:numPr>
        <w:spacing w:before="40" w:after="40" w:line="440" w:lineRule="exact"/>
        <w:ind w:left="993" w:hanging="590"/>
        <w:rPr>
          <w:rFonts w:ascii="Times New Roman" w:eastAsia="標楷體" w:hAnsi="Times New Roman"/>
          <w:b/>
          <w:szCs w:val="28"/>
        </w:rPr>
      </w:pPr>
      <w:r>
        <w:rPr>
          <w:rFonts w:ascii="Times New Roman" w:eastAsia="標楷體" w:hAnsi="Times New Roman"/>
          <w:b/>
          <w:szCs w:val="28"/>
        </w:rPr>
        <w:t>不動產估價報告書案號：</w:t>
      </w:r>
    </w:p>
    <w:p w:rsidR="0018444C" w:rsidRDefault="00980E38">
      <w:pPr>
        <w:pStyle w:val="DefaultText"/>
        <w:numPr>
          <w:ilvl w:val="0"/>
          <w:numId w:val="8"/>
        </w:numPr>
        <w:spacing w:before="40" w:after="40" w:line="440" w:lineRule="exact"/>
        <w:ind w:left="993" w:hanging="590"/>
      </w:pPr>
      <w:r>
        <w:rPr>
          <w:rFonts w:ascii="Times New Roman" w:eastAsia="標楷體" w:hAnsi="Times New Roman"/>
          <w:b/>
          <w:szCs w:val="28"/>
        </w:rPr>
        <w:t>委託單位：</w:t>
      </w:r>
      <w:proofErr w:type="gramStart"/>
      <w:r>
        <w:rPr>
          <w:rFonts w:ascii="Times New Roman" w:eastAsia="標楷體" w:hAnsi="Times New Roman"/>
          <w:b/>
          <w:color w:val="000000"/>
          <w:szCs w:val="28"/>
        </w:rPr>
        <w:t>臺</w:t>
      </w:r>
      <w:proofErr w:type="gramEnd"/>
      <w:r>
        <w:rPr>
          <w:rFonts w:ascii="Times New Roman" w:eastAsia="標楷體" w:hAnsi="Times New Roman"/>
          <w:b/>
          <w:color w:val="000000"/>
          <w:szCs w:val="28"/>
        </w:rPr>
        <w:t>南市政府都市發展局</w:t>
      </w:r>
    </w:p>
    <w:p w:rsidR="0018444C" w:rsidRDefault="00980E38">
      <w:pPr>
        <w:pStyle w:val="DefaultText"/>
        <w:numPr>
          <w:ilvl w:val="0"/>
          <w:numId w:val="8"/>
        </w:numPr>
        <w:spacing w:before="40" w:after="40" w:line="440" w:lineRule="exact"/>
        <w:ind w:left="993" w:hanging="590"/>
        <w:rPr>
          <w:rFonts w:ascii="Times New Roman" w:eastAsia="標楷體" w:hAnsi="Times New Roman"/>
          <w:b/>
          <w:szCs w:val="28"/>
        </w:rPr>
      </w:pPr>
      <w:r>
        <w:rPr>
          <w:rFonts w:ascii="Times New Roman" w:eastAsia="標楷體" w:hAnsi="Times New Roman"/>
          <w:b/>
          <w:szCs w:val="28"/>
        </w:rPr>
        <w:t>基地基本資料：</w:t>
      </w:r>
    </w:p>
    <w:p w:rsidR="0018444C" w:rsidRDefault="00980E38">
      <w:pPr>
        <w:pStyle w:val="DefaultText"/>
        <w:numPr>
          <w:ilvl w:val="0"/>
          <w:numId w:val="9"/>
        </w:numPr>
        <w:tabs>
          <w:tab w:val="left" w:pos="851"/>
          <w:tab w:val="left" w:pos="1418"/>
        </w:tabs>
        <w:spacing w:before="40" w:after="40" w:line="440" w:lineRule="exact"/>
        <w:ind w:left="3402" w:hanging="2603"/>
      </w:pPr>
      <w:proofErr w:type="gramStart"/>
      <w:r>
        <w:rPr>
          <w:rFonts w:ascii="Times New Roman" w:eastAsia="標楷體" w:hAnsi="Times New Roman"/>
          <w:szCs w:val="28"/>
        </w:rPr>
        <w:t>勘估標</w:t>
      </w:r>
      <w:proofErr w:type="gramEnd"/>
      <w:r>
        <w:rPr>
          <w:rFonts w:ascii="Times New Roman" w:eastAsia="標楷體" w:hAnsi="Times New Roman"/>
          <w:szCs w:val="28"/>
        </w:rPr>
        <w:t>的內容：</w:t>
      </w:r>
    </w:p>
    <w:p w:rsidR="0018444C" w:rsidRDefault="00980E38">
      <w:pPr>
        <w:pStyle w:val="DefaultText"/>
        <w:numPr>
          <w:ilvl w:val="0"/>
          <w:numId w:val="10"/>
        </w:numPr>
        <w:spacing w:before="40" w:after="40" w:line="440" w:lineRule="exact"/>
        <w:ind w:left="1560" w:hanging="426"/>
      </w:pPr>
      <w:r>
        <w:rPr>
          <w:rFonts w:ascii="Times New Roman" w:eastAsia="標楷體" w:hAnsi="Times New Roman"/>
          <w:szCs w:val="28"/>
        </w:rPr>
        <w:t>土地標示：</w:t>
      </w:r>
    </w:p>
    <w:p w:rsidR="0018444C" w:rsidRDefault="00980E38">
      <w:pPr>
        <w:pStyle w:val="DefaultText"/>
        <w:numPr>
          <w:ilvl w:val="0"/>
          <w:numId w:val="9"/>
        </w:numPr>
        <w:tabs>
          <w:tab w:val="left" w:pos="851"/>
          <w:tab w:val="left" w:pos="1418"/>
        </w:tabs>
        <w:spacing w:before="40" w:after="40" w:line="440" w:lineRule="exact"/>
        <w:ind w:left="3402" w:hanging="2603"/>
      </w:pPr>
      <w:r>
        <w:rPr>
          <w:rFonts w:ascii="Times New Roman" w:eastAsia="標楷體" w:hAnsi="Times New Roman"/>
          <w:szCs w:val="28"/>
        </w:rPr>
        <w:t>產權分析：</w:t>
      </w:r>
    </w:p>
    <w:tbl>
      <w:tblPr>
        <w:tblW w:w="9142" w:type="dxa"/>
        <w:jc w:val="center"/>
        <w:tblCellMar>
          <w:left w:w="10" w:type="dxa"/>
          <w:right w:w="10" w:type="dxa"/>
        </w:tblCellMar>
        <w:tblLook w:val="0000" w:firstRow="0" w:lastRow="0" w:firstColumn="0" w:lastColumn="0" w:noHBand="0" w:noVBand="0"/>
      </w:tblPr>
      <w:tblGrid>
        <w:gridCol w:w="610"/>
        <w:gridCol w:w="610"/>
        <w:gridCol w:w="980"/>
        <w:gridCol w:w="1296"/>
        <w:gridCol w:w="709"/>
        <w:gridCol w:w="709"/>
        <w:gridCol w:w="1276"/>
        <w:gridCol w:w="1170"/>
        <w:gridCol w:w="716"/>
        <w:gridCol w:w="1066"/>
      </w:tblGrid>
      <w:tr w:rsidR="0018444C">
        <w:trPr>
          <w:trHeight w:val="784"/>
          <w:tblHeader/>
          <w:jc w:val="center"/>
        </w:trPr>
        <w:tc>
          <w:tcPr>
            <w:tcW w:w="610" w:type="dxa"/>
            <w:tcBorders>
              <w:top w:val="single" w:sz="12"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編號</w:t>
            </w:r>
          </w:p>
        </w:tc>
        <w:tc>
          <w:tcPr>
            <w:tcW w:w="610" w:type="dxa"/>
            <w:tcBorders>
              <w:top w:val="single" w:sz="12"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地號</w:t>
            </w:r>
          </w:p>
        </w:tc>
        <w:tc>
          <w:tcPr>
            <w:tcW w:w="98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土地</w:t>
            </w:r>
          </w:p>
          <w:p w:rsidR="0018444C" w:rsidRDefault="00980E38">
            <w:pPr>
              <w:jc w:val="center"/>
              <w:rPr>
                <w:rFonts w:ascii="Times New Roman" w:eastAsia="標楷體" w:hAnsi="Times New Roman"/>
                <w:szCs w:val="24"/>
              </w:rPr>
            </w:pPr>
            <w:r>
              <w:rPr>
                <w:rFonts w:ascii="Times New Roman" w:eastAsia="標楷體" w:hAnsi="Times New Roman"/>
                <w:szCs w:val="24"/>
              </w:rPr>
              <w:t>面積</w:t>
            </w:r>
          </w:p>
          <w:p w:rsidR="0018444C" w:rsidRDefault="00980E38">
            <w:pPr>
              <w:jc w:val="center"/>
              <w:rPr>
                <w:rFonts w:ascii="Times New Roman" w:eastAsia="標楷體" w:hAnsi="Times New Roman"/>
                <w:szCs w:val="24"/>
              </w:rPr>
            </w:pPr>
            <w:r>
              <w:rPr>
                <w:rFonts w:ascii="Times New Roman" w:eastAsia="標楷體" w:hAnsi="Times New Roman"/>
                <w:szCs w:val="24"/>
              </w:rPr>
              <w:t>(</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1296" w:type="dxa"/>
            <w:tcBorders>
              <w:top w:val="single" w:sz="12"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所有</w:t>
            </w:r>
          </w:p>
          <w:p w:rsidR="0018444C" w:rsidRDefault="00980E38">
            <w:pPr>
              <w:jc w:val="center"/>
              <w:rPr>
                <w:rFonts w:ascii="Times New Roman" w:eastAsia="標楷體" w:hAnsi="Times New Roman"/>
                <w:szCs w:val="24"/>
              </w:rPr>
            </w:pPr>
            <w:r>
              <w:rPr>
                <w:rFonts w:ascii="Times New Roman" w:eastAsia="標楷體" w:hAnsi="Times New Roman"/>
                <w:szCs w:val="24"/>
              </w:rPr>
              <w:t>權人</w:t>
            </w:r>
          </w:p>
        </w:tc>
        <w:tc>
          <w:tcPr>
            <w:tcW w:w="709" w:type="dxa"/>
            <w:tcBorders>
              <w:top w:val="single" w:sz="12"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持分</w:t>
            </w:r>
          </w:p>
          <w:p w:rsidR="0018444C" w:rsidRDefault="00980E38">
            <w:pPr>
              <w:jc w:val="center"/>
              <w:rPr>
                <w:rFonts w:ascii="Times New Roman" w:eastAsia="標楷體" w:hAnsi="Times New Roman"/>
                <w:szCs w:val="24"/>
              </w:rPr>
            </w:pPr>
            <w:r>
              <w:rPr>
                <w:rFonts w:ascii="Times New Roman" w:eastAsia="標楷體" w:hAnsi="Times New Roman"/>
                <w:szCs w:val="24"/>
              </w:rPr>
              <w:t>分子</w:t>
            </w:r>
          </w:p>
        </w:tc>
        <w:tc>
          <w:tcPr>
            <w:tcW w:w="709" w:type="dxa"/>
            <w:tcBorders>
              <w:top w:val="single" w:sz="12"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持分</w:t>
            </w:r>
          </w:p>
          <w:p w:rsidR="0018444C" w:rsidRDefault="00980E38">
            <w:pPr>
              <w:jc w:val="center"/>
              <w:rPr>
                <w:rFonts w:ascii="Times New Roman" w:eastAsia="標楷體" w:hAnsi="Times New Roman"/>
                <w:szCs w:val="24"/>
              </w:rPr>
            </w:pPr>
            <w:r>
              <w:rPr>
                <w:rFonts w:ascii="Times New Roman" w:eastAsia="標楷體" w:hAnsi="Times New Roman"/>
                <w:szCs w:val="24"/>
              </w:rPr>
              <w:t>分母</w:t>
            </w:r>
          </w:p>
        </w:tc>
        <w:tc>
          <w:tcPr>
            <w:tcW w:w="1276" w:type="dxa"/>
            <w:tcBorders>
              <w:top w:val="single" w:sz="12"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土地持分</w:t>
            </w:r>
          </w:p>
          <w:p w:rsidR="0018444C" w:rsidRDefault="00980E38">
            <w:pPr>
              <w:jc w:val="center"/>
              <w:rPr>
                <w:rFonts w:ascii="Times New Roman" w:eastAsia="標楷體" w:hAnsi="Times New Roman"/>
                <w:szCs w:val="24"/>
              </w:rPr>
            </w:pPr>
            <w:r>
              <w:rPr>
                <w:rFonts w:ascii="Times New Roman" w:eastAsia="標楷體" w:hAnsi="Times New Roman"/>
                <w:szCs w:val="24"/>
              </w:rPr>
              <w:t>面積</w:t>
            </w:r>
            <w:r>
              <w:rPr>
                <w:rFonts w:ascii="Times New Roman" w:eastAsia="標楷體" w:hAnsi="Times New Roman"/>
                <w:szCs w:val="24"/>
              </w:rPr>
              <w:t>(</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1170" w:type="dxa"/>
            <w:tcBorders>
              <w:top w:val="single" w:sz="12"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土地持分</w:t>
            </w:r>
          </w:p>
          <w:p w:rsidR="0018444C" w:rsidRDefault="00980E38">
            <w:pPr>
              <w:jc w:val="center"/>
              <w:rPr>
                <w:rFonts w:ascii="Times New Roman" w:eastAsia="標楷體" w:hAnsi="Times New Roman"/>
                <w:szCs w:val="24"/>
              </w:rPr>
            </w:pPr>
            <w:r>
              <w:rPr>
                <w:rFonts w:ascii="Times New Roman" w:eastAsia="標楷體" w:hAnsi="Times New Roman"/>
                <w:szCs w:val="24"/>
              </w:rPr>
              <w:t>面積</w:t>
            </w:r>
            <w:r>
              <w:rPr>
                <w:rFonts w:ascii="Times New Roman" w:eastAsia="標楷體" w:hAnsi="Times New Roman"/>
                <w:szCs w:val="24"/>
              </w:rPr>
              <w:t>(</w:t>
            </w:r>
            <w:r>
              <w:rPr>
                <w:rFonts w:ascii="Times New Roman" w:eastAsia="標楷體" w:hAnsi="Times New Roman"/>
                <w:szCs w:val="24"/>
              </w:rPr>
              <w:t>坪</w:t>
            </w:r>
            <w:r>
              <w:rPr>
                <w:rFonts w:ascii="Times New Roman" w:eastAsia="標楷體" w:hAnsi="Times New Roman"/>
                <w:szCs w:val="24"/>
              </w:rPr>
              <w:t>)</w:t>
            </w:r>
          </w:p>
        </w:tc>
        <w:tc>
          <w:tcPr>
            <w:tcW w:w="71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登記</w:t>
            </w:r>
          </w:p>
          <w:p w:rsidR="0018444C" w:rsidRDefault="00980E38">
            <w:pPr>
              <w:jc w:val="center"/>
              <w:rPr>
                <w:rFonts w:ascii="Times New Roman" w:eastAsia="標楷體" w:hAnsi="Times New Roman"/>
                <w:szCs w:val="24"/>
              </w:rPr>
            </w:pPr>
            <w:r>
              <w:rPr>
                <w:rFonts w:ascii="Times New Roman" w:eastAsia="標楷體" w:hAnsi="Times New Roman"/>
                <w:szCs w:val="24"/>
              </w:rPr>
              <w:t>建號</w:t>
            </w:r>
          </w:p>
        </w:tc>
        <w:tc>
          <w:tcPr>
            <w:tcW w:w="1066"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備註</w:t>
            </w:r>
          </w:p>
        </w:tc>
      </w:tr>
      <w:tr w:rsidR="0018444C">
        <w:trPr>
          <w:trHeight w:val="784"/>
          <w:jc w:val="center"/>
        </w:trPr>
        <w:tc>
          <w:tcPr>
            <w:tcW w:w="610" w:type="dxa"/>
            <w:tcBorders>
              <w:top w:val="single" w:sz="6" w:space="0" w:color="000000"/>
              <w:left w:val="single" w:sz="12"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610"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980"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1296"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1170"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716"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1066"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18444C" w:rsidRDefault="0018444C">
            <w:pPr>
              <w:rPr>
                <w:rFonts w:ascii="Times New Roman" w:eastAsia="標楷體" w:hAnsi="Times New Roman"/>
                <w:szCs w:val="24"/>
              </w:rPr>
            </w:pPr>
          </w:p>
        </w:tc>
      </w:tr>
    </w:tbl>
    <w:p w:rsidR="0018444C" w:rsidRDefault="00980E38">
      <w:pPr>
        <w:pStyle w:val="DefaultText"/>
        <w:numPr>
          <w:ilvl w:val="0"/>
          <w:numId w:val="9"/>
        </w:numPr>
        <w:tabs>
          <w:tab w:val="left" w:pos="851"/>
          <w:tab w:val="left" w:pos="1418"/>
        </w:tabs>
        <w:spacing w:before="40" w:after="40" w:line="440" w:lineRule="exact"/>
        <w:ind w:left="3402" w:hanging="2603"/>
      </w:pPr>
      <w:r>
        <w:rPr>
          <w:rFonts w:ascii="Times New Roman" w:eastAsia="標楷體" w:hAnsi="Times New Roman"/>
          <w:szCs w:val="28"/>
        </w:rPr>
        <w:t>土地使用分區：</w:t>
      </w:r>
    </w:p>
    <w:p w:rsidR="0018444C" w:rsidRDefault="00980E38">
      <w:pPr>
        <w:pStyle w:val="DefaultText"/>
        <w:numPr>
          <w:ilvl w:val="0"/>
          <w:numId w:val="9"/>
        </w:numPr>
        <w:tabs>
          <w:tab w:val="left" w:pos="851"/>
          <w:tab w:val="left" w:pos="1418"/>
        </w:tabs>
        <w:spacing w:before="40" w:after="40" w:line="440" w:lineRule="exact"/>
        <w:ind w:left="3402" w:hanging="2603"/>
      </w:pPr>
      <w:proofErr w:type="gramStart"/>
      <w:r>
        <w:rPr>
          <w:rFonts w:ascii="Times New Roman" w:eastAsia="標楷體" w:hAnsi="Times New Roman"/>
          <w:szCs w:val="28"/>
        </w:rPr>
        <w:t>勘估標</w:t>
      </w:r>
      <w:proofErr w:type="gramEnd"/>
      <w:r>
        <w:rPr>
          <w:rFonts w:ascii="Times New Roman" w:eastAsia="標楷體" w:hAnsi="Times New Roman"/>
          <w:szCs w:val="28"/>
        </w:rPr>
        <w:t>的使用現況：</w:t>
      </w:r>
    </w:p>
    <w:p w:rsidR="0018444C" w:rsidRDefault="00980E38">
      <w:pPr>
        <w:pStyle w:val="DefaultText"/>
        <w:numPr>
          <w:ilvl w:val="0"/>
          <w:numId w:val="8"/>
        </w:numPr>
        <w:spacing w:before="40" w:after="40" w:line="440" w:lineRule="exact"/>
        <w:ind w:left="993" w:hanging="590"/>
      </w:pPr>
      <w:r>
        <w:rPr>
          <w:rFonts w:ascii="Times New Roman" w:eastAsia="標楷體" w:hAnsi="Times New Roman"/>
          <w:b/>
          <w:szCs w:val="28"/>
        </w:rPr>
        <w:t>估價前提</w:t>
      </w:r>
    </w:p>
    <w:p w:rsidR="0018444C" w:rsidRDefault="00980E38">
      <w:pPr>
        <w:pStyle w:val="DefaultText"/>
        <w:numPr>
          <w:ilvl w:val="0"/>
          <w:numId w:val="11"/>
        </w:numPr>
        <w:tabs>
          <w:tab w:val="left" w:pos="-702"/>
        </w:tabs>
        <w:spacing w:before="40" w:after="40" w:line="440" w:lineRule="exact"/>
        <w:ind w:left="1417" w:hanging="618"/>
      </w:pPr>
      <w:r>
        <w:rPr>
          <w:rFonts w:ascii="Times New Roman" w:eastAsia="標楷體" w:hAnsi="Times New Roman"/>
          <w:szCs w:val="28"/>
        </w:rPr>
        <w:t>估價目的：供委託單位</w:t>
      </w:r>
      <w:proofErr w:type="gramStart"/>
      <w:r>
        <w:rPr>
          <w:rFonts w:ascii="Times New Roman" w:eastAsia="標楷體" w:hAnsi="Times New Roman"/>
          <w:szCs w:val="28"/>
        </w:rPr>
        <w:t>計算容移代金</w:t>
      </w:r>
      <w:proofErr w:type="gramEnd"/>
      <w:r>
        <w:rPr>
          <w:rFonts w:ascii="Times New Roman" w:eastAsia="標楷體" w:hAnsi="Times New Roman"/>
          <w:szCs w:val="28"/>
        </w:rPr>
        <w:t>參考。</w:t>
      </w:r>
    </w:p>
    <w:p w:rsidR="0018444C" w:rsidRDefault="00980E38">
      <w:pPr>
        <w:pStyle w:val="DefaultText"/>
        <w:numPr>
          <w:ilvl w:val="0"/>
          <w:numId w:val="11"/>
        </w:numPr>
        <w:tabs>
          <w:tab w:val="left" w:pos="-702"/>
        </w:tabs>
        <w:spacing w:before="40" w:after="40" w:line="440" w:lineRule="exact"/>
        <w:ind w:left="1417" w:hanging="618"/>
        <w:rPr>
          <w:rFonts w:ascii="Times New Roman" w:eastAsia="標楷體" w:hAnsi="Times New Roman"/>
          <w:szCs w:val="28"/>
        </w:rPr>
      </w:pPr>
      <w:r>
        <w:rPr>
          <w:rFonts w:ascii="Times New Roman" w:eastAsia="標楷體" w:hAnsi="Times New Roman"/>
          <w:szCs w:val="28"/>
        </w:rPr>
        <w:t>價格種類：正常價格。</w:t>
      </w:r>
    </w:p>
    <w:p w:rsidR="0018444C" w:rsidRDefault="00980E38">
      <w:pPr>
        <w:pStyle w:val="DefaultText"/>
        <w:numPr>
          <w:ilvl w:val="0"/>
          <w:numId w:val="11"/>
        </w:numPr>
        <w:tabs>
          <w:tab w:val="left" w:pos="-702"/>
        </w:tabs>
        <w:spacing w:before="40" w:after="40" w:line="440" w:lineRule="exact"/>
        <w:ind w:left="1417" w:hanging="618"/>
        <w:rPr>
          <w:rFonts w:ascii="Times New Roman" w:eastAsia="標楷體" w:hAnsi="Times New Roman"/>
          <w:szCs w:val="28"/>
        </w:rPr>
      </w:pPr>
      <w:r>
        <w:rPr>
          <w:rFonts w:ascii="Times New Roman" w:eastAsia="標楷體" w:hAnsi="Times New Roman"/>
          <w:szCs w:val="28"/>
        </w:rPr>
        <w:t>估價條件：</w:t>
      </w:r>
    </w:p>
    <w:p w:rsidR="0018444C" w:rsidRDefault="00980E38">
      <w:pPr>
        <w:pStyle w:val="DefaultText"/>
        <w:spacing w:before="40" w:after="40" w:line="440" w:lineRule="exact"/>
        <w:ind w:left="1400"/>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numPr>
          <w:ilvl w:val="3"/>
          <w:numId w:val="12"/>
        </w:numPr>
        <w:tabs>
          <w:tab w:val="left" w:pos="1701"/>
        </w:tabs>
        <w:spacing w:before="40" w:after="40" w:line="440" w:lineRule="exact"/>
        <w:ind w:left="1701" w:hanging="283"/>
        <w:jc w:val="both"/>
      </w:pPr>
      <w:r>
        <w:rPr>
          <w:rFonts w:ascii="Times New Roman" w:eastAsia="標楷體" w:hAnsi="Times New Roman"/>
          <w:sz w:val="24"/>
          <w:szCs w:val="24"/>
        </w:rPr>
        <w:t>應依</w:t>
      </w:r>
      <w:r>
        <w:rPr>
          <w:rFonts w:ascii="Times New Roman" w:eastAsia="標楷體" w:hAnsi="Times New Roman"/>
          <w:color w:val="FF0000"/>
          <w:sz w:val="24"/>
          <w:szCs w:val="24"/>
        </w:rPr>
        <w:t>容積移轉折</w:t>
      </w:r>
      <w:proofErr w:type="gramStart"/>
      <w:r>
        <w:rPr>
          <w:rFonts w:ascii="Times New Roman" w:eastAsia="標楷體" w:hAnsi="Times New Roman"/>
          <w:color w:val="FF0000"/>
          <w:sz w:val="24"/>
          <w:szCs w:val="24"/>
        </w:rPr>
        <w:t>繳</w:t>
      </w:r>
      <w:proofErr w:type="gramEnd"/>
      <w:r>
        <w:rPr>
          <w:rFonts w:ascii="Times New Roman" w:eastAsia="標楷體" w:hAnsi="Times New Roman"/>
          <w:color w:val="FF0000"/>
          <w:sz w:val="24"/>
          <w:szCs w:val="24"/>
        </w:rPr>
        <w:t>代金估價說明書</w:t>
      </w:r>
      <w:r>
        <w:rPr>
          <w:rFonts w:ascii="Times New Roman" w:eastAsia="標楷體" w:hAnsi="Times New Roman"/>
          <w:sz w:val="24"/>
          <w:szCs w:val="24"/>
        </w:rPr>
        <w:t>內容載</w:t>
      </w:r>
      <w:proofErr w:type="gramStart"/>
      <w:r>
        <w:rPr>
          <w:rFonts w:ascii="Times New Roman" w:eastAsia="標楷體" w:hAnsi="Times New Roman"/>
          <w:sz w:val="24"/>
          <w:szCs w:val="24"/>
        </w:rPr>
        <w:t>明容移</w:t>
      </w:r>
      <w:proofErr w:type="gramEnd"/>
      <w:r>
        <w:rPr>
          <w:rFonts w:ascii="Times New Roman" w:eastAsia="標楷體" w:hAnsi="Times New Roman"/>
          <w:sz w:val="24"/>
          <w:szCs w:val="24"/>
        </w:rPr>
        <w:t>前後之樓地板面積，若估價案件同時為都市更新案件時估價師應同時參考委託人提供之都市更新事業計畫內容，上述資料未相符時，應由估價師依專業參</w:t>
      </w:r>
      <w:proofErr w:type="gramStart"/>
      <w:r>
        <w:rPr>
          <w:rFonts w:ascii="Times New Roman" w:eastAsia="標楷體" w:hAnsi="Times New Roman"/>
          <w:sz w:val="24"/>
          <w:szCs w:val="24"/>
        </w:rPr>
        <w:t>採</w:t>
      </w:r>
      <w:proofErr w:type="gramEnd"/>
      <w:r>
        <w:rPr>
          <w:rFonts w:ascii="Times New Roman" w:eastAsia="標楷體" w:hAnsi="Times New Roman"/>
          <w:sz w:val="24"/>
          <w:szCs w:val="24"/>
        </w:rPr>
        <w:t>資料內容，並於估價條件或估價報告書內補充文字說明。</w:t>
      </w:r>
    </w:p>
    <w:p w:rsidR="0018444C" w:rsidRDefault="00980E38">
      <w:pPr>
        <w:pStyle w:val="DefaultText"/>
        <w:numPr>
          <w:ilvl w:val="3"/>
          <w:numId w:val="12"/>
        </w:numPr>
        <w:tabs>
          <w:tab w:val="left" w:pos="1701"/>
        </w:tabs>
        <w:spacing w:before="40" w:after="40" w:line="440" w:lineRule="exact"/>
        <w:ind w:left="1701" w:hanging="283"/>
        <w:jc w:val="both"/>
        <w:rPr>
          <w:rFonts w:ascii="Times New Roman" w:eastAsia="標楷體" w:hAnsi="Times New Roman"/>
          <w:sz w:val="24"/>
          <w:szCs w:val="24"/>
        </w:rPr>
      </w:pPr>
      <w:r>
        <w:rPr>
          <w:rFonts w:ascii="Times New Roman" w:eastAsia="標楷體" w:hAnsi="Times New Roman"/>
          <w:sz w:val="24"/>
          <w:szCs w:val="24"/>
        </w:rPr>
        <w:t>未含容積移入之基地價格指容積移入前之地價。基地容積之評估基礎應包含法定容積、其他都市計畫獎勵容積、都更獎勵容積或海沙屋獎勵容積等非移入容積部分，且為實際申請額度，非上限額度。</w:t>
      </w:r>
    </w:p>
    <w:p w:rsidR="0018444C" w:rsidRDefault="00980E38">
      <w:pPr>
        <w:pStyle w:val="DefaultText"/>
        <w:numPr>
          <w:ilvl w:val="3"/>
          <w:numId w:val="12"/>
        </w:numPr>
        <w:tabs>
          <w:tab w:val="left" w:pos="1701"/>
        </w:tabs>
        <w:spacing w:before="40" w:after="40" w:line="440" w:lineRule="exact"/>
        <w:ind w:left="1701" w:hanging="283"/>
        <w:jc w:val="both"/>
        <w:rPr>
          <w:rFonts w:ascii="Times New Roman" w:eastAsia="標楷體" w:hAnsi="Times New Roman"/>
          <w:sz w:val="24"/>
          <w:szCs w:val="24"/>
        </w:rPr>
      </w:pPr>
      <w:r>
        <w:rPr>
          <w:rFonts w:ascii="Times New Roman" w:eastAsia="標楷體" w:hAnsi="Times New Roman"/>
          <w:sz w:val="24"/>
          <w:szCs w:val="24"/>
        </w:rPr>
        <w:t>含容積移入之基地價格指容積移入後之地價。基地容積之評估基礎應除包含法定容積、其他都市計畫獎勵容積、都更獎勵容積或海沙屋獎勵容積等非移入容積部分外，</w:t>
      </w:r>
      <w:proofErr w:type="gramStart"/>
      <w:r>
        <w:rPr>
          <w:rFonts w:ascii="Times New Roman" w:eastAsia="標楷體" w:hAnsi="Times New Roman"/>
          <w:sz w:val="24"/>
          <w:szCs w:val="24"/>
        </w:rPr>
        <w:t>加計移入</w:t>
      </w:r>
      <w:proofErr w:type="gramEnd"/>
      <w:r>
        <w:rPr>
          <w:rFonts w:ascii="Times New Roman" w:eastAsia="標楷體" w:hAnsi="Times New Roman"/>
          <w:sz w:val="24"/>
          <w:szCs w:val="24"/>
        </w:rPr>
        <w:t>容積部分，且為實際申請額度；此亦為基地最後審定之樓地板面積。</w:t>
      </w:r>
    </w:p>
    <w:p w:rsidR="0018444C" w:rsidRDefault="00980E38">
      <w:pPr>
        <w:pStyle w:val="DefaultText"/>
        <w:numPr>
          <w:ilvl w:val="3"/>
          <w:numId w:val="12"/>
        </w:numPr>
        <w:tabs>
          <w:tab w:val="left" w:pos="1701"/>
        </w:tabs>
        <w:spacing w:before="40" w:after="40" w:line="440" w:lineRule="exact"/>
        <w:ind w:left="1701" w:hanging="283"/>
        <w:jc w:val="both"/>
      </w:pPr>
      <w:r>
        <w:rPr>
          <w:rFonts w:ascii="Times New Roman" w:eastAsia="標楷體" w:hAnsi="Times New Roman"/>
          <w:sz w:val="24"/>
          <w:szCs w:val="24"/>
        </w:rPr>
        <w:lastRenderedPageBreak/>
        <w:t>載明依</w:t>
      </w:r>
      <w:r>
        <w:rPr>
          <w:rFonts w:ascii="Times New Roman" w:eastAsia="標楷體" w:hAnsi="Times New Roman"/>
          <w:color w:val="FF0000"/>
          <w:sz w:val="24"/>
          <w:szCs w:val="24"/>
        </w:rPr>
        <w:t>容積移轉折</w:t>
      </w:r>
      <w:proofErr w:type="gramStart"/>
      <w:r>
        <w:rPr>
          <w:rFonts w:ascii="Times New Roman" w:eastAsia="標楷體" w:hAnsi="Times New Roman"/>
          <w:color w:val="FF0000"/>
          <w:sz w:val="24"/>
          <w:szCs w:val="24"/>
        </w:rPr>
        <w:t>繳</w:t>
      </w:r>
      <w:proofErr w:type="gramEnd"/>
      <w:r>
        <w:rPr>
          <w:rFonts w:ascii="Times New Roman" w:eastAsia="標楷體" w:hAnsi="Times New Roman"/>
          <w:color w:val="FF0000"/>
          <w:sz w:val="24"/>
          <w:szCs w:val="24"/>
        </w:rPr>
        <w:t>代金估價說明書</w:t>
      </w:r>
      <w:r>
        <w:rPr>
          <w:rFonts w:ascii="Times New Roman" w:eastAsia="標楷體" w:hAnsi="Times New Roman"/>
          <w:sz w:val="24"/>
          <w:szCs w:val="24"/>
        </w:rPr>
        <w:t>所載之開發後產品型態及建材設備表或特殊建材、特殊建築工法說明，該項資料若委託者無法提供，則由估價師依當地合理房價水準，參考中華民國不動產估價師全國聯合會四號公報標準造價推估其合理造價水準。</w:t>
      </w:r>
    </w:p>
    <w:p w:rsidR="0018444C" w:rsidRDefault="00980E38">
      <w:pPr>
        <w:pStyle w:val="DefaultText"/>
        <w:numPr>
          <w:ilvl w:val="0"/>
          <w:numId w:val="13"/>
        </w:numPr>
        <w:tabs>
          <w:tab w:val="left" w:pos="-702"/>
        </w:tabs>
        <w:spacing w:before="40" w:after="40" w:line="440" w:lineRule="exact"/>
        <w:ind w:left="1417" w:hanging="618"/>
        <w:rPr>
          <w:rFonts w:ascii="Times New Roman" w:eastAsia="標楷體" w:hAnsi="Times New Roman"/>
          <w:szCs w:val="28"/>
        </w:rPr>
      </w:pPr>
      <w:r>
        <w:rPr>
          <w:rFonts w:ascii="Times New Roman" w:eastAsia="標楷體" w:hAnsi="Times New Roman"/>
          <w:szCs w:val="28"/>
        </w:rPr>
        <w:t>價格日期：民國</w:t>
      </w:r>
      <w:r>
        <w:rPr>
          <w:rFonts w:ascii="Times New Roman" w:eastAsia="標楷體" w:hAnsi="Times New Roman"/>
          <w:szCs w:val="28"/>
        </w:rPr>
        <w:t>○</w:t>
      </w:r>
      <w:r>
        <w:rPr>
          <w:rFonts w:ascii="Times New Roman" w:eastAsia="標楷體" w:hAnsi="Times New Roman"/>
          <w:szCs w:val="28"/>
        </w:rPr>
        <w:t>年</w:t>
      </w:r>
      <w:r>
        <w:rPr>
          <w:rFonts w:ascii="Times New Roman" w:eastAsia="標楷體" w:hAnsi="Times New Roman"/>
          <w:szCs w:val="28"/>
        </w:rPr>
        <w:t>○</w:t>
      </w:r>
      <w:r>
        <w:rPr>
          <w:rFonts w:ascii="Times New Roman" w:eastAsia="標楷體" w:hAnsi="Times New Roman"/>
          <w:szCs w:val="28"/>
        </w:rPr>
        <w:t>月</w:t>
      </w:r>
      <w:r>
        <w:rPr>
          <w:rFonts w:ascii="Times New Roman" w:eastAsia="標楷體" w:hAnsi="Times New Roman"/>
          <w:szCs w:val="28"/>
        </w:rPr>
        <w:t>○</w:t>
      </w:r>
      <w:r>
        <w:rPr>
          <w:rFonts w:ascii="Times New Roman" w:eastAsia="標楷體" w:hAnsi="Times New Roman"/>
          <w:szCs w:val="28"/>
        </w:rPr>
        <w:t>日。</w:t>
      </w:r>
    </w:p>
    <w:p w:rsidR="0018444C" w:rsidRDefault="00980E38">
      <w:pPr>
        <w:pStyle w:val="DefaultText"/>
        <w:spacing w:before="40" w:after="40" w:line="440" w:lineRule="exact"/>
        <w:ind w:left="1400"/>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numPr>
          <w:ilvl w:val="3"/>
          <w:numId w:val="13"/>
        </w:numPr>
        <w:tabs>
          <w:tab w:val="left" w:pos="1701"/>
        </w:tabs>
        <w:spacing w:before="40" w:after="40" w:line="440" w:lineRule="exact"/>
        <w:ind w:left="1701" w:hanging="283"/>
        <w:jc w:val="both"/>
      </w:pPr>
      <w:r>
        <w:rPr>
          <w:rFonts w:ascii="Times New Roman" w:eastAsia="標楷體" w:hAnsi="Times New Roman"/>
          <w:sz w:val="24"/>
          <w:szCs w:val="24"/>
        </w:rPr>
        <w:t>價格日期為</w:t>
      </w:r>
      <w:r>
        <w:rPr>
          <w:rFonts w:ascii="Times New Roman" w:eastAsia="標楷體" w:hAnsi="Times New Roman"/>
          <w:color w:val="FF0000"/>
          <w:sz w:val="24"/>
          <w:szCs w:val="24"/>
        </w:rPr>
        <w:t>容積移轉折</w:t>
      </w:r>
      <w:proofErr w:type="gramStart"/>
      <w:r>
        <w:rPr>
          <w:rFonts w:ascii="Times New Roman" w:eastAsia="標楷體" w:hAnsi="Times New Roman"/>
          <w:color w:val="FF0000"/>
          <w:sz w:val="24"/>
          <w:szCs w:val="24"/>
        </w:rPr>
        <w:t>繳</w:t>
      </w:r>
      <w:proofErr w:type="gramEnd"/>
      <w:r>
        <w:rPr>
          <w:rFonts w:ascii="Times New Roman" w:eastAsia="標楷體" w:hAnsi="Times New Roman"/>
          <w:color w:val="FF0000"/>
          <w:sz w:val="24"/>
          <w:szCs w:val="24"/>
        </w:rPr>
        <w:t>代金申請估價收件日</w:t>
      </w:r>
      <w:r>
        <w:rPr>
          <w:rFonts w:ascii="Times New Roman" w:eastAsia="標楷體" w:hAnsi="Times New Roman"/>
          <w:sz w:val="24"/>
          <w:szCs w:val="24"/>
        </w:rPr>
        <w:t>。</w:t>
      </w:r>
    </w:p>
    <w:p w:rsidR="0018444C" w:rsidRDefault="00980E38">
      <w:pPr>
        <w:pStyle w:val="DefaultText"/>
        <w:numPr>
          <w:ilvl w:val="0"/>
          <w:numId w:val="13"/>
        </w:numPr>
        <w:tabs>
          <w:tab w:val="left" w:pos="-702"/>
        </w:tabs>
        <w:spacing w:before="40" w:after="40" w:line="440" w:lineRule="exact"/>
        <w:ind w:left="1417" w:hanging="618"/>
      </w:pPr>
      <w:r>
        <w:rPr>
          <w:rFonts w:ascii="Times New Roman" w:eastAsia="標楷體" w:hAnsi="Times New Roman"/>
          <w:szCs w:val="28"/>
        </w:rPr>
        <w:t>勘察日期：民國</w:t>
      </w:r>
      <w:r>
        <w:rPr>
          <w:rFonts w:ascii="Times New Roman" w:eastAsia="標楷體" w:hAnsi="Times New Roman"/>
          <w:szCs w:val="28"/>
        </w:rPr>
        <w:t>○</w:t>
      </w:r>
      <w:r>
        <w:rPr>
          <w:rFonts w:ascii="Times New Roman" w:eastAsia="標楷體" w:hAnsi="Times New Roman"/>
          <w:szCs w:val="28"/>
        </w:rPr>
        <w:t>年</w:t>
      </w:r>
      <w:r>
        <w:rPr>
          <w:rFonts w:ascii="Times New Roman" w:eastAsia="標楷體" w:hAnsi="Times New Roman"/>
          <w:szCs w:val="28"/>
        </w:rPr>
        <w:t>○</w:t>
      </w:r>
      <w:r>
        <w:rPr>
          <w:rFonts w:ascii="Times New Roman" w:eastAsia="標楷體" w:hAnsi="Times New Roman"/>
          <w:szCs w:val="28"/>
        </w:rPr>
        <w:t>月</w:t>
      </w:r>
      <w:r>
        <w:rPr>
          <w:rFonts w:ascii="Times New Roman" w:eastAsia="標楷體" w:hAnsi="Times New Roman"/>
          <w:szCs w:val="28"/>
        </w:rPr>
        <w:t>○</w:t>
      </w:r>
      <w:r>
        <w:rPr>
          <w:rFonts w:ascii="Times New Roman" w:eastAsia="標楷體" w:hAnsi="Times New Roman"/>
          <w:szCs w:val="28"/>
        </w:rPr>
        <w:t>日。</w:t>
      </w:r>
    </w:p>
    <w:p w:rsidR="0018444C" w:rsidRDefault="0018444C">
      <w:pPr>
        <w:pStyle w:val="DefaultText"/>
        <w:tabs>
          <w:tab w:val="left" w:pos="-702"/>
        </w:tabs>
        <w:spacing w:before="40" w:after="40" w:line="440" w:lineRule="exact"/>
        <w:ind w:left="1417"/>
        <w:rPr>
          <w:rFonts w:ascii="Times New Roman" w:eastAsia="標楷體" w:hAnsi="Times New Roman"/>
        </w:rPr>
      </w:pPr>
    </w:p>
    <w:p w:rsidR="0018444C" w:rsidRDefault="00980E38">
      <w:pPr>
        <w:pStyle w:val="DefaultText"/>
        <w:numPr>
          <w:ilvl w:val="0"/>
          <w:numId w:val="8"/>
        </w:numPr>
        <w:spacing w:before="40" w:after="40" w:line="440" w:lineRule="exact"/>
        <w:ind w:left="993" w:hanging="590"/>
      </w:pPr>
      <w:r>
        <w:rPr>
          <w:rFonts w:ascii="Times New Roman" w:eastAsia="標楷體" w:hAnsi="Times New Roman"/>
          <w:b/>
          <w:szCs w:val="28"/>
        </w:rPr>
        <w:t>估價結果</w:t>
      </w:r>
    </w:p>
    <w:p w:rsidR="0018444C" w:rsidRDefault="00980E38">
      <w:pPr>
        <w:pStyle w:val="DefaultText"/>
        <w:spacing w:before="40" w:after="40" w:line="440" w:lineRule="exact"/>
        <w:ind w:left="1400"/>
        <w:jc w:val="both"/>
        <w:rPr>
          <w:rFonts w:ascii="Times New Roman" w:eastAsia="標楷體" w:hAnsi="Times New Roman"/>
          <w:sz w:val="24"/>
          <w:szCs w:val="24"/>
        </w:rPr>
      </w:pPr>
      <w:r>
        <w:rPr>
          <w:rFonts w:ascii="Times New Roman" w:eastAsia="標楷體" w:hAnsi="Times New Roman"/>
          <w:sz w:val="24"/>
          <w:szCs w:val="24"/>
        </w:rPr>
        <w:t>《注意須知》：</w:t>
      </w:r>
      <w:proofErr w:type="gramStart"/>
      <w:r>
        <w:rPr>
          <w:rFonts w:ascii="Times New Roman" w:eastAsia="標楷體" w:hAnsi="Times New Roman"/>
          <w:sz w:val="24"/>
          <w:szCs w:val="24"/>
        </w:rPr>
        <w:t>請載明容移</w:t>
      </w:r>
      <w:proofErr w:type="gramEnd"/>
      <w:r>
        <w:rPr>
          <w:rFonts w:ascii="Times New Roman" w:eastAsia="標楷體" w:hAnsi="Times New Roman"/>
          <w:sz w:val="24"/>
          <w:szCs w:val="24"/>
        </w:rPr>
        <w:t>前、後基地價格及應繳納代金之金額。</w:t>
      </w:r>
    </w:p>
    <w:p w:rsidR="0018444C" w:rsidRDefault="0018444C">
      <w:pPr>
        <w:pStyle w:val="DefaultText"/>
        <w:spacing w:before="40" w:after="40" w:line="440" w:lineRule="exact"/>
        <w:ind w:left="1400"/>
        <w:jc w:val="both"/>
        <w:rPr>
          <w:rFonts w:ascii="Times New Roman" w:eastAsia="標楷體" w:hAnsi="Times New Roman"/>
          <w:color w:val="FF0000"/>
          <w:sz w:val="24"/>
          <w:szCs w:val="24"/>
        </w:rPr>
      </w:pPr>
    </w:p>
    <w:p w:rsidR="0018444C" w:rsidRDefault="0018444C">
      <w:pPr>
        <w:pStyle w:val="DefaultText"/>
        <w:spacing w:before="40" w:after="40" w:line="440" w:lineRule="exact"/>
        <w:ind w:left="1400"/>
        <w:jc w:val="both"/>
        <w:rPr>
          <w:rFonts w:ascii="Times New Roman" w:eastAsia="標楷體" w:hAnsi="Times New Roman"/>
          <w:color w:val="FF0000"/>
          <w:sz w:val="24"/>
          <w:szCs w:val="24"/>
        </w:rPr>
      </w:pPr>
    </w:p>
    <w:p w:rsidR="0018444C" w:rsidRDefault="0018444C">
      <w:pPr>
        <w:pStyle w:val="DefaultText"/>
        <w:spacing w:before="40" w:after="40" w:line="440" w:lineRule="exact"/>
        <w:ind w:left="1400"/>
        <w:jc w:val="both"/>
        <w:rPr>
          <w:rFonts w:ascii="Times New Roman" w:eastAsia="標楷體" w:hAnsi="Times New Roman"/>
          <w:color w:val="FF0000"/>
          <w:sz w:val="24"/>
          <w:szCs w:val="24"/>
        </w:rPr>
      </w:pPr>
    </w:p>
    <w:p w:rsidR="0018444C" w:rsidRDefault="00980E38">
      <w:pPr>
        <w:pStyle w:val="DefaultText"/>
        <w:numPr>
          <w:ilvl w:val="0"/>
          <w:numId w:val="8"/>
        </w:numPr>
        <w:spacing w:before="40" w:after="40" w:line="440" w:lineRule="exact"/>
        <w:ind w:left="993" w:hanging="590"/>
      </w:pPr>
      <w:r>
        <w:rPr>
          <w:rFonts w:ascii="Times New Roman" w:eastAsia="標楷體" w:hAnsi="Times New Roman"/>
          <w:b/>
          <w:szCs w:val="28"/>
        </w:rPr>
        <w:t>不</w:t>
      </w:r>
      <w:r>
        <w:rPr>
          <w:rFonts w:ascii="Times New Roman" w:eastAsia="標楷體" w:hAnsi="Times New Roman"/>
          <w:b/>
          <w:szCs w:val="28"/>
        </w:rPr>
        <w:t xml:space="preserve"> </w:t>
      </w:r>
      <w:r>
        <w:rPr>
          <w:rFonts w:ascii="Times New Roman" w:eastAsia="標楷體" w:hAnsi="Times New Roman"/>
          <w:b/>
          <w:szCs w:val="28"/>
        </w:rPr>
        <w:t>動</w:t>
      </w:r>
      <w:r>
        <w:rPr>
          <w:rFonts w:ascii="Times New Roman" w:eastAsia="標楷體" w:hAnsi="Times New Roman"/>
          <w:b/>
          <w:szCs w:val="28"/>
        </w:rPr>
        <w:t xml:space="preserve"> </w:t>
      </w:r>
      <w:r>
        <w:rPr>
          <w:rFonts w:ascii="Times New Roman" w:eastAsia="標楷體" w:hAnsi="Times New Roman"/>
          <w:b/>
          <w:szCs w:val="28"/>
        </w:rPr>
        <w:t>產</w:t>
      </w:r>
      <w:r>
        <w:rPr>
          <w:rFonts w:ascii="Times New Roman" w:eastAsia="標楷體" w:hAnsi="Times New Roman"/>
          <w:b/>
          <w:szCs w:val="28"/>
        </w:rPr>
        <w:t xml:space="preserve"> </w:t>
      </w:r>
      <w:r>
        <w:rPr>
          <w:rFonts w:ascii="Times New Roman" w:eastAsia="標楷體" w:hAnsi="Times New Roman"/>
          <w:b/>
          <w:szCs w:val="28"/>
        </w:rPr>
        <w:t>估</w:t>
      </w:r>
      <w:r>
        <w:rPr>
          <w:rFonts w:ascii="Times New Roman" w:eastAsia="標楷體" w:hAnsi="Times New Roman"/>
          <w:b/>
          <w:szCs w:val="28"/>
        </w:rPr>
        <w:t xml:space="preserve"> </w:t>
      </w:r>
      <w:r>
        <w:rPr>
          <w:rFonts w:ascii="Times New Roman" w:eastAsia="標楷體" w:hAnsi="Times New Roman"/>
          <w:b/>
          <w:szCs w:val="28"/>
        </w:rPr>
        <w:t>價</w:t>
      </w:r>
      <w:r>
        <w:rPr>
          <w:rFonts w:ascii="Times New Roman" w:eastAsia="標楷體" w:hAnsi="Times New Roman"/>
          <w:b/>
          <w:szCs w:val="28"/>
        </w:rPr>
        <w:t xml:space="preserve"> </w:t>
      </w:r>
      <w:r>
        <w:rPr>
          <w:rFonts w:ascii="Times New Roman" w:eastAsia="標楷體" w:hAnsi="Times New Roman"/>
          <w:b/>
          <w:szCs w:val="28"/>
        </w:rPr>
        <w:t>師：</w:t>
      </w:r>
    </w:p>
    <w:p w:rsidR="0018444C" w:rsidRDefault="0018444C">
      <w:pPr>
        <w:pStyle w:val="DefaultText"/>
        <w:spacing w:before="120" w:line="460" w:lineRule="exact"/>
        <w:ind w:left="1200"/>
        <w:rPr>
          <w:rFonts w:ascii="Times New Roman" w:eastAsia="標楷體" w:hAnsi="Times New Roman"/>
          <w:szCs w:val="28"/>
          <w:u w:val="single"/>
        </w:rPr>
      </w:pPr>
    </w:p>
    <w:p w:rsidR="0018444C" w:rsidRDefault="00980E38">
      <w:pPr>
        <w:pStyle w:val="DefaultText"/>
        <w:spacing w:before="120" w:line="460" w:lineRule="exact"/>
        <w:ind w:left="1200"/>
        <w:jc w:val="right"/>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簽名或蓋章</w:t>
      </w:r>
      <w:r>
        <w:rPr>
          <w:rFonts w:ascii="Times New Roman" w:eastAsia="標楷體" w:hAnsi="Times New Roman"/>
          <w:szCs w:val="28"/>
        </w:rPr>
        <w:t>)</w:t>
      </w:r>
    </w:p>
    <w:p w:rsidR="0018444C" w:rsidRDefault="00980E38">
      <w:pPr>
        <w:pStyle w:val="DefaultText"/>
        <w:spacing w:before="240" w:after="40" w:line="440" w:lineRule="exact"/>
        <w:ind w:left="1100" w:hanging="106"/>
      </w:pPr>
      <w:r>
        <w:rPr>
          <w:rFonts w:ascii="Times New Roman" w:eastAsia="標楷體" w:hAnsi="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2499356</wp:posOffset>
                </wp:positionH>
                <wp:positionV relativeFrom="paragraph">
                  <wp:posOffset>27944</wp:posOffset>
                </wp:positionV>
                <wp:extent cx="2795906" cy="0"/>
                <wp:effectExtent l="0" t="0" r="0" b="0"/>
                <wp:wrapNone/>
                <wp:docPr id="2" name="Line 242"/>
                <wp:cNvGraphicFramePr/>
                <a:graphic xmlns:a="http://schemas.openxmlformats.org/drawingml/2006/main">
                  <a:graphicData uri="http://schemas.microsoft.com/office/word/2010/wordprocessingShape">
                    <wps:wsp>
                      <wps:cNvSpPr/>
                      <wps:spPr>
                        <a:xfrm flipV="1">
                          <a:off x="0" y="0"/>
                          <a:ext cx="2795906" cy="0"/>
                        </a:xfrm>
                        <a:custGeom>
                          <a:avLst/>
                          <a:gdLst>
                            <a:gd name="f0" fmla="val 10800000"/>
                            <a:gd name="f1" fmla="val 5400000"/>
                            <a:gd name="f2" fmla="val 180"/>
                            <a:gd name="f3" fmla="val w"/>
                            <a:gd name="f4" fmla="val h"/>
                            <a:gd name="f5" fmla="val 0"/>
                            <a:gd name="f6" fmla="val 2795906"/>
                            <a:gd name="f7" fmla="val 630"/>
                            <a:gd name="f8" fmla="+- 0 0 -360"/>
                            <a:gd name="f9" fmla="+- 0 0 -90"/>
                            <a:gd name="f10" fmla="+- 0 0 -180"/>
                            <a:gd name="f11" fmla="+- 0 0 -270"/>
                            <a:gd name="f12" fmla="*/ f3 1 2795906"/>
                            <a:gd name="f13" fmla="*/ f4 1 630"/>
                            <a:gd name="f14" fmla="+- f7 0 f5"/>
                            <a:gd name="f15" fmla="+- f6 0 f5"/>
                            <a:gd name="f16" fmla="*/ f8 f0 1"/>
                            <a:gd name="f17" fmla="*/ f9 f0 1"/>
                            <a:gd name="f18" fmla="*/ f10 f0 1"/>
                            <a:gd name="f19" fmla="*/ f11 f0 1"/>
                            <a:gd name="f20" fmla="*/ f15 1 2795906"/>
                            <a:gd name="f21" fmla="*/ f14 1 630"/>
                            <a:gd name="f22" fmla="*/ 1397953 f15 1"/>
                            <a:gd name="f23" fmla="*/ 0 f14 1"/>
                            <a:gd name="f24" fmla="*/ 2795899 f15 1"/>
                            <a:gd name="f25" fmla="*/ 336 f14 1"/>
                            <a:gd name="f26" fmla="*/ 665 f14 1"/>
                            <a:gd name="f27" fmla="*/ 0 f15 1"/>
                            <a:gd name="f28" fmla="*/ 2795906 f15 1"/>
                            <a:gd name="f29" fmla="*/ 630 f14 1"/>
                            <a:gd name="f30" fmla="*/ f16 1 f2"/>
                            <a:gd name="f31" fmla="*/ f17 1 f2"/>
                            <a:gd name="f32" fmla="*/ f18 1 f2"/>
                            <a:gd name="f33" fmla="*/ f19 1 f2"/>
                            <a:gd name="f34" fmla="*/ f22 1 2795906"/>
                            <a:gd name="f35" fmla="*/ f23 1 630"/>
                            <a:gd name="f36" fmla="*/ f24 1 2795906"/>
                            <a:gd name="f37" fmla="*/ f25 1 630"/>
                            <a:gd name="f38" fmla="*/ f26 1 630"/>
                            <a:gd name="f39" fmla="*/ f27 1 2795906"/>
                            <a:gd name="f40" fmla="*/ f28 1 2795906"/>
                            <a:gd name="f41" fmla="*/ f29 1 630"/>
                            <a:gd name="f42" fmla="+- f30 0 f1"/>
                            <a:gd name="f43" fmla="+- f31 0 f1"/>
                            <a:gd name="f44" fmla="+- f32 0 f1"/>
                            <a:gd name="f45" fmla="+- f33 0 f1"/>
                            <a:gd name="f46" fmla="*/ f34 1 f20"/>
                            <a:gd name="f47" fmla="*/ f35 1 f21"/>
                            <a:gd name="f48" fmla="*/ f36 1 f20"/>
                            <a:gd name="f49" fmla="*/ f37 1 f21"/>
                            <a:gd name="f50" fmla="*/ f38 1 f21"/>
                            <a:gd name="f51" fmla="*/ f39 1 f20"/>
                            <a:gd name="f52" fmla="*/ f40 1 f20"/>
                            <a:gd name="f53" fmla="*/ f41 1 f21"/>
                            <a:gd name="f54" fmla="*/ f51 f12 1"/>
                            <a:gd name="f55" fmla="*/ f52 f12 1"/>
                            <a:gd name="f56" fmla="*/ f53 f13 1"/>
                            <a:gd name="f57" fmla="*/ f47 f13 1"/>
                            <a:gd name="f58" fmla="*/ f46 f12 1"/>
                            <a:gd name="f59" fmla="*/ f48 f12 1"/>
                            <a:gd name="f60" fmla="*/ f49 f13 1"/>
                            <a:gd name="f61" fmla="*/ f50 f13 1"/>
                          </a:gdLst>
                          <a:ahLst/>
                          <a:cxnLst>
                            <a:cxn ang="3cd4">
                              <a:pos x="hc" y="t"/>
                            </a:cxn>
                            <a:cxn ang="0">
                              <a:pos x="r" y="vc"/>
                            </a:cxn>
                            <a:cxn ang="cd4">
                              <a:pos x="hc" y="b"/>
                            </a:cxn>
                            <a:cxn ang="cd2">
                              <a:pos x="l" y="vc"/>
                            </a:cxn>
                            <a:cxn ang="f42">
                              <a:pos x="f58" y="f57"/>
                            </a:cxn>
                            <a:cxn ang="f43">
                              <a:pos x="f59" y="f60"/>
                            </a:cxn>
                            <a:cxn ang="f44">
                              <a:pos x="f58" y="f61"/>
                            </a:cxn>
                            <a:cxn ang="f45">
                              <a:pos x="f54" y="f60"/>
                            </a:cxn>
                            <a:cxn ang="f44">
                              <a:pos x="f54" y="f57"/>
                            </a:cxn>
                            <a:cxn ang="f42">
                              <a:pos x="f59" y="f61"/>
                            </a:cxn>
                          </a:cxnLst>
                          <a:rect l="f54" t="f57" r="f55" b="f56"/>
                          <a:pathLst>
                            <a:path w="2795906" h="630">
                              <a:moveTo>
                                <a:pt x="f5" y="f5"/>
                              </a:moveTo>
                              <a:lnTo>
                                <a:pt x="f6" y="f7"/>
                              </a:lnTo>
                            </a:path>
                          </a:pathLst>
                        </a:custGeom>
                        <a:noFill/>
                        <a:ln w="25402" cap="flat">
                          <a:solidFill>
                            <a:srgbClr val="000000"/>
                          </a:solidFill>
                          <a:prstDash val="solid"/>
                          <a:round/>
                        </a:ln>
                      </wps:spPr>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538C1" id="Line 242" o:spid="_x0000_s1026" style="position:absolute;margin-left:196.8pt;margin-top:2.2pt;width:220.15pt;height:0;flip:y;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79590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" path="m,l2795906,630e" filled="f" strokeweight=".70561mm">
                <v:path arrowok="t" o:connecttype="custom" o:connectlocs="1397953,0;2795906,1;1397953,1;0,1;1397953,0;2795899,1;1397953,1;0,1;0,0;2795899,1" o:connectangles="270,0,90,180,270,0,90,180,90,270" textboxrect="0,0,2795906,0"/>
              </v:shape>
            </w:pict>
          </mc:Fallback>
        </mc:AlternateContent>
      </w:r>
      <w:r>
        <w:rPr>
          <w:rFonts w:ascii="Times New Roman" w:eastAsia="標楷體" w:hAnsi="Times New Roman"/>
          <w:szCs w:val="28"/>
        </w:rPr>
        <w:t>不動產估價師證書字號：</w:t>
      </w:r>
    </w:p>
    <w:p w:rsidR="0018444C" w:rsidRDefault="00980E38">
      <w:pPr>
        <w:spacing w:before="40" w:after="40" w:line="440" w:lineRule="exact"/>
        <w:ind w:left="1100" w:hanging="106"/>
        <w:rPr>
          <w:rFonts w:ascii="Times New Roman" w:eastAsia="標楷體" w:hAnsi="Times New Roman"/>
          <w:sz w:val="28"/>
          <w:szCs w:val="28"/>
        </w:rPr>
      </w:pPr>
      <w:r>
        <w:rPr>
          <w:rFonts w:ascii="Times New Roman" w:eastAsia="標楷體" w:hAnsi="Times New Roman"/>
          <w:sz w:val="28"/>
          <w:szCs w:val="28"/>
        </w:rPr>
        <w:t>開業證書字號：</w:t>
      </w:r>
    </w:p>
    <w:p w:rsidR="0018444C" w:rsidRDefault="00980E38">
      <w:pPr>
        <w:spacing w:before="40" w:after="40" w:line="440" w:lineRule="exact"/>
        <w:ind w:left="1100" w:hanging="106"/>
      </w:pPr>
      <w:r>
        <w:rPr>
          <w:rFonts w:ascii="Times New Roman" w:eastAsia="標楷體" w:hAnsi="Times New Roman"/>
          <w:sz w:val="28"/>
          <w:szCs w:val="28"/>
        </w:rPr>
        <w:t>公會證書字號：</w:t>
      </w:r>
    </w:p>
    <w:p w:rsidR="0018444C" w:rsidRDefault="00980E38">
      <w:pPr>
        <w:pageBreakBefore/>
        <w:spacing w:before="40" w:after="40" w:line="440" w:lineRule="exact"/>
        <w:jc w:val="center"/>
      </w:pPr>
      <w:r>
        <w:rPr>
          <w:rFonts w:ascii="Times New Roman" w:eastAsia="標楷體" w:hAnsi="Times New Roman"/>
          <w:b/>
          <w:sz w:val="28"/>
          <w:szCs w:val="28"/>
        </w:rPr>
        <w:lastRenderedPageBreak/>
        <w:t>不動產估價報告書摘要表</w:t>
      </w:r>
    </w:p>
    <w:tbl>
      <w:tblPr>
        <w:tblW w:w="9938" w:type="dxa"/>
        <w:jc w:val="center"/>
        <w:tblCellMar>
          <w:left w:w="10" w:type="dxa"/>
          <w:right w:w="10" w:type="dxa"/>
        </w:tblCellMar>
        <w:tblLook w:val="0000" w:firstRow="0" w:lastRow="0" w:firstColumn="0" w:lastColumn="0" w:noHBand="0" w:noVBand="0"/>
      </w:tblPr>
      <w:tblGrid>
        <w:gridCol w:w="2334"/>
        <w:gridCol w:w="1083"/>
        <w:gridCol w:w="851"/>
        <w:gridCol w:w="567"/>
        <w:gridCol w:w="1134"/>
        <w:gridCol w:w="1326"/>
        <w:gridCol w:w="375"/>
        <w:gridCol w:w="2268"/>
      </w:tblGrid>
      <w:tr w:rsidR="0018444C">
        <w:trPr>
          <w:trHeight w:val="20"/>
          <w:jc w:val="center"/>
        </w:trPr>
        <w:tc>
          <w:tcPr>
            <w:tcW w:w="9938" w:type="dxa"/>
            <w:gridSpan w:val="8"/>
            <w:tcBorders>
              <w:top w:val="single" w:sz="18" w:space="0" w:color="000000"/>
              <w:left w:val="single" w:sz="18" w:space="0" w:color="000000"/>
              <w:bottom w:val="single" w:sz="6" w:space="0" w:color="000000"/>
              <w:right w:val="single" w:sz="18"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b/>
                <w:bCs/>
              </w:rPr>
            </w:pPr>
            <w:proofErr w:type="gramStart"/>
            <w:r>
              <w:rPr>
                <w:rFonts w:ascii="Times New Roman" w:eastAsia="標楷體" w:hAnsi="Times New Roman"/>
                <w:b/>
                <w:bCs/>
              </w:rPr>
              <w:t>勘估標</w:t>
            </w:r>
            <w:proofErr w:type="gramEnd"/>
            <w:r>
              <w:rPr>
                <w:rFonts w:ascii="Times New Roman" w:eastAsia="標楷體" w:hAnsi="Times New Roman"/>
                <w:b/>
                <w:bCs/>
              </w:rPr>
              <w:t>的基本資料</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所有權人</w:t>
            </w:r>
          </w:p>
        </w:tc>
        <w:tc>
          <w:tcPr>
            <w:tcW w:w="7604" w:type="dxa"/>
            <w:gridSpan w:val="7"/>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地段地號</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土地（持分）面積</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proofErr w:type="gramStart"/>
            <w:r>
              <w:rPr>
                <w:rFonts w:ascii="Times New Roman" w:eastAsia="標楷體" w:hAnsi="Times New Roman"/>
              </w:rPr>
              <w:t>㎡</w:t>
            </w:r>
            <w:proofErr w:type="gramEnd"/>
            <w:r>
              <w:rPr>
                <w:rFonts w:ascii="Times New Roman" w:eastAsia="標楷體" w:hAnsi="Times New Roman"/>
              </w:rPr>
              <w:t>（坪）</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土地使用分區</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面前道路寬度</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價格日期</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估價目的</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jc w:val="center"/>
            </w:pPr>
            <w:r>
              <w:rPr>
                <w:rFonts w:ascii="Times New Roman" w:eastAsia="標楷體" w:hAnsi="Times New Roman"/>
                <w:szCs w:val="28"/>
              </w:rPr>
              <w:t>供委託單位</w:t>
            </w:r>
            <w:proofErr w:type="gramStart"/>
            <w:r>
              <w:rPr>
                <w:rFonts w:ascii="Times New Roman" w:eastAsia="標楷體" w:hAnsi="Times New Roman"/>
                <w:szCs w:val="28"/>
              </w:rPr>
              <w:t>計算容移代金</w:t>
            </w:r>
            <w:proofErr w:type="gramEnd"/>
            <w:r>
              <w:rPr>
                <w:rFonts w:ascii="Times New Roman" w:eastAsia="標楷體" w:hAnsi="Times New Roman"/>
                <w:szCs w:val="28"/>
              </w:rPr>
              <w:t>參考</w:t>
            </w:r>
          </w:p>
        </w:tc>
      </w:tr>
      <w:tr w:rsidR="0018444C">
        <w:trPr>
          <w:trHeight w:val="20"/>
          <w:jc w:val="center"/>
        </w:trPr>
        <w:tc>
          <w:tcPr>
            <w:tcW w:w="9938" w:type="dxa"/>
            <w:gridSpan w:val="8"/>
            <w:tcBorders>
              <w:top w:val="single" w:sz="6" w:space="0" w:color="000000"/>
              <w:left w:val="single" w:sz="18" w:space="0" w:color="000000"/>
              <w:bottom w:val="single" w:sz="6" w:space="0" w:color="000000"/>
              <w:right w:val="single" w:sz="18"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b/>
                <w:bCs/>
              </w:rPr>
            </w:pPr>
            <w:r>
              <w:rPr>
                <w:rFonts w:ascii="Times New Roman" w:eastAsia="標楷體" w:hAnsi="Times New Roman"/>
                <w:b/>
                <w:bCs/>
              </w:rPr>
              <w:t>土地開發條件</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法定建蔽率</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proofErr w:type="gramStart"/>
            <w:r>
              <w:rPr>
                <w:rFonts w:ascii="Times New Roman" w:eastAsia="標楷體" w:hAnsi="Times New Roman"/>
              </w:rPr>
              <w:t>實設建</w:t>
            </w:r>
            <w:proofErr w:type="gramEnd"/>
            <w:r>
              <w:rPr>
                <w:rFonts w:ascii="Times New Roman" w:eastAsia="標楷體" w:hAnsi="Times New Roman"/>
              </w:rPr>
              <w:t>蔽率</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法定容積率</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proofErr w:type="gramStart"/>
            <w:r>
              <w:rPr>
                <w:rFonts w:ascii="Times New Roman" w:eastAsia="標楷體" w:hAnsi="Times New Roman"/>
              </w:rPr>
              <w:t>實設容積率</w:t>
            </w:r>
            <w:proofErr w:type="gramEnd"/>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移入樓地板面積</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其他獎勵樓地板面積</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jc w:val="center"/>
        </w:trPr>
        <w:tc>
          <w:tcPr>
            <w:tcW w:w="9938" w:type="dxa"/>
            <w:gridSpan w:val="8"/>
            <w:tcBorders>
              <w:top w:val="single" w:sz="6" w:space="0" w:color="000000"/>
              <w:left w:val="single" w:sz="18" w:space="0" w:color="000000"/>
              <w:bottom w:val="single" w:sz="6" w:space="0" w:color="000000"/>
              <w:right w:val="single" w:sz="18"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b/>
                <w:bCs/>
              </w:rPr>
            </w:pPr>
            <w:r>
              <w:rPr>
                <w:rFonts w:ascii="Times New Roman" w:eastAsia="標楷體" w:hAnsi="Times New Roman"/>
                <w:b/>
                <w:bCs/>
              </w:rPr>
              <w:t>容積移入後開發規劃</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興建地上樓層</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興建地下樓層</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每坪營造施工費</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不</w:t>
            </w:r>
            <w:proofErr w:type="gramStart"/>
            <w:r>
              <w:rPr>
                <w:rFonts w:ascii="Times New Roman" w:eastAsia="標楷體" w:hAnsi="Times New Roman"/>
              </w:rPr>
              <w:t>含車位銷坪</w:t>
            </w:r>
            <w:proofErr w:type="gramEnd"/>
            <w:r>
              <w:rPr>
                <w:rFonts w:ascii="Times New Roman" w:eastAsia="標楷體" w:hAnsi="Times New Roman"/>
              </w:rPr>
              <w:t>與容積坪比值</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全棟店面可銷售面積</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坪</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店面平均銷售單價</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坪</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全棟夾層可銷售面積</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坪</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夾層平均銷售單價</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坪</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全棟住宅可銷售面積</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坪</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住宅平均銷售單價</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坪</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proofErr w:type="gramStart"/>
            <w:r>
              <w:rPr>
                <w:rFonts w:ascii="Times New Roman" w:eastAsia="標楷體" w:hAnsi="Times New Roman"/>
              </w:rPr>
              <w:t>全棟可銷售</w:t>
            </w:r>
            <w:proofErr w:type="gramEnd"/>
            <w:r>
              <w:rPr>
                <w:rFonts w:ascii="Times New Roman" w:eastAsia="標楷體" w:hAnsi="Times New Roman"/>
              </w:rPr>
              <w:t>車位數</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proofErr w:type="gramStart"/>
            <w:r>
              <w:rPr>
                <w:rFonts w:ascii="Times New Roman" w:eastAsia="標楷體" w:hAnsi="Times New Roman"/>
              </w:rPr>
              <w:t>個</w:t>
            </w:r>
            <w:proofErr w:type="gramEnd"/>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車位平均銷售單價</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proofErr w:type="gramStart"/>
            <w:r>
              <w:rPr>
                <w:rFonts w:ascii="Times New Roman" w:eastAsia="標楷體" w:hAnsi="Times New Roman"/>
              </w:rPr>
              <w:t>個</w:t>
            </w:r>
            <w:proofErr w:type="gramEnd"/>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土地開發年數</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年</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利潤率</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w:t>
            </w:r>
          </w:p>
        </w:tc>
      </w:tr>
      <w:tr w:rsidR="0018444C">
        <w:trPr>
          <w:trHeight w:val="20"/>
          <w:jc w:val="center"/>
        </w:trPr>
        <w:tc>
          <w:tcPr>
            <w:tcW w:w="9938" w:type="dxa"/>
            <w:gridSpan w:val="8"/>
            <w:tcBorders>
              <w:top w:val="single" w:sz="6" w:space="0" w:color="000000"/>
              <w:left w:val="single" w:sz="18" w:space="0" w:color="000000"/>
              <w:bottom w:val="single" w:sz="6" w:space="0" w:color="000000"/>
              <w:right w:val="single" w:sz="18"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b/>
                <w:bCs/>
              </w:rPr>
            </w:pPr>
            <w:r>
              <w:rPr>
                <w:rFonts w:ascii="Times New Roman" w:eastAsia="標楷體" w:hAnsi="Times New Roman"/>
                <w:b/>
                <w:bCs/>
              </w:rPr>
              <w:t>容積移入前開發規劃</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興建地上樓層</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興建地下樓層</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每坪營造施工費</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不</w:t>
            </w:r>
            <w:proofErr w:type="gramStart"/>
            <w:r>
              <w:rPr>
                <w:rFonts w:ascii="Times New Roman" w:eastAsia="標楷體" w:hAnsi="Times New Roman"/>
              </w:rPr>
              <w:t>含車位銷坪</w:t>
            </w:r>
            <w:proofErr w:type="gramEnd"/>
            <w:r>
              <w:rPr>
                <w:rFonts w:ascii="Times New Roman" w:eastAsia="標楷體" w:hAnsi="Times New Roman"/>
              </w:rPr>
              <w:t>與容積坪比值</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全棟店面可銷售面積</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坪</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店面平均銷售單價</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坪</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全棟夾層可銷售面積</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坪</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夾層平均銷售單價</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坪</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全棟住宅可銷售面積</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坪</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住宅平均銷售單價</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坪</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proofErr w:type="gramStart"/>
            <w:r>
              <w:rPr>
                <w:rFonts w:ascii="Times New Roman" w:eastAsia="標楷體" w:hAnsi="Times New Roman"/>
              </w:rPr>
              <w:t>全棟可銷售</w:t>
            </w:r>
            <w:proofErr w:type="gramEnd"/>
            <w:r>
              <w:rPr>
                <w:rFonts w:ascii="Times New Roman" w:eastAsia="標楷體" w:hAnsi="Times New Roman"/>
              </w:rPr>
              <w:t>車位數</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proofErr w:type="gramStart"/>
            <w:r>
              <w:rPr>
                <w:rFonts w:ascii="Times New Roman" w:eastAsia="標楷體" w:hAnsi="Times New Roman"/>
              </w:rPr>
              <w:t>個</w:t>
            </w:r>
            <w:proofErr w:type="gramEnd"/>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車位平均銷售單價</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proofErr w:type="gramStart"/>
            <w:r>
              <w:rPr>
                <w:rFonts w:ascii="Times New Roman" w:eastAsia="標楷體" w:hAnsi="Times New Roman"/>
              </w:rPr>
              <w:t>個</w:t>
            </w:r>
            <w:proofErr w:type="gramEnd"/>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土地開發年數</w:t>
            </w:r>
          </w:p>
        </w:tc>
        <w:tc>
          <w:tcPr>
            <w:tcW w:w="1934"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年</w:t>
            </w:r>
          </w:p>
        </w:tc>
        <w:tc>
          <w:tcPr>
            <w:tcW w:w="3027" w:type="dxa"/>
            <w:gridSpan w:val="3"/>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利潤率</w:t>
            </w:r>
          </w:p>
        </w:tc>
        <w:tc>
          <w:tcPr>
            <w:tcW w:w="2643" w:type="dxa"/>
            <w:gridSpan w:val="2"/>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w:t>
            </w:r>
          </w:p>
        </w:tc>
      </w:tr>
      <w:tr w:rsidR="0018444C">
        <w:trPr>
          <w:trHeight w:val="20"/>
          <w:jc w:val="center"/>
        </w:trPr>
        <w:tc>
          <w:tcPr>
            <w:tcW w:w="9938" w:type="dxa"/>
            <w:gridSpan w:val="8"/>
            <w:tcBorders>
              <w:top w:val="single" w:sz="6" w:space="0" w:color="000000"/>
              <w:left w:val="single" w:sz="18" w:space="0" w:color="000000"/>
              <w:bottom w:val="single" w:sz="6" w:space="0" w:color="000000"/>
              <w:right w:val="single" w:sz="18"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b/>
                <w:bCs/>
              </w:rPr>
            </w:pPr>
            <w:r>
              <w:rPr>
                <w:rFonts w:ascii="Times New Roman" w:eastAsia="標楷體" w:hAnsi="Times New Roman"/>
                <w:b/>
                <w:bCs/>
              </w:rPr>
              <w:t>評估結果說明</w:t>
            </w:r>
          </w:p>
        </w:tc>
      </w:tr>
      <w:tr w:rsidR="0018444C">
        <w:trPr>
          <w:trHeight w:val="195"/>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b/>
                <w:bCs/>
              </w:rPr>
            </w:pPr>
            <w:r>
              <w:rPr>
                <w:rFonts w:ascii="Times New Roman" w:eastAsia="標楷體" w:hAnsi="Times New Roman"/>
                <w:b/>
                <w:bCs/>
              </w:rPr>
              <w:t>評估項目</w:t>
            </w:r>
          </w:p>
        </w:tc>
        <w:tc>
          <w:tcPr>
            <w:tcW w:w="1083" w:type="dxa"/>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b/>
                <w:bCs/>
              </w:rPr>
            </w:pPr>
            <w:r>
              <w:rPr>
                <w:rFonts w:ascii="Times New Roman" w:eastAsia="標楷體" w:hAnsi="Times New Roman"/>
                <w:b/>
                <w:bCs/>
              </w:rPr>
              <w:t>估價方法</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b/>
                <w:bCs/>
              </w:rPr>
            </w:pPr>
            <w:r>
              <w:rPr>
                <w:rFonts w:ascii="Times New Roman" w:eastAsia="標楷體" w:hAnsi="Times New Roman"/>
                <w:b/>
                <w:bCs/>
              </w:rPr>
              <w:t>單價</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8444C" w:rsidRDefault="00980E38">
            <w:pPr>
              <w:jc w:val="center"/>
              <w:rPr>
                <w:rFonts w:ascii="Times New Roman" w:eastAsia="標楷體" w:hAnsi="Times New Roman"/>
                <w:b/>
                <w:bCs/>
              </w:rPr>
            </w:pPr>
            <w:r>
              <w:rPr>
                <w:rFonts w:ascii="Times New Roman" w:eastAsia="標楷體" w:hAnsi="Times New Roman"/>
                <w:b/>
                <w:bCs/>
              </w:rPr>
              <w:t>權重（％）</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b/>
                <w:bCs/>
              </w:rPr>
            </w:pPr>
            <w:r>
              <w:rPr>
                <w:rFonts w:ascii="Times New Roman" w:eastAsia="標楷體" w:hAnsi="Times New Roman"/>
                <w:b/>
                <w:bCs/>
              </w:rPr>
              <w:t>評估單價</w:t>
            </w:r>
          </w:p>
        </w:tc>
        <w:tc>
          <w:tcPr>
            <w:tcW w:w="2268" w:type="dxa"/>
            <w:tcBorders>
              <w:top w:val="single" w:sz="6" w:space="0" w:color="000000"/>
              <w:left w:val="single" w:sz="6" w:space="0" w:color="000000"/>
              <w:bottom w:val="single" w:sz="6" w:space="0" w:color="000000"/>
              <w:right w:val="single" w:sz="18"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b/>
                <w:bCs/>
              </w:rPr>
            </w:pPr>
            <w:r>
              <w:rPr>
                <w:rFonts w:ascii="Times New Roman" w:eastAsia="標楷體" w:hAnsi="Times New Roman"/>
                <w:b/>
                <w:bCs/>
              </w:rPr>
              <w:t>評估總價</w:t>
            </w:r>
          </w:p>
        </w:tc>
      </w:tr>
      <w:tr w:rsidR="0018444C">
        <w:trPr>
          <w:trHeight w:val="409"/>
          <w:jc w:val="center"/>
        </w:trPr>
        <w:tc>
          <w:tcPr>
            <w:tcW w:w="2334" w:type="dxa"/>
            <w:vMerge w:val="restart"/>
            <w:tcBorders>
              <w:top w:val="single" w:sz="6" w:space="0" w:color="000000"/>
              <w:left w:val="single" w:sz="18"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8444C" w:rsidRDefault="00980E38">
            <w:pPr>
              <w:rPr>
                <w:rFonts w:ascii="Times New Roman" w:eastAsia="標楷體" w:hAnsi="Times New Roman"/>
                <w:b/>
                <w:bCs/>
              </w:rPr>
            </w:pPr>
            <w:r>
              <w:rPr>
                <w:rFonts w:ascii="Times New Roman" w:eastAsia="標楷體" w:hAnsi="Times New Roman"/>
                <w:b/>
                <w:bCs/>
              </w:rPr>
              <w:t>含容積移入之基地價格</w:t>
            </w:r>
          </w:p>
        </w:tc>
        <w:tc>
          <w:tcPr>
            <w:tcW w:w="108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法</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 xml:space="preserve">坪　</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 xml:space="preserve">　</w:t>
            </w:r>
          </w:p>
        </w:tc>
        <w:tc>
          <w:tcPr>
            <w:tcW w:w="170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坪</w:t>
            </w:r>
          </w:p>
          <w:p w:rsidR="0018444C" w:rsidRDefault="0018444C">
            <w:pPr>
              <w:jc w:val="right"/>
              <w:rPr>
                <w:rFonts w:ascii="Times New Roman" w:eastAsia="標楷體" w:hAnsi="Times New Roman"/>
              </w:rPr>
            </w:pPr>
          </w:p>
        </w:tc>
        <w:tc>
          <w:tcPr>
            <w:tcW w:w="2268" w:type="dxa"/>
            <w:vMerge w:val="restart"/>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 xml:space="preserve">元　</w:t>
            </w:r>
          </w:p>
        </w:tc>
      </w:tr>
      <w:tr w:rsidR="0018444C">
        <w:trPr>
          <w:trHeight w:val="20"/>
          <w:jc w:val="center"/>
        </w:trPr>
        <w:tc>
          <w:tcPr>
            <w:tcW w:w="2334" w:type="dxa"/>
            <w:vMerge/>
            <w:tcBorders>
              <w:top w:val="single" w:sz="6" w:space="0" w:color="000000"/>
              <w:left w:val="single" w:sz="18"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8444C" w:rsidRDefault="0018444C">
            <w:pPr>
              <w:rPr>
                <w:rFonts w:ascii="Times New Roman" w:eastAsia="標楷體" w:hAnsi="Times New Roman"/>
                <w:b/>
                <w:bCs/>
              </w:rPr>
            </w:pPr>
          </w:p>
        </w:tc>
        <w:tc>
          <w:tcPr>
            <w:tcW w:w="108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法</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 xml:space="preserve">坪　</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 xml:space="preserve">　</w:t>
            </w:r>
          </w:p>
        </w:tc>
        <w:tc>
          <w:tcPr>
            <w:tcW w:w="1701" w:type="dxa"/>
            <w:gridSpan w:val="2"/>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right"/>
              <w:rPr>
                <w:rFonts w:ascii="Times New Roman" w:eastAsia="標楷體" w:hAnsi="Times New Roman"/>
              </w:rPr>
            </w:pPr>
          </w:p>
        </w:tc>
        <w:tc>
          <w:tcPr>
            <w:tcW w:w="2268" w:type="dxa"/>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r>
      <w:tr w:rsidR="0018444C">
        <w:trPr>
          <w:trHeight w:val="20"/>
          <w:jc w:val="center"/>
        </w:trPr>
        <w:tc>
          <w:tcPr>
            <w:tcW w:w="2334" w:type="dxa"/>
            <w:vMerge w:val="restart"/>
            <w:tcBorders>
              <w:top w:val="single" w:sz="6" w:space="0" w:color="000000"/>
              <w:left w:val="single" w:sz="18"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8444C" w:rsidRDefault="00980E38">
            <w:pPr>
              <w:rPr>
                <w:rFonts w:ascii="Times New Roman" w:eastAsia="標楷體" w:hAnsi="Times New Roman"/>
                <w:b/>
                <w:bCs/>
              </w:rPr>
            </w:pPr>
            <w:r>
              <w:rPr>
                <w:rFonts w:ascii="Times New Roman" w:eastAsia="標楷體" w:hAnsi="Times New Roman"/>
                <w:b/>
                <w:bCs/>
              </w:rPr>
              <w:t>未含容積移入之基地價格</w:t>
            </w:r>
          </w:p>
        </w:tc>
        <w:tc>
          <w:tcPr>
            <w:tcW w:w="108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法</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 xml:space="preserve">坪　</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 xml:space="preserve">　</w:t>
            </w:r>
          </w:p>
        </w:tc>
        <w:tc>
          <w:tcPr>
            <w:tcW w:w="170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坪</w:t>
            </w:r>
          </w:p>
          <w:p w:rsidR="0018444C" w:rsidRDefault="0018444C">
            <w:pPr>
              <w:jc w:val="right"/>
              <w:rPr>
                <w:rFonts w:ascii="Times New Roman" w:eastAsia="標楷體" w:hAnsi="Times New Roman"/>
              </w:rPr>
            </w:pPr>
          </w:p>
        </w:tc>
        <w:tc>
          <w:tcPr>
            <w:tcW w:w="2268" w:type="dxa"/>
            <w:vMerge w:val="restart"/>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 xml:space="preserve">元　</w:t>
            </w:r>
          </w:p>
        </w:tc>
      </w:tr>
      <w:tr w:rsidR="0018444C">
        <w:trPr>
          <w:trHeight w:val="20"/>
          <w:jc w:val="center"/>
        </w:trPr>
        <w:tc>
          <w:tcPr>
            <w:tcW w:w="2334" w:type="dxa"/>
            <w:vMerge/>
            <w:tcBorders>
              <w:top w:val="single" w:sz="6" w:space="0" w:color="000000"/>
              <w:left w:val="single" w:sz="18"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8444C" w:rsidRDefault="0018444C">
            <w:pPr>
              <w:rPr>
                <w:rFonts w:ascii="Times New Roman" w:eastAsia="標楷體" w:hAnsi="Times New Roman"/>
                <w:b/>
                <w:bCs/>
              </w:rPr>
            </w:pPr>
          </w:p>
        </w:tc>
        <w:tc>
          <w:tcPr>
            <w:tcW w:w="108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法</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r>
              <w:rPr>
                <w:rFonts w:ascii="Times New Roman" w:eastAsia="標楷體" w:hAnsi="Times New Roman"/>
              </w:rPr>
              <w:t>/</w:t>
            </w:r>
            <w:r>
              <w:rPr>
                <w:rFonts w:ascii="Times New Roman" w:eastAsia="標楷體" w:hAnsi="Times New Roman"/>
              </w:rPr>
              <w:t xml:space="preserve">坪　</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 xml:space="preserve">　</w:t>
            </w:r>
          </w:p>
        </w:tc>
        <w:tc>
          <w:tcPr>
            <w:tcW w:w="1701" w:type="dxa"/>
            <w:gridSpan w:val="2"/>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right"/>
              <w:rPr>
                <w:rFonts w:ascii="Times New Roman" w:eastAsia="標楷體" w:hAnsi="Times New Roman"/>
              </w:rPr>
            </w:pPr>
          </w:p>
        </w:tc>
        <w:tc>
          <w:tcPr>
            <w:tcW w:w="2268" w:type="dxa"/>
            <w:vMerge/>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8444C" w:rsidRDefault="00980E38">
            <w:pPr>
              <w:jc w:val="center"/>
              <w:rPr>
                <w:rFonts w:ascii="Times New Roman" w:eastAsia="標楷體" w:hAnsi="Times New Roman"/>
                <w:b/>
                <w:bCs/>
              </w:rPr>
            </w:pPr>
            <w:r>
              <w:rPr>
                <w:rFonts w:ascii="Times New Roman" w:eastAsia="標楷體" w:hAnsi="Times New Roman"/>
                <w:b/>
                <w:bCs/>
              </w:rPr>
              <w:t>容積代金價格</w:t>
            </w:r>
          </w:p>
        </w:tc>
        <w:tc>
          <w:tcPr>
            <w:tcW w:w="7604" w:type="dxa"/>
            <w:gridSpan w:val="7"/>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jc w:val="right"/>
              <w:rPr>
                <w:rFonts w:ascii="Times New Roman" w:eastAsia="標楷體" w:hAnsi="Times New Roman"/>
              </w:rPr>
            </w:pPr>
            <w:r>
              <w:rPr>
                <w:rFonts w:ascii="Times New Roman" w:eastAsia="標楷體" w:hAnsi="Times New Roman"/>
              </w:rPr>
              <w:t>元</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8444C" w:rsidRDefault="00980E38">
            <w:pPr>
              <w:jc w:val="center"/>
              <w:rPr>
                <w:rFonts w:ascii="Times New Roman" w:eastAsia="標楷體" w:hAnsi="Times New Roman"/>
                <w:kern w:val="0"/>
                <w:szCs w:val="24"/>
              </w:rPr>
            </w:pPr>
            <w:r>
              <w:rPr>
                <w:rFonts w:ascii="Times New Roman" w:eastAsia="標楷體" w:hAnsi="Times New Roman"/>
                <w:kern w:val="0"/>
                <w:szCs w:val="24"/>
              </w:rPr>
              <w:t>容積代金與市價比例關係</w:t>
            </w:r>
          </w:p>
        </w:tc>
        <w:tc>
          <w:tcPr>
            <w:tcW w:w="7604" w:type="dxa"/>
            <w:gridSpan w:val="7"/>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r>
              <w:rPr>
                <w:rFonts w:ascii="Times New Roman" w:eastAsia="標楷體" w:hAnsi="Times New Roman"/>
                <w:kern w:val="0"/>
                <w:szCs w:val="24"/>
              </w:rPr>
              <w:t>備註：容積代金容積單價</w:t>
            </w:r>
            <w:r>
              <w:rPr>
                <w:rFonts w:ascii="Times New Roman" w:eastAsia="標楷體" w:hAnsi="Times New Roman"/>
                <w:kern w:val="0"/>
                <w:szCs w:val="24"/>
              </w:rPr>
              <w:t>/</w:t>
            </w:r>
            <w:r>
              <w:rPr>
                <w:rFonts w:ascii="Times New Roman" w:eastAsia="標楷體" w:hAnsi="Times New Roman"/>
                <w:kern w:val="0"/>
                <w:szCs w:val="24"/>
              </w:rPr>
              <w:t>容積移入後基地價格容積單價</w:t>
            </w:r>
          </w:p>
        </w:tc>
      </w:tr>
      <w:tr w:rsidR="0018444C">
        <w:trPr>
          <w:trHeight w:val="20"/>
          <w:jc w:val="center"/>
        </w:trPr>
        <w:tc>
          <w:tcPr>
            <w:tcW w:w="2334" w:type="dxa"/>
            <w:tcBorders>
              <w:top w:val="single" w:sz="6" w:space="0" w:color="000000"/>
              <w:left w:val="single" w:sz="18"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8444C" w:rsidRDefault="00980E38">
            <w:pPr>
              <w:jc w:val="center"/>
              <w:rPr>
                <w:rFonts w:ascii="Times New Roman" w:eastAsia="標楷體" w:hAnsi="Times New Roman"/>
                <w:kern w:val="0"/>
                <w:szCs w:val="24"/>
              </w:rPr>
            </w:pPr>
            <w:r>
              <w:rPr>
                <w:rFonts w:ascii="Times New Roman" w:eastAsia="標楷體" w:hAnsi="Times New Roman"/>
                <w:kern w:val="0"/>
                <w:szCs w:val="24"/>
              </w:rPr>
              <w:t>容積代金與市價比例關係</w:t>
            </w:r>
          </w:p>
        </w:tc>
        <w:tc>
          <w:tcPr>
            <w:tcW w:w="7604" w:type="dxa"/>
            <w:gridSpan w:val="7"/>
            <w:tcBorders>
              <w:top w:val="single" w:sz="6" w:space="0" w:color="000000"/>
              <w:left w:val="single" w:sz="6" w:space="0" w:color="000000"/>
              <w:bottom w:val="single" w:sz="6"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kern w:val="0"/>
                <w:szCs w:val="24"/>
              </w:rPr>
            </w:pPr>
            <w:r>
              <w:rPr>
                <w:rFonts w:ascii="Times New Roman" w:eastAsia="標楷體" w:hAnsi="Times New Roman"/>
                <w:kern w:val="0"/>
                <w:szCs w:val="24"/>
              </w:rPr>
              <w:t>備註：容積代金容積單價</w:t>
            </w:r>
            <w:r>
              <w:rPr>
                <w:rFonts w:ascii="Times New Roman" w:eastAsia="標楷體" w:hAnsi="Times New Roman"/>
                <w:kern w:val="0"/>
                <w:szCs w:val="24"/>
              </w:rPr>
              <w:t>/</w:t>
            </w:r>
            <w:r>
              <w:rPr>
                <w:rFonts w:ascii="Times New Roman" w:eastAsia="標楷體" w:hAnsi="Times New Roman"/>
                <w:kern w:val="0"/>
                <w:szCs w:val="24"/>
              </w:rPr>
              <w:t>容積移入後二樓以上平均單價</w:t>
            </w:r>
          </w:p>
        </w:tc>
      </w:tr>
      <w:tr w:rsidR="0018444C">
        <w:trPr>
          <w:trHeight w:val="20"/>
          <w:jc w:val="center"/>
        </w:trPr>
        <w:tc>
          <w:tcPr>
            <w:tcW w:w="9938" w:type="dxa"/>
            <w:gridSpan w:val="8"/>
            <w:tcBorders>
              <w:top w:val="single" w:sz="6" w:space="0" w:color="000000"/>
              <w:left w:val="single" w:sz="18" w:space="0" w:color="000000"/>
              <w:bottom w:val="single" w:sz="6" w:space="0" w:color="000000"/>
              <w:right w:val="single" w:sz="18" w:space="0" w:color="000000"/>
            </w:tcBorders>
            <w:shd w:val="clear" w:color="auto" w:fill="D9D9D9"/>
            <w:noWrap/>
            <w:tcMar>
              <w:top w:w="0" w:type="dxa"/>
              <w:left w:w="28" w:type="dxa"/>
              <w:bottom w:w="0" w:type="dxa"/>
              <w:right w:w="28" w:type="dxa"/>
            </w:tcMar>
            <w:vAlign w:val="center"/>
          </w:tcPr>
          <w:p w:rsidR="0018444C" w:rsidRDefault="00980E38">
            <w:pPr>
              <w:jc w:val="center"/>
              <w:rPr>
                <w:rFonts w:ascii="Times New Roman" w:eastAsia="標楷體" w:hAnsi="Times New Roman"/>
                <w:b/>
                <w:bCs/>
              </w:rPr>
            </w:pPr>
            <w:r>
              <w:rPr>
                <w:rFonts w:ascii="Times New Roman" w:eastAsia="標楷體" w:hAnsi="Times New Roman"/>
                <w:b/>
                <w:bCs/>
              </w:rPr>
              <w:t>最後價格決定之理由及相關法令之限制或其他事項說明</w:t>
            </w:r>
          </w:p>
        </w:tc>
      </w:tr>
      <w:tr w:rsidR="0018444C">
        <w:trPr>
          <w:trHeight w:val="496"/>
          <w:jc w:val="center"/>
        </w:trPr>
        <w:tc>
          <w:tcPr>
            <w:tcW w:w="9938" w:type="dxa"/>
            <w:gridSpan w:val="8"/>
            <w:tcBorders>
              <w:top w:val="single" w:sz="6" w:space="0" w:color="000000"/>
              <w:left w:val="single" w:sz="18" w:space="0" w:color="000000"/>
              <w:bottom w:val="single" w:sz="18" w:space="0" w:color="000000"/>
              <w:right w:val="single" w:sz="18"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bl>
    <w:p w:rsidR="0018444C" w:rsidRDefault="00980E38">
      <w:pPr>
        <w:pageBreakBefore/>
        <w:spacing w:before="40" w:after="40" w:line="440" w:lineRule="exact"/>
        <w:ind w:left="142" w:hanging="106"/>
        <w:jc w:val="center"/>
      </w:pPr>
      <w:r>
        <w:rPr>
          <w:rFonts w:ascii="Times New Roman" w:eastAsia="標楷體" w:hAnsi="Times New Roman"/>
          <w:b/>
          <w:sz w:val="44"/>
          <w:szCs w:val="44"/>
          <w:lang w:val="zh-TW"/>
        </w:rPr>
        <w:lastRenderedPageBreak/>
        <w:t>目</w:t>
      </w:r>
      <w:r>
        <w:rPr>
          <w:rFonts w:ascii="Times New Roman" w:eastAsia="標楷體" w:hAnsi="Times New Roman"/>
          <w:b/>
          <w:sz w:val="44"/>
          <w:szCs w:val="44"/>
          <w:lang w:val="zh-TW"/>
        </w:rPr>
        <w:t xml:space="preserve">         </w:t>
      </w:r>
      <w:r>
        <w:rPr>
          <w:rFonts w:ascii="Times New Roman" w:eastAsia="標楷體" w:hAnsi="Times New Roman"/>
          <w:b/>
          <w:sz w:val="44"/>
          <w:szCs w:val="44"/>
          <w:lang w:val="zh-TW"/>
        </w:rPr>
        <w:t>錄</w:t>
      </w:r>
    </w:p>
    <w:p w:rsidR="0018444C" w:rsidRDefault="00980E38">
      <w:pPr>
        <w:pStyle w:val="1b"/>
        <w:tabs>
          <w:tab w:val="right" w:leader="dot" w:pos="850"/>
        </w:tabs>
        <w:spacing w:line="240" w:lineRule="auto"/>
      </w:pPr>
      <w:r>
        <w:rPr>
          <w:rFonts w:ascii="Calibri" w:eastAsia="新細明體" w:hAnsi="Calibri" w:cs="Times New Roman"/>
          <w:kern w:val="3"/>
          <w:sz w:val="24"/>
          <w:szCs w:val="22"/>
        </w:rPr>
        <w:fldChar w:fldCharType="begin"/>
      </w:r>
      <w:r>
        <w:instrText xml:space="preserve"> TOC \o "1-3" \u \h </w:instrText>
      </w:r>
      <w:r>
        <w:rPr>
          <w:rFonts w:ascii="Calibri" w:eastAsia="新細明體" w:hAnsi="Calibri" w:cs="Times New Roman"/>
          <w:kern w:val="3"/>
          <w:sz w:val="24"/>
          <w:szCs w:val="22"/>
        </w:rPr>
        <w:fldChar w:fldCharType="separate"/>
      </w:r>
    </w:p>
    <w:p w:rsidR="0018444C" w:rsidRDefault="000D353C">
      <w:pPr>
        <w:pStyle w:val="23"/>
        <w:spacing w:line="240" w:lineRule="auto"/>
      </w:pPr>
      <w:hyperlink w:anchor="_Toc488163336" w:history="1">
        <w:r w:rsidR="00980E38">
          <w:rPr>
            <w:rStyle w:val="aff3"/>
            <w:rFonts w:ascii="Times New Roman" w:hAnsi="Times New Roman"/>
          </w:rPr>
          <w:t>容積移轉折繳代金估價報告書範本與作業須知</w:t>
        </w:r>
        <w:r w:rsidR="00980E38">
          <w:rPr>
            <w:rFonts w:ascii="Times New Roman" w:hAnsi="Times New Roman"/>
          </w:rPr>
          <w:tab/>
          <w:t>1</w:t>
        </w:r>
      </w:hyperlink>
    </w:p>
    <w:p w:rsidR="0018444C" w:rsidRDefault="000D353C">
      <w:pPr>
        <w:pStyle w:val="1b"/>
        <w:tabs>
          <w:tab w:val="right" w:leader="dot" w:pos="850"/>
        </w:tabs>
        <w:spacing w:line="240" w:lineRule="auto"/>
      </w:pPr>
      <w:hyperlink w:anchor="_Toc488163337" w:history="1">
        <w:r w:rsidR="00980E38">
          <w:rPr>
            <w:rStyle w:val="aff3"/>
            <w:rFonts w:ascii="Times New Roman" w:hAnsi="Times New Roman" w:cs="Times New Roman"/>
          </w:rPr>
          <w:t>估價報告內容摘要</w:t>
        </w:r>
        <w:r w:rsidR="00980E38">
          <w:rPr>
            <w:rFonts w:ascii="Times New Roman" w:hAnsi="Times New Roman" w:cs="Times New Roman"/>
          </w:rPr>
          <w:tab/>
          <w:t>3</w:t>
        </w:r>
      </w:hyperlink>
    </w:p>
    <w:p w:rsidR="0018444C" w:rsidRDefault="000D353C">
      <w:pPr>
        <w:pStyle w:val="1b"/>
        <w:tabs>
          <w:tab w:val="right" w:leader="dot" w:pos="850"/>
        </w:tabs>
        <w:spacing w:line="240" w:lineRule="auto"/>
        <w:ind w:left="240"/>
      </w:pPr>
      <w:hyperlink w:anchor="_Toc488163338" w:history="1">
        <w:r w:rsidR="00980E38">
          <w:rPr>
            <w:rStyle w:val="aff3"/>
            <w:rFonts w:ascii="Times New Roman" w:hAnsi="Times New Roman" w:cs="Times New Roman"/>
          </w:rPr>
          <w:t>壹、</w:t>
        </w:r>
        <w:r w:rsidR="00980E38">
          <w:rPr>
            <w:rFonts w:ascii="Times New Roman" w:hAnsi="Times New Roman" w:cs="Times New Roman"/>
            <w:kern w:val="3"/>
          </w:rPr>
          <w:tab/>
        </w:r>
        <w:r w:rsidR="00980E38">
          <w:rPr>
            <w:rStyle w:val="aff3"/>
            <w:rFonts w:ascii="Times New Roman" w:hAnsi="Times New Roman" w:cs="Times New Roman"/>
          </w:rPr>
          <w:t>序言</w:t>
        </w:r>
        <w:r w:rsidR="00980E38">
          <w:rPr>
            <w:rFonts w:ascii="Times New Roman" w:hAnsi="Times New Roman" w:cs="Times New Roman"/>
          </w:rPr>
          <w:tab/>
          <w:t>8</w:t>
        </w:r>
      </w:hyperlink>
    </w:p>
    <w:p w:rsidR="0018444C" w:rsidRDefault="000D353C">
      <w:pPr>
        <w:pStyle w:val="23"/>
        <w:spacing w:line="240" w:lineRule="auto"/>
        <w:ind w:left="1892"/>
      </w:pPr>
      <w:hyperlink w:anchor="_Toc488163339" w:history="1">
        <w:r w:rsidR="00980E38">
          <w:rPr>
            <w:rStyle w:val="aff3"/>
            <w:rFonts w:ascii="Times New Roman" w:hAnsi="Times New Roman"/>
          </w:rPr>
          <w:t>一、估價立場聲明</w:t>
        </w:r>
        <w:r w:rsidR="00980E38">
          <w:rPr>
            <w:rFonts w:ascii="Times New Roman" w:hAnsi="Times New Roman"/>
          </w:rPr>
          <w:tab/>
          <w:t>8</w:t>
        </w:r>
      </w:hyperlink>
    </w:p>
    <w:p w:rsidR="0018444C" w:rsidRDefault="000D353C">
      <w:pPr>
        <w:pStyle w:val="23"/>
        <w:spacing w:line="240" w:lineRule="auto"/>
        <w:ind w:left="1892"/>
      </w:pPr>
      <w:hyperlink w:anchor="_Toc488163340" w:history="1">
        <w:r w:rsidR="00980E38">
          <w:rPr>
            <w:rStyle w:val="aff3"/>
            <w:rFonts w:ascii="Times New Roman" w:hAnsi="Times New Roman"/>
          </w:rPr>
          <w:t>二、估價報告書基本聲明事項</w:t>
        </w:r>
        <w:r w:rsidR="00980E38">
          <w:rPr>
            <w:rFonts w:ascii="Times New Roman" w:hAnsi="Times New Roman"/>
          </w:rPr>
          <w:tab/>
          <w:t>8</w:t>
        </w:r>
      </w:hyperlink>
    </w:p>
    <w:p w:rsidR="0018444C" w:rsidRDefault="000D353C">
      <w:pPr>
        <w:pStyle w:val="23"/>
        <w:spacing w:line="240" w:lineRule="auto"/>
        <w:ind w:left="1892"/>
      </w:pPr>
      <w:hyperlink w:anchor="_Toc488163341" w:history="1">
        <w:r w:rsidR="00980E38">
          <w:rPr>
            <w:rStyle w:val="aff3"/>
            <w:rFonts w:ascii="Times New Roman" w:hAnsi="Times New Roman"/>
          </w:rPr>
          <w:t>三、估價報告書使用之限制條件</w:t>
        </w:r>
        <w:r w:rsidR="00980E38">
          <w:rPr>
            <w:rFonts w:ascii="Times New Roman" w:hAnsi="Times New Roman"/>
          </w:rPr>
          <w:tab/>
          <w:t>9</w:t>
        </w:r>
      </w:hyperlink>
    </w:p>
    <w:p w:rsidR="0018444C" w:rsidRDefault="000D353C">
      <w:pPr>
        <w:pStyle w:val="1b"/>
        <w:tabs>
          <w:tab w:val="right" w:leader="dot" w:pos="850"/>
        </w:tabs>
        <w:spacing w:line="240" w:lineRule="auto"/>
        <w:ind w:left="240"/>
      </w:pPr>
      <w:hyperlink w:anchor="_Toc488163342" w:history="1">
        <w:r w:rsidR="00980E38">
          <w:rPr>
            <w:rStyle w:val="aff3"/>
            <w:rFonts w:ascii="Times New Roman" w:hAnsi="Times New Roman" w:cs="Times New Roman"/>
          </w:rPr>
          <w:t>貳、</w:t>
        </w:r>
        <w:r w:rsidR="00980E38">
          <w:rPr>
            <w:rFonts w:ascii="Times New Roman" w:hAnsi="Times New Roman" w:cs="Times New Roman"/>
            <w:kern w:val="3"/>
          </w:rPr>
          <w:tab/>
        </w:r>
        <w:r w:rsidR="00980E38">
          <w:rPr>
            <w:rStyle w:val="aff3"/>
            <w:rFonts w:ascii="Times New Roman" w:hAnsi="Times New Roman" w:cs="Times New Roman"/>
          </w:rPr>
          <w:t>估價基本事項說明</w:t>
        </w:r>
        <w:r w:rsidR="00980E38">
          <w:rPr>
            <w:rFonts w:ascii="Times New Roman" w:hAnsi="Times New Roman" w:cs="Times New Roman"/>
          </w:rPr>
          <w:tab/>
          <w:t>10</w:t>
        </w:r>
      </w:hyperlink>
    </w:p>
    <w:p w:rsidR="0018444C" w:rsidRDefault="000D353C">
      <w:pPr>
        <w:pStyle w:val="23"/>
        <w:spacing w:line="240" w:lineRule="auto"/>
        <w:ind w:left="1892"/>
      </w:pPr>
      <w:hyperlink w:anchor="_Toc488163343" w:history="1">
        <w:r w:rsidR="00980E38">
          <w:rPr>
            <w:rStyle w:val="aff3"/>
            <w:rFonts w:ascii="Times New Roman" w:hAnsi="Times New Roman"/>
          </w:rPr>
          <w:t>一、委託單位</w:t>
        </w:r>
        <w:r w:rsidR="00980E38">
          <w:rPr>
            <w:rFonts w:ascii="Times New Roman" w:hAnsi="Times New Roman"/>
          </w:rPr>
          <w:tab/>
          <w:t>10</w:t>
        </w:r>
      </w:hyperlink>
    </w:p>
    <w:p w:rsidR="0018444C" w:rsidRDefault="000D353C">
      <w:pPr>
        <w:pStyle w:val="23"/>
        <w:spacing w:line="240" w:lineRule="auto"/>
        <w:ind w:left="1892"/>
      </w:pPr>
      <w:hyperlink w:anchor="_Toc488163344" w:history="1">
        <w:r w:rsidR="00980E38">
          <w:rPr>
            <w:rStyle w:val="aff3"/>
            <w:rFonts w:ascii="Times New Roman" w:hAnsi="Times New Roman"/>
          </w:rPr>
          <w:t>二、基本資料</w:t>
        </w:r>
        <w:r w:rsidR="00980E38">
          <w:rPr>
            <w:rFonts w:ascii="Times New Roman" w:hAnsi="Times New Roman"/>
          </w:rPr>
          <w:tab/>
          <w:t>10</w:t>
        </w:r>
      </w:hyperlink>
    </w:p>
    <w:p w:rsidR="0018444C" w:rsidRDefault="000D353C">
      <w:pPr>
        <w:pStyle w:val="33"/>
      </w:pPr>
      <w:hyperlink w:anchor="_Toc488163345" w:history="1">
        <w:r w:rsidR="00980E38">
          <w:rPr>
            <w:rStyle w:val="aff3"/>
          </w:rPr>
          <w:t>(</w:t>
        </w:r>
        <w:r w:rsidR="00980E38">
          <w:rPr>
            <w:rStyle w:val="aff3"/>
          </w:rPr>
          <w:t>一</w:t>
        </w:r>
        <w:r w:rsidR="00980E38">
          <w:rPr>
            <w:rStyle w:val="aff3"/>
          </w:rPr>
          <w:t>)</w:t>
        </w:r>
        <w:r w:rsidR="00980E38">
          <w:rPr>
            <w:kern w:val="3"/>
          </w:rPr>
          <w:tab/>
        </w:r>
        <w:r w:rsidR="00980E38">
          <w:rPr>
            <w:rStyle w:val="aff3"/>
          </w:rPr>
          <w:t>勘估標的內容</w:t>
        </w:r>
        <w:r w:rsidR="00980E38">
          <w:tab/>
          <w:t>10</w:t>
        </w:r>
      </w:hyperlink>
    </w:p>
    <w:p w:rsidR="0018444C" w:rsidRDefault="000D353C">
      <w:pPr>
        <w:pStyle w:val="33"/>
      </w:pPr>
      <w:hyperlink w:anchor="_Toc488163346" w:history="1">
        <w:r w:rsidR="00980E38">
          <w:rPr>
            <w:rStyle w:val="aff3"/>
          </w:rPr>
          <w:t>(</w:t>
        </w:r>
        <w:r w:rsidR="00980E38">
          <w:rPr>
            <w:rStyle w:val="aff3"/>
          </w:rPr>
          <w:t>二</w:t>
        </w:r>
        <w:r w:rsidR="00980E38">
          <w:rPr>
            <w:rStyle w:val="aff3"/>
          </w:rPr>
          <w:t>)</w:t>
        </w:r>
        <w:r w:rsidR="00980E38">
          <w:rPr>
            <w:kern w:val="3"/>
          </w:rPr>
          <w:tab/>
        </w:r>
        <w:r w:rsidR="00980E38">
          <w:rPr>
            <w:rStyle w:val="aff3"/>
          </w:rPr>
          <w:t>產權分析</w:t>
        </w:r>
        <w:r w:rsidR="00980E38">
          <w:tab/>
          <w:t>10</w:t>
        </w:r>
      </w:hyperlink>
    </w:p>
    <w:p w:rsidR="0018444C" w:rsidRDefault="000D353C">
      <w:pPr>
        <w:pStyle w:val="33"/>
      </w:pPr>
      <w:hyperlink w:anchor="_Toc488163347" w:history="1">
        <w:r w:rsidR="00980E38">
          <w:rPr>
            <w:rStyle w:val="aff3"/>
          </w:rPr>
          <w:t>(</w:t>
        </w:r>
        <w:r w:rsidR="00980E38">
          <w:rPr>
            <w:rStyle w:val="aff3"/>
          </w:rPr>
          <w:t>三</w:t>
        </w:r>
        <w:r w:rsidR="00980E38">
          <w:rPr>
            <w:rStyle w:val="aff3"/>
          </w:rPr>
          <w:t>)</w:t>
        </w:r>
        <w:r w:rsidR="00980E38">
          <w:rPr>
            <w:kern w:val="3"/>
          </w:rPr>
          <w:tab/>
        </w:r>
        <w:r w:rsidR="00980E38">
          <w:rPr>
            <w:rStyle w:val="aff3"/>
          </w:rPr>
          <w:t>土地使用分區</w:t>
        </w:r>
        <w:r w:rsidR="00980E38">
          <w:tab/>
          <w:t>10</w:t>
        </w:r>
      </w:hyperlink>
    </w:p>
    <w:p w:rsidR="0018444C" w:rsidRDefault="000D353C">
      <w:pPr>
        <w:pStyle w:val="33"/>
      </w:pPr>
      <w:hyperlink w:anchor="_Toc488163348" w:history="1">
        <w:r w:rsidR="00980E38">
          <w:rPr>
            <w:rStyle w:val="aff3"/>
          </w:rPr>
          <w:t>(</w:t>
        </w:r>
        <w:r w:rsidR="00980E38">
          <w:rPr>
            <w:rStyle w:val="aff3"/>
          </w:rPr>
          <w:t>四</w:t>
        </w:r>
        <w:r w:rsidR="00980E38">
          <w:rPr>
            <w:rStyle w:val="aff3"/>
          </w:rPr>
          <w:t>)</w:t>
        </w:r>
        <w:r w:rsidR="00980E38">
          <w:rPr>
            <w:kern w:val="3"/>
          </w:rPr>
          <w:tab/>
        </w:r>
        <w:r w:rsidR="00980E38">
          <w:rPr>
            <w:rStyle w:val="aff3"/>
          </w:rPr>
          <w:t>勘估標的使用現況</w:t>
        </w:r>
        <w:r w:rsidR="00980E38">
          <w:tab/>
          <w:t>10</w:t>
        </w:r>
      </w:hyperlink>
    </w:p>
    <w:p w:rsidR="0018444C" w:rsidRDefault="000D353C">
      <w:pPr>
        <w:pStyle w:val="23"/>
        <w:spacing w:line="240" w:lineRule="auto"/>
        <w:ind w:left="1892"/>
      </w:pPr>
      <w:hyperlink w:anchor="_Toc488163349" w:history="1">
        <w:r w:rsidR="00980E38">
          <w:rPr>
            <w:rStyle w:val="aff3"/>
            <w:rFonts w:ascii="Times New Roman" w:hAnsi="Times New Roman"/>
          </w:rPr>
          <w:t>三、價格日期</w:t>
        </w:r>
        <w:r w:rsidR="00980E38">
          <w:rPr>
            <w:rStyle w:val="aff3"/>
            <w:rFonts w:ascii="Times New Roman" w:hAnsi="Times New Roman"/>
          </w:rPr>
          <w:tab/>
          <w:t>10</w:t>
        </w:r>
      </w:hyperlink>
    </w:p>
    <w:p w:rsidR="0018444C" w:rsidRDefault="00980E38">
      <w:pPr>
        <w:pStyle w:val="23"/>
        <w:spacing w:line="240" w:lineRule="auto"/>
        <w:ind w:left="1892"/>
      </w:pPr>
      <w:r>
        <w:rPr>
          <w:rStyle w:val="aff3"/>
          <w:rFonts w:ascii="Times New Roman" w:hAnsi="Times New Roman"/>
          <w:color w:val="auto"/>
          <w:u w:val="none"/>
        </w:rPr>
        <w:t>四、勘察日期</w:t>
      </w:r>
      <w:r>
        <w:rPr>
          <w:rStyle w:val="aff3"/>
          <w:rFonts w:ascii="Times New Roman" w:hAnsi="Times New Roman"/>
          <w:color w:val="auto"/>
          <w:u w:val="none"/>
        </w:rPr>
        <w:tab/>
        <w:t>10</w:t>
      </w:r>
    </w:p>
    <w:p w:rsidR="0018444C" w:rsidRDefault="000D353C">
      <w:pPr>
        <w:pStyle w:val="23"/>
        <w:spacing w:line="240" w:lineRule="auto"/>
        <w:ind w:left="1892"/>
      </w:pPr>
      <w:hyperlink w:anchor="_Toc488163352" w:history="1">
        <w:r w:rsidR="00980E38">
          <w:rPr>
            <w:rStyle w:val="aff3"/>
            <w:rFonts w:ascii="Times New Roman" w:hAnsi="Times New Roman"/>
            <w:color w:val="auto"/>
            <w:u w:val="none"/>
          </w:rPr>
          <w:t>五、價格種類</w:t>
        </w:r>
        <w:r w:rsidR="00980E38">
          <w:rPr>
            <w:rStyle w:val="aff3"/>
            <w:rFonts w:ascii="Times New Roman" w:hAnsi="Times New Roman"/>
            <w:color w:val="auto"/>
            <w:u w:val="none"/>
          </w:rPr>
          <w:tab/>
          <w:t>10</w:t>
        </w:r>
      </w:hyperlink>
    </w:p>
    <w:p w:rsidR="0018444C" w:rsidRDefault="00980E38">
      <w:pPr>
        <w:pStyle w:val="23"/>
        <w:spacing w:line="240" w:lineRule="auto"/>
        <w:ind w:left="1892"/>
      </w:pPr>
      <w:r>
        <w:rPr>
          <w:rStyle w:val="aff3"/>
          <w:rFonts w:ascii="Times New Roman" w:hAnsi="Times New Roman"/>
          <w:color w:val="auto"/>
          <w:u w:val="none"/>
        </w:rPr>
        <w:t>六、估價條件</w:t>
      </w:r>
      <w:r>
        <w:rPr>
          <w:rStyle w:val="aff3"/>
          <w:rFonts w:ascii="Times New Roman" w:hAnsi="Times New Roman"/>
          <w:color w:val="auto"/>
          <w:u w:val="none"/>
        </w:rPr>
        <w:tab/>
        <w:t>10</w:t>
      </w:r>
    </w:p>
    <w:p w:rsidR="0018444C" w:rsidRDefault="000D353C">
      <w:pPr>
        <w:pStyle w:val="23"/>
        <w:spacing w:line="240" w:lineRule="auto"/>
        <w:ind w:left="1892"/>
      </w:pPr>
      <w:hyperlink w:anchor="_Toc488163355" w:history="1">
        <w:r w:rsidR="00980E38">
          <w:rPr>
            <w:rStyle w:val="aff3"/>
            <w:rFonts w:ascii="Times New Roman" w:hAnsi="Times New Roman"/>
          </w:rPr>
          <w:t>七、估價目的：</w:t>
        </w:r>
        <w:r w:rsidR="00980E38">
          <w:rPr>
            <w:rFonts w:ascii="Times New Roman" w:hAnsi="Times New Roman"/>
          </w:rPr>
          <w:tab/>
          <w:t>11</w:t>
        </w:r>
      </w:hyperlink>
      <w:r w:rsidR="00980E38">
        <w:rPr>
          <w:rFonts w:ascii="Times New Roman" w:hAnsi="Times New Roman"/>
        </w:rPr>
        <w:t>1</w:t>
      </w:r>
    </w:p>
    <w:p w:rsidR="0018444C" w:rsidRDefault="000D353C">
      <w:pPr>
        <w:pStyle w:val="23"/>
        <w:spacing w:line="240" w:lineRule="auto"/>
        <w:ind w:left="1892"/>
      </w:pPr>
      <w:hyperlink w:anchor="_Toc488163356" w:history="1">
        <w:r w:rsidR="00980E38">
          <w:rPr>
            <w:rStyle w:val="aff3"/>
            <w:rFonts w:ascii="Times New Roman" w:hAnsi="Times New Roman"/>
          </w:rPr>
          <w:t>八、利益衝突之聲明</w:t>
        </w:r>
        <w:r w:rsidR="00980E38">
          <w:rPr>
            <w:rFonts w:ascii="Times New Roman" w:hAnsi="Times New Roman"/>
          </w:rPr>
          <w:tab/>
          <w:t>11</w:t>
        </w:r>
      </w:hyperlink>
      <w:r w:rsidR="00980E38">
        <w:rPr>
          <w:rFonts w:ascii="Times New Roman" w:hAnsi="Times New Roman"/>
        </w:rPr>
        <w:t>1</w:t>
      </w:r>
    </w:p>
    <w:p w:rsidR="0018444C" w:rsidRDefault="000D353C">
      <w:pPr>
        <w:pStyle w:val="23"/>
        <w:spacing w:line="240" w:lineRule="auto"/>
        <w:ind w:left="1892"/>
      </w:pPr>
      <w:hyperlink w:anchor="_Toc488163359" w:history="1">
        <w:r w:rsidR="00980E38">
          <w:rPr>
            <w:rStyle w:val="aff3"/>
            <w:rFonts w:ascii="Times New Roman" w:hAnsi="Times New Roman"/>
          </w:rPr>
          <w:t>九、現場勘察參考資料：</w:t>
        </w:r>
        <w:r w:rsidR="00980E38">
          <w:rPr>
            <w:rFonts w:ascii="Times New Roman" w:hAnsi="Times New Roman"/>
          </w:rPr>
          <w:tab/>
          <w:t>11</w:t>
        </w:r>
      </w:hyperlink>
      <w:r w:rsidR="00980E38">
        <w:rPr>
          <w:rFonts w:ascii="Times New Roman" w:hAnsi="Times New Roman"/>
        </w:rPr>
        <w:t>1</w:t>
      </w:r>
    </w:p>
    <w:p w:rsidR="0018444C" w:rsidRDefault="000D353C">
      <w:pPr>
        <w:pStyle w:val="23"/>
        <w:spacing w:line="240" w:lineRule="auto"/>
        <w:ind w:left="1892"/>
      </w:pPr>
      <w:hyperlink w:anchor="_Toc488163360" w:history="1">
        <w:r w:rsidR="00980E38">
          <w:rPr>
            <w:rStyle w:val="aff3"/>
            <w:rFonts w:ascii="Times New Roman" w:hAnsi="Times New Roman"/>
          </w:rPr>
          <w:t>十、估價資料來源說明</w:t>
        </w:r>
        <w:r w:rsidR="00980E38">
          <w:rPr>
            <w:rFonts w:ascii="Times New Roman" w:hAnsi="Times New Roman"/>
          </w:rPr>
          <w:tab/>
          <w:t>11</w:t>
        </w:r>
      </w:hyperlink>
      <w:r w:rsidR="00980E38">
        <w:rPr>
          <w:rFonts w:ascii="Times New Roman" w:hAnsi="Times New Roman"/>
        </w:rPr>
        <w:t>1</w:t>
      </w:r>
    </w:p>
    <w:p w:rsidR="0018444C" w:rsidRDefault="000D353C">
      <w:pPr>
        <w:pStyle w:val="1b"/>
        <w:tabs>
          <w:tab w:val="right" w:leader="dot" w:pos="850"/>
        </w:tabs>
        <w:spacing w:line="240" w:lineRule="auto"/>
        <w:ind w:left="240"/>
      </w:pPr>
      <w:hyperlink w:anchor="_Toc488163361" w:history="1">
        <w:r w:rsidR="00980E38">
          <w:rPr>
            <w:rStyle w:val="aff3"/>
            <w:rFonts w:ascii="Times New Roman" w:hAnsi="Times New Roman" w:cs="Times New Roman"/>
          </w:rPr>
          <w:t>參、</w:t>
        </w:r>
        <w:r w:rsidR="00980E38">
          <w:rPr>
            <w:rFonts w:ascii="Times New Roman" w:hAnsi="Times New Roman" w:cs="Times New Roman"/>
            <w:kern w:val="3"/>
          </w:rPr>
          <w:tab/>
        </w:r>
        <w:r w:rsidR="00980E38">
          <w:rPr>
            <w:rStyle w:val="aff3"/>
            <w:rFonts w:ascii="Times New Roman" w:hAnsi="Times New Roman" w:cs="Times New Roman"/>
          </w:rPr>
          <w:t>價格形成之因素分析</w:t>
        </w:r>
        <w:r w:rsidR="00980E38">
          <w:rPr>
            <w:rFonts w:ascii="Times New Roman" w:hAnsi="Times New Roman" w:cs="Times New Roman"/>
          </w:rPr>
          <w:tab/>
          <w:t>12</w:t>
        </w:r>
      </w:hyperlink>
      <w:r w:rsidR="00980E38">
        <w:rPr>
          <w:rFonts w:ascii="Times New Roman" w:hAnsi="Times New Roman" w:cs="Times New Roman"/>
        </w:rPr>
        <w:t>2</w:t>
      </w:r>
    </w:p>
    <w:p w:rsidR="0018444C" w:rsidRDefault="000D353C">
      <w:pPr>
        <w:pStyle w:val="23"/>
        <w:spacing w:line="240" w:lineRule="auto"/>
        <w:ind w:left="1892"/>
      </w:pPr>
      <w:hyperlink w:anchor="_Toc488163362" w:history="1">
        <w:r w:rsidR="00980E38">
          <w:rPr>
            <w:rStyle w:val="aff3"/>
            <w:rFonts w:ascii="Times New Roman" w:hAnsi="Times New Roman"/>
          </w:rPr>
          <w:t>一、一般因素分析</w:t>
        </w:r>
        <w:r w:rsidR="00980E38">
          <w:rPr>
            <w:rFonts w:ascii="Times New Roman" w:hAnsi="Times New Roman"/>
          </w:rPr>
          <w:tab/>
          <w:t>12</w:t>
        </w:r>
      </w:hyperlink>
    </w:p>
    <w:p w:rsidR="0018444C" w:rsidRDefault="000D353C">
      <w:pPr>
        <w:pStyle w:val="33"/>
      </w:pPr>
      <w:hyperlink w:anchor="_Toc488163363" w:history="1">
        <w:r w:rsidR="00980E38">
          <w:rPr>
            <w:rStyle w:val="aff3"/>
          </w:rPr>
          <w:t>(</w:t>
        </w:r>
        <w:r w:rsidR="00980E38">
          <w:rPr>
            <w:rStyle w:val="aff3"/>
          </w:rPr>
          <w:t>一</w:t>
        </w:r>
        <w:r w:rsidR="00980E38">
          <w:rPr>
            <w:rStyle w:val="aff3"/>
          </w:rPr>
          <w:t>)</w:t>
        </w:r>
        <w:r w:rsidR="00980E38">
          <w:rPr>
            <w:kern w:val="3"/>
          </w:rPr>
          <w:tab/>
        </w:r>
        <w:r w:rsidR="00980E38">
          <w:rPr>
            <w:rStyle w:val="aff3"/>
          </w:rPr>
          <w:t>政策面</w:t>
        </w:r>
        <w:r w:rsidR="00980E38">
          <w:tab/>
          <w:t>12</w:t>
        </w:r>
      </w:hyperlink>
    </w:p>
    <w:p w:rsidR="0018444C" w:rsidRDefault="000D353C">
      <w:pPr>
        <w:pStyle w:val="33"/>
      </w:pPr>
      <w:hyperlink w:anchor="_Toc488163364" w:history="1">
        <w:r w:rsidR="00980E38">
          <w:rPr>
            <w:rStyle w:val="aff3"/>
          </w:rPr>
          <w:t>(</w:t>
        </w:r>
        <w:r w:rsidR="00980E38">
          <w:rPr>
            <w:rStyle w:val="aff3"/>
          </w:rPr>
          <w:t>二</w:t>
        </w:r>
        <w:r w:rsidR="00980E38">
          <w:rPr>
            <w:rStyle w:val="aff3"/>
          </w:rPr>
          <w:t>)</w:t>
        </w:r>
        <w:r w:rsidR="00980E38">
          <w:rPr>
            <w:kern w:val="3"/>
          </w:rPr>
          <w:tab/>
        </w:r>
        <w:r w:rsidR="00980E38">
          <w:rPr>
            <w:rStyle w:val="aff3"/>
          </w:rPr>
          <w:t>經濟面</w:t>
        </w:r>
        <w:r w:rsidR="00980E38">
          <w:tab/>
          <w:t>12</w:t>
        </w:r>
      </w:hyperlink>
    </w:p>
    <w:p w:rsidR="0018444C" w:rsidRDefault="000D353C">
      <w:pPr>
        <w:pStyle w:val="33"/>
      </w:pPr>
      <w:hyperlink w:anchor="_Toc488163365" w:history="1">
        <w:r w:rsidR="00980E38">
          <w:rPr>
            <w:rStyle w:val="aff3"/>
          </w:rPr>
          <w:t>(</w:t>
        </w:r>
        <w:r w:rsidR="00980E38">
          <w:rPr>
            <w:rStyle w:val="aff3"/>
          </w:rPr>
          <w:t>三</w:t>
        </w:r>
        <w:r w:rsidR="00980E38">
          <w:rPr>
            <w:rStyle w:val="aff3"/>
          </w:rPr>
          <w:t>)</w:t>
        </w:r>
        <w:r w:rsidR="00980E38">
          <w:rPr>
            <w:kern w:val="3"/>
          </w:rPr>
          <w:tab/>
        </w:r>
        <w:r w:rsidR="00980E38">
          <w:rPr>
            <w:rStyle w:val="aff3"/>
          </w:rPr>
          <w:t>不動產景氣</w:t>
        </w:r>
        <w:r w:rsidR="00980E38">
          <w:tab/>
          <w:t>12</w:t>
        </w:r>
      </w:hyperlink>
    </w:p>
    <w:p w:rsidR="0018444C" w:rsidRDefault="000D353C">
      <w:pPr>
        <w:pStyle w:val="23"/>
        <w:spacing w:line="240" w:lineRule="auto"/>
        <w:ind w:left="1892"/>
      </w:pPr>
      <w:hyperlink w:anchor="_Toc488163366" w:history="1">
        <w:r w:rsidR="00980E38">
          <w:rPr>
            <w:rStyle w:val="aff3"/>
            <w:rFonts w:ascii="Times New Roman" w:hAnsi="Times New Roman"/>
          </w:rPr>
          <w:t>二、區域不動產市場發展概況分析</w:t>
        </w:r>
        <w:r w:rsidR="00980E38">
          <w:rPr>
            <w:rFonts w:ascii="Times New Roman" w:hAnsi="Times New Roman"/>
          </w:rPr>
          <w:tab/>
          <w:t>12</w:t>
        </w:r>
      </w:hyperlink>
    </w:p>
    <w:p w:rsidR="0018444C" w:rsidRDefault="000D353C">
      <w:pPr>
        <w:pStyle w:val="33"/>
      </w:pPr>
      <w:hyperlink w:anchor="_Toc488163367" w:history="1">
        <w:r w:rsidR="00980E38">
          <w:rPr>
            <w:rStyle w:val="aff3"/>
          </w:rPr>
          <w:t>(</w:t>
        </w:r>
        <w:r w:rsidR="00980E38">
          <w:rPr>
            <w:rStyle w:val="aff3"/>
          </w:rPr>
          <w:t>一</w:t>
        </w:r>
        <w:r w:rsidR="00980E38">
          <w:rPr>
            <w:rStyle w:val="aff3"/>
          </w:rPr>
          <w:t>)</w:t>
        </w:r>
        <w:r w:rsidR="00980E38">
          <w:rPr>
            <w:kern w:val="3"/>
          </w:rPr>
          <w:tab/>
        </w:r>
        <w:r w:rsidR="00980E38">
          <w:rPr>
            <w:rStyle w:val="aff3"/>
          </w:rPr>
          <w:t>市場供給</w:t>
        </w:r>
        <w:r w:rsidR="00980E38">
          <w:tab/>
          <w:t>12</w:t>
        </w:r>
      </w:hyperlink>
    </w:p>
    <w:p w:rsidR="0018444C" w:rsidRDefault="000D353C">
      <w:pPr>
        <w:pStyle w:val="33"/>
      </w:pPr>
      <w:hyperlink w:anchor="_Toc488163368" w:history="1">
        <w:r w:rsidR="00980E38">
          <w:rPr>
            <w:rStyle w:val="aff3"/>
          </w:rPr>
          <w:t>(</w:t>
        </w:r>
        <w:r w:rsidR="00980E38">
          <w:rPr>
            <w:rStyle w:val="aff3"/>
          </w:rPr>
          <w:t>二</w:t>
        </w:r>
        <w:r w:rsidR="00980E38">
          <w:rPr>
            <w:rStyle w:val="aff3"/>
          </w:rPr>
          <w:t>)</w:t>
        </w:r>
        <w:r w:rsidR="00980E38">
          <w:rPr>
            <w:kern w:val="3"/>
          </w:rPr>
          <w:tab/>
        </w:r>
        <w:r w:rsidR="00980E38">
          <w:rPr>
            <w:rStyle w:val="aff3"/>
          </w:rPr>
          <w:t>市場需求</w:t>
        </w:r>
        <w:r w:rsidR="00980E38">
          <w:tab/>
          <w:t>12</w:t>
        </w:r>
      </w:hyperlink>
    </w:p>
    <w:p w:rsidR="0018444C" w:rsidRDefault="000D353C">
      <w:pPr>
        <w:pStyle w:val="33"/>
      </w:pPr>
      <w:hyperlink w:anchor="_Toc488163369" w:history="1">
        <w:r w:rsidR="00980E38">
          <w:rPr>
            <w:rStyle w:val="aff3"/>
          </w:rPr>
          <w:t>(</w:t>
        </w:r>
        <w:r w:rsidR="00980E38">
          <w:rPr>
            <w:rStyle w:val="aff3"/>
          </w:rPr>
          <w:t>三</w:t>
        </w:r>
        <w:r w:rsidR="00980E38">
          <w:rPr>
            <w:rStyle w:val="aff3"/>
          </w:rPr>
          <w:t>)</w:t>
        </w:r>
        <w:r w:rsidR="00980E38">
          <w:rPr>
            <w:kern w:val="3"/>
          </w:rPr>
          <w:tab/>
        </w:r>
        <w:r w:rsidR="00980E38">
          <w:rPr>
            <w:rStyle w:val="aff3"/>
          </w:rPr>
          <w:t>市場產品型態</w:t>
        </w:r>
        <w:r w:rsidR="00980E38">
          <w:tab/>
          <w:t>12</w:t>
        </w:r>
      </w:hyperlink>
    </w:p>
    <w:p w:rsidR="0018444C" w:rsidRDefault="000D353C">
      <w:pPr>
        <w:pStyle w:val="33"/>
      </w:pPr>
      <w:hyperlink w:anchor="_Toc488163370" w:history="1">
        <w:r w:rsidR="00980E38">
          <w:rPr>
            <w:rStyle w:val="aff3"/>
          </w:rPr>
          <w:t>(</w:t>
        </w:r>
        <w:r w:rsidR="00980E38">
          <w:rPr>
            <w:rStyle w:val="aff3"/>
          </w:rPr>
          <w:t>四</w:t>
        </w:r>
        <w:r w:rsidR="00980E38">
          <w:rPr>
            <w:rStyle w:val="aff3"/>
          </w:rPr>
          <w:t>)</w:t>
        </w:r>
        <w:r w:rsidR="00980E38">
          <w:rPr>
            <w:kern w:val="3"/>
          </w:rPr>
          <w:tab/>
        </w:r>
        <w:r w:rsidR="00980E38">
          <w:rPr>
            <w:rStyle w:val="aff3"/>
          </w:rPr>
          <w:t>不動產市場價格水準分析</w:t>
        </w:r>
        <w:r w:rsidR="00980E38">
          <w:tab/>
          <w:t>12</w:t>
        </w:r>
      </w:hyperlink>
    </w:p>
    <w:p w:rsidR="0018444C" w:rsidRDefault="000D353C">
      <w:pPr>
        <w:pStyle w:val="23"/>
        <w:spacing w:line="240" w:lineRule="auto"/>
        <w:ind w:left="1892"/>
      </w:pPr>
      <w:hyperlink w:anchor="_Toc488163371" w:history="1">
        <w:r w:rsidR="00980E38">
          <w:rPr>
            <w:rStyle w:val="aff3"/>
            <w:rFonts w:ascii="Times New Roman" w:hAnsi="Times New Roman"/>
          </w:rPr>
          <w:t>三、影響價格之區域因素分析</w:t>
        </w:r>
        <w:r w:rsidR="00980E38">
          <w:rPr>
            <w:rFonts w:ascii="Times New Roman" w:hAnsi="Times New Roman"/>
          </w:rPr>
          <w:tab/>
          <w:t>12</w:t>
        </w:r>
      </w:hyperlink>
    </w:p>
    <w:p w:rsidR="0018444C" w:rsidRDefault="000D353C">
      <w:pPr>
        <w:pStyle w:val="33"/>
      </w:pPr>
      <w:hyperlink w:anchor="_Toc488163372" w:history="1">
        <w:r w:rsidR="00980E38">
          <w:rPr>
            <w:rStyle w:val="aff3"/>
          </w:rPr>
          <w:t>(</w:t>
        </w:r>
        <w:r w:rsidR="00980E38">
          <w:rPr>
            <w:rStyle w:val="aff3"/>
          </w:rPr>
          <w:t>一</w:t>
        </w:r>
        <w:r w:rsidR="00980E38">
          <w:rPr>
            <w:rStyle w:val="aff3"/>
          </w:rPr>
          <w:t>)</w:t>
        </w:r>
        <w:r w:rsidR="00980E38">
          <w:rPr>
            <w:kern w:val="3"/>
          </w:rPr>
          <w:tab/>
        </w:r>
        <w:r w:rsidR="00980E38">
          <w:rPr>
            <w:rStyle w:val="aff3"/>
          </w:rPr>
          <w:t>近鄰地區土地利用情形</w:t>
        </w:r>
        <w:r w:rsidR="00980E38">
          <w:tab/>
          <w:t>12</w:t>
        </w:r>
      </w:hyperlink>
    </w:p>
    <w:p w:rsidR="0018444C" w:rsidRDefault="000D353C">
      <w:pPr>
        <w:pStyle w:val="33"/>
      </w:pPr>
      <w:hyperlink w:anchor="_Toc488163373" w:history="1">
        <w:r w:rsidR="00980E38">
          <w:rPr>
            <w:rStyle w:val="aff3"/>
          </w:rPr>
          <w:t>(</w:t>
        </w:r>
        <w:r w:rsidR="00980E38">
          <w:rPr>
            <w:rStyle w:val="aff3"/>
          </w:rPr>
          <w:t>二</w:t>
        </w:r>
        <w:r w:rsidR="00980E38">
          <w:rPr>
            <w:rStyle w:val="aff3"/>
          </w:rPr>
          <w:t>)</w:t>
        </w:r>
        <w:r w:rsidR="00980E38">
          <w:rPr>
            <w:kern w:val="3"/>
          </w:rPr>
          <w:tab/>
        </w:r>
        <w:r w:rsidR="00980E38">
          <w:rPr>
            <w:rStyle w:val="aff3"/>
          </w:rPr>
          <w:t>近鄰地區建物利用情況</w:t>
        </w:r>
        <w:r w:rsidR="00980E38">
          <w:tab/>
          <w:t>12</w:t>
        </w:r>
      </w:hyperlink>
    </w:p>
    <w:p w:rsidR="0018444C" w:rsidRDefault="000D353C">
      <w:pPr>
        <w:pStyle w:val="33"/>
      </w:pPr>
      <w:hyperlink w:anchor="_Toc488163374" w:history="1">
        <w:r w:rsidR="00980E38">
          <w:rPr>
            <w:rStyle w:val="aff3"/>
          </w:rPr>
          <w:t>(</w:t>
        </w:r>
        <w:r w:rsidR="00980E38">
          <w:rPr>
            <w:rStyle w:val="aff3"/>
          </w:rPr>
          <w:t>三</w:t>
        </w:r>
        <w:r w:rsidR="00980E38">
          <w:rPr>
            <w:rStyle w:val="aff3"/>
          </w:rPr>
          <w:t>)</w:t>
        </w:r>
        <w:r w:rsidR="00980E38">
          <w:rPr>
            <w:kern w:val="3"/>
          </w:rPr>
          <w:tab/>
        </w:r>
        <w:r w:rsidR="00980E38">
          <w:rPr>
            <w:rStyle w:val="aff3"/>
          </w:rPr>
          <w:t>近鄰地區之公共設施概況</w:t>
        </w:r>
        <w:r w:rsidR="00980E38">
          <w:tab/>
          <w:t>12</w:t>
        </w:r>
      </w:hyperlink>
    </w:p>
    <w:p w:rsidR="0018444C" w:rsidRDefault="000D353C">
      <w:pPr>
        <w:pStyle w:val="33"/>
      </w:pPr>
      <w:hyperlink w:anchor="_Toc488163375" w:history="1">
        <w:r w:rsidR="00980E38">
          <w:rPr>
            <w:rStyle w:val="aff3"/>
          </w:rPr>
          <w:t>(</w:t>
        </w:r>
        <w:r w:rsidR="00980E38">
          <w:rPr>
            <w:rStyle w:val="aff3"/>
          </w:rPr>
          <w:t>四</w:t>
        </w:r>
        <w:r w:rsidR="00980E38">
          <w:rPr>
            <w:rStyle w:val="aff3"/>
          </w:rPr>
          <w:t>)</w:t>
        </w:r>
        <w:r w:rsidR="00980E38">
          <w:rPr>
            <w:kern w:val="3"/>
          </w:rPr>
          <w:tab/>
        </w:r>
        <w:r w:rsidR="00980E38">
          <w:rPr>
            <w:rStyle w:val="aff3"/>
          </w:rPr>
          <w:t>近鄰地區之交通運輸概況</w:t>
        </w:r>
        <w:r w:rsidR="00980E38">
          <w:tab/>
          <w:t>12</w:t>
        </w:r>
      </w:hyperlink>
    </w:p>
    <w:p w:rsidR="0018444C" w:rsidRDefault="000D353C">
      <w:pPr>
        <w:pStyle w:val="33"/>
      </w:pPr>
      <w:hyperlink w:anchor="_Toc488163376" w:history="1">
        <w:r w:rsidR="00980E38">
          <w:rPr>
            <w:rStyle w:val="aff3"/>
          </w:rPr>
          <w:t>(</w:t>
        </w:r>
        <w:r w:rsidR="00980E38">
          <w:rPr>
            <w:rStyle w:val="aff3"/>
          </w:rPr>
          <w:t>五</w:t>
        </w:r>
        <w:r w:rsidR="00980E38">
          <w:rPr>
            <w:rStyle w:val="aff3"/>
          </w:rPr>
          <w:t>)</w:t>
        </w:r>
        <w:r w:rsidR="00980E38">
          <w:rPr>
            <w:kern w:val="3"/>
          </w:rPr>
          <w:tab/>
        </w:r>
        <w:r w:rsidR="00980E38">
          <w:rPr>
            <w:rStyle w:val="aff3"/>
          </w:rPr>
          <w:t>近鄰地區重大公共建設或地標</w:t>
        </w:r>
        <w:r w:rsidR="00980E38">
          <w:tab/>
          <w:t>12</w:t>
        </w:r>
      </w:hyperlink>
    </w:p>
    <w:p w:rsidR="0018444C" w:rsidRDefault="000D353C">
      <w:pPr>
        <w:pStyle w:val="33"/>
      </w:pPr>
      <w:hyperlink w:anchor="_Toc488163377" w:history="1">
        <w:r w:rsidR="00980E38">
          <w:rPr>
            <w:rStyle w:val="aff3"/>
          </w:rPr>
          <w:t>(</w:t>
        </w:r>
        <w:r w:rsidR="00980E38">
          <w:rPr>
            <w:rStyle w:val="aff3"/>
          </w:rPr>
          <w:t>六</w:t>
        </w:r>
        <w:r w:rsidR="00980E38">
          <w:rPr>
            <w:rStyle w:val="aff3"/>
          </w:rPr>
          <w:t>)</w:t>
        </w:r>
        <w:r w:rsidR="00980E38">
          <w:rPr>
            <w:kern w:val="3"/>
          </w:rPr>
          <w:tab/>
        </w:r>
        <w:r w:rsidR="00980E38">
          <w:rPr>
            <w:rStyle w:val="aff3"/>
          </w:rPr>
          <w:t>近鄰地區未來發展趨勢</w:t>
        </w:r>
        <w:r w:rsidR="00980E38">
          <w:tab/>
          <w:t>12</w:t>
        </w:r>
      </w:hyperlink>
    </w:p>
    <w:p w:rsidR="0018444C" w:rsidRDefault="000D353C">
      <w:pPr>
        <w:pStyle w:val="23"/>
        <w:spacing w:line="240" w:lineRule="auto"/>
        <w:ind w:left="1892"/>
      </w:pPr>
      <w:hyperlink w:anchor="_Toc488163378" w:history="1">
        <w:r w:rsidR="00980E38">
          <w:rPr>
            <w:rStyle w:val="aff3"/>
            <w:rFonts w:ascii="Times New Roman" w:hAnsi="Times New Roman"/>
          </w:rPr>
          <w:t>四、影響價格之土地個別因素分析</w:t>
        </w:r>
        <w:r w:rsidR="00980E38">
          <w:rPr>
            <w:rFonts w:ascii="Times New Roman" w:hAnsi="Times New Roman"/>
          </w:rPr>
          <w:tab/>
          <w:t>12</w:t>
        </w:r>
      </w:hyperlink>
    </w:p>
    <w:p w:rsidR="0018444C" w:rsidRDefault="000D353C">
      <w:pPr>
        <w:pStyle w:val="33"/>
      </w:pPr>
      <w:hyperlink w:anchor="_Toc488163379" w:history="1">
        <w:r w:rsidR="00980E38">
          <w:rPr>
            <w:rStyle w:val="aff3"/>
          </w:rPr>
          <w:t>(</w:t>
        </w:r>
        <w:r w:rsidR="00980E38">
          <w:rPr>
            <w:rStyle w:val="aff3"/>
          </w:rPr>
          <w:t>一</w:t>
        </w:r>
        <w:r w:rsidR="00980E38">
          <w:rPr>
            <w:rStyle w:val="aff3"/>
          </w:rPr>
          <w:t>)</w:t>
        </w:r>
        <w:r w:rsidR="00980E38">
          <w:rPr>
            <w:kern w:val="3"/>
          </w:rPr>
          <w:tab/>
        </w:r>
        <w:r w:rsidR="00980E38">
          <w:rPr>
            <w:rStyle w:val="aff3"/>
          </w:rPr>
          <w:t>土地個別條件分析</w:t>
        </w:r>
        <w:r w:rsidR="00980E38">
          <w:tab/>
          <w:t>12</w:t>
        </w:r>
      </w:hyperlink>
    </w:p>
    <w:p w:rsidR="0018444C" w:rsidRDefault="000D353C">
      <w:pPr>
        <w:pStyle w:val="33"/>
      </w:pPr>
      <w:hyperlink w:anchor="_Toc488163380" w:history="1">
        <w:r w:rsidR="00980E38">
          <w:rPr>
            <w:rStyle w:val="aff3"/>
          </w:rPr>
          <w:t>(</w:t>
        </w:r>
        <w:r w:rsidR="00980E38">
          <w:rPr>
            <w:rStyle w:val="aff3"/>
          </w:rPr>
          <w:t>二</w:t>
        </w:r>
        <w:r w:rsidR="00980E38">
          <w:rPr>
            <w:rStyle w:val="aff3"/>
          </w:rPr>
          <w:t>)</w:t>
        </w:r>
        <w:r w:rsidR="00980E38">
          <w:rPr>
            <w:kern w:val="3"/>
          </w:rPr>
          <w:tab/>
        </w:r>
        <w:r w:rsidR="00980E38">
          <w:rPr>
            <w:rStyle w:val="aff3"/>
          </w:rPr>
          <w:t>土地使用管制事項</w:t>
        </w:r>
        <w:r w:rsidR="00980E38">
          <w:tab/>
          <w:t>12</w:t>
        </w:r>
      </w:hyperlink>
    </w:p>
    <w:p w:rsidR="0018444C" w:rsidRDefault="000D353C">
      <w:pPr>
        <w:pStyle w:val="1b"/>
        <w:tabs>
          <w:tab w:val="right" w:leader="dot" w:pos="850"/>
        </w:tabs>
        <w:spacing w:line="240" w:lineRule="auto"/>
        <w:ind w:left="240"/>
      </w:pPr>
      <w:hyperlink w:anchor="_Toc488163381" w:history="1">
        <w:r w:rsidR="00980E38">
          <w:rPr>
            <w:rStyle w:val="aff3"/>
            <w:rFonts w:ascii="Times New Roman" w:hAnsi="Times New Roman" w:cs="Times New Roman"/>
          </w:rPr>
          <w:t>肆、</w:t>
        </w:r>
        <w:r w:rsidR="00980E38">
          <w:rPr>
            <w:rFonts w:ascii="Times New Roman" w:hAnsi="Times New Roman" w:cs="Times New Roman"/>
            <w:kern w:val="3"/>
          </w:rPr>
          <w:tab/>
        </w:r>
        <w:r w:rsidR="00980E38">
          <w:rPr>
            <w:rStyle w:val="aff3"/>
            <w:rFonts w:ascii="Times New Roman" w:hAnsi="Times New Roman" w:cs="Times New Roman"/>
          </w:rPr>
          <w:t>價格評估</w:t>
        </w:r>
        <w:r w:rsidR="00980E38">
          <w:rPr>
            <w:rFonts w:ascii="Times New Roman" w:hAnsi="Times New Roman" w:cs="Times New Roman"/>
          </w:rPr>
          <w:tab/>
          <w:t>14</w:t>
        </w:r>
      </w:hyperlink>
    </w:p>
    <w:p w:rsidR="0018444C" w:rsidRDefault="000D353C">
      <w:pPr>
        <w:pStyle w:val="23"/>
        <w:spacing w:line="240" w:lineRule="auto"/>
        <w:ind w:left="1892"/>
      </w:pPr>
      <w:hyperlink w:anchor="_Toc488163382" w:history="1">
        <w:r w:rsidR="00980E38">
          <w:rPr>
            <w:rStyle w:val="aff3"/>
            <w:rFonts w:ascii="Times New Roman" w:hAnsi="Times New Roman"/>
          </w:rPr>
          <w:t>一、估價方法之選定</w:t>
        </w:r>
        <w:r w:rsidR="00980E38">
          <w:rPr>
            <w:rFonts w:ascii="Times New Roman" w:hAnsi="Times New Roman"/>
          </w:rPr>
          <w:tab/>
          <w:t>14</w:t>
        </w:r>
      </w:hyperlink>
    </w:p>
    <w:p w:rsidR="0018444C" w:rsidRDefault="000D353C">
      <w:pPr>
        <w:pStyle w:val="33"/>
      </w:pPr>
      <w:hyperlink w:anchor="_Toc488163383" w:history="1">
        <w:r w:rsidR="00980E38">
          <w:rPr>
            <w:rStyle w:val="aff3"/>
          </w:rPr>
          <w:t>(</w:t>
        </w:r>
        <w:r w:rsidR="00980E38">
          <w:rPr>
            <w:rStyle w:val="aff3"/>
          </w:rPr>
          <w:t>一</w:t>
        </w:r>
        <w:r w:rsidR="00980E38">
          <w:rPr>
            <w:rStyle w:val="aff3"/>
          </w:rPr>
          <w:t>)</w:t>
        </w:r>
        <w:r w:rsidR="00980E38">
          <w:rPr>
            <w:kern w:val="3"/>
          </w:rPr>
          <w:tab/>
        </w:r>
        <w:r w:rsidR="00980E38">
          <w:rPr>
            <w:rStyle w:val="aff3"/>
          </w:rPr>
          <w:t>一般性估價方法</w:t>
        </w:r>
        <w:r w:rsidR="00980E38">
          <w:tab/>
          <w:t>14</w:t>
        </w:r>
      </w:hyperlink>
    </w:p>
    <w:p w:rsidR="0018444C" w:rsidRDefault="000D353C">
      <w:pPr>
        <w:pStyle w:val="33"/>
      </w:pPr>
      <w:hyperlink w:anchor="_Toc488163384" w:history="1">
        <w:r w:rsidR="00980E38">
          <w:rPr>
            <w:rStyle w:val="aff3"/>
          </w:rPr>
          <w:t>(</w:t>
        </w:r>
        <w:r w:rsidR="00980E38">
          <w:rPr>
            <w:rStyle w:val="aff3"/>
          </w:rPr>
          <w:t>二</w:t>
        </w:r>
        <w:r w:rsidR="00980E38">
          <w:rPr>
            <w:rStyle w:val="aff3"/>
          </w:rPr>
          <w:t>)</w:t>
        </w:r>
        <w:r w:rsidR="00980E38">
          <w:rPr>
            <w:kern w:val="3"/>
          </w:rPr>
          <w:tab/>
        </w:r>
        <w:r w:rsidR="00980E38">
          <w:rPr>
            <w:rStyle w:val="aff3"/>
          </w:rPr>
          <w:t>本案估價方法之選定</w:t>
        </w:r>
        <w:r w:rsidR="00980E38">
          <w:tab/>
          <w:t>14</w:t>
        </w:r>
      </w:hyperlink>
    </w:p>
    <w:p w:rsidR="0018444C" w:rsidRDefault="000D353C">
      <w:pPr>
        <w:pStyle w:val="23"/>
        <w:spacing w:line="240" w:lineRule="auto"/>
        <w:ind w:left="1892"/>
      </w:pPr>
      <w:hyperlink w:anchor="_Toc488163385" w:history="1">
        <w:r w:rsidR="00980E38">
          <w:rPr>
            <w:rStyle w:val="aff3"/>
            <w:rFonts w:ascii="Times New Roman" w:hAnsi="Times New Roman"/>
          </w:rPr>
          <w:t>二、含容積移入之接受基地價格價格評估過程</w:t>
        </w:r>
        <w:r w:rsidR="00980E38">
          <w:rPr>
            <w:rFonts w:ascii="Times New Roman" w:hAnsi="Times New Roman"/>
          </w:rPr>
          <w:tab/>
          <w:t>16</w:t>
        </w:r>
      </w:hyperlink>
    </w:p>
    <w:p w:rsidR="0018444C" w:rsidRDefault="000D353C">
      <w:pPr>
        <w:pStyle w:val="33"/>
      </w:pPr>
      <w:hyperlink w:anchor="_Toc488163386" w:history="1">
        <w:r w:rsidR="00980E38">
          <w:rPr>
            <w:rStyle w:val="aff3"/>
          </w:rPr>
          <w:t>(</w:t>
        </w:r>
        <w:r w:rsidR="00980E38">
          <w:rPr>
            <w:rStyle w:val="aff3"/>
          </w:rPr>
          <w:t>一</w:t>
        </w:r>
        <w:r w:rsidR="00980E38">
          <w:rPr>
            <w:rStyle w:val="aff3"/>
          </w:rPr>
          <w:t>)</w:t>
        </w:r>
        <w:r w:rsidR="00980E38">
          <w:rPr>
            <w:kern w:val="3"/>
          </w:rPr>
          <w:tab/>
        </w:r>
        <w:r w:rsidR="00980E38">
          <w:rPr>
            <w:rStyle w:val="aff3"/>
          </w:rPr>
          <w:t>土地開發分析法估算過程</w:t>
        </w:r>
        <w:r w:rsidR="00980E38">
          <w:tab/>
          <w:t>16</w:t>
        </w:r>
      </w:hyperlink>
    </w:p>
    <w:p w:rsidR="0018444C" w:rsidRDefault="000D353C">
      <w:pPr>
        <w:pStyle w:val="33"/>
      </w:pPr>
      <w:hyperlink w:anchor="_Toc488163387" w:history="1">
        <w:r w:rsidR="00980E38">
          <w:rPr>
            <w:rStyle w:val="aff3"/>
          </w:rPr>
          <w:t>(</w:t>
        </w:r>
        <w:r w:rsidR="00980E38">
          <w:rPr>
            <w:rStyle w:val="aff3"/>
          </w:rPr>
          <w:t>二</w:t>
        </w:r>
        <w:r w:rsidR="00980E38">
          <w:rPr>
            <w:rStyle w:val="aff3"/>
          </w:rPr>
          <w:t>)</w:t>
        </w:r>
        <w:r w:rsidR="00980E38">
          <w:rPr>
            <w:kern w:val="3"/>
          </w:rPr>
          <w:tab/>
        </w:r>
        <w:r w:rsidR="00980E38">
          <w:rPr>
            <w:rStyle w:val="aff3"/>
          </w:rPr>
          <w:t>比較法之估算過程：</w:t>
        </w:r>
        <w:r w:rsidR="00980E38">
          <w:tab/>
          <w:t>41</w:t>
        </w:r>
      </w:hyperlink>
    </w:p>
    <w:p w:rsidR="0018444C" w:rsidRDefault="000D353C">
      <w:pPr>
        <w:pStyle w:val="33"/>
      </w:pPr>
      <w:hyperlink w:anchor="_Toc488163388" w:history="1">
        <w:r w:rsidR="00980E38">
          <w:rPr>
            <w:rStyle w:val="aff3"/>
          </w:rPr>
          <w:t>(</w:t>
        </w:r>
        <w:r w:rsidR="00980E38">
          <w:rPr>
            <w:rStyle w:val="aff3"/>
          </w:rPr>
          <w:t>三</w:t>
        </w:r>
        <w:r w:rsidR="00980E38">
          <w:rPr>
            <w:rStyle w:val="aff3"/>
          </w:rPr>
          <w:t>)</w:t>
        </w:r>
        <w:r w:rsidR="00980E38">
          <w:rPr>
            <w:kern w:val="3"/>
          </w:rPr>
          <w:tab/>
        </w:r>
        <w:r w:rsidR="00980E38">
          <w:rPr>
            <w:rStyle w:val="aff3"/>
          </w:rPr>
          <w:t>折現現金流量分析法評估過程</w:t>
        </w:r>
        <w:r w:rsidR="00980E38">
          <w:tab/>
          <w:t>47</w:t>
        </w:r>
      </w:hyperlink>
    </w:p>
    <w:p w:rsidR="0018444C" w:rsidRDefault="000D353C">
      <w:pPr>
        <w:pStyle w:val="33"/>
      </w:pPr>
      <w:hyperlink w:anchor="_Toc488163389" w:history="1">
        <w:r w:rsidR="00980E38">
          <w:rPr>
            <w:rStyle w:val="aff3"/>
          </w:rPr>
          <w:t>(</w:t>
        </w:r>
        <w:r w:rsidR="00980E38">
          <w:rPr>
            <w:rStyle w:val="aff3"/>
          </w:rPr>
          <w:t>四</w:t>
        </w:r>
        <w:r w:rsidR="00980E38">
          <w:rPr>
            <w:rStyle w:val="aff3"/>
          </w:rPr>
          <w:t>)</w:t>
        </w:r>
        <w:r w:rsidR="00980E38">
          <w:rPr>
            <w:kern w:val="3"/>
          </w:rPr>
          <w:tab/>
        </w:r>
        <w:r w:rsidR="00980E38">
          <w:rPr>
            <w:rStyle w:val="aff3"/>
          </w:rPr>
          <w:t>含容積移入之基地價格決定</w:t>
        </w:r>
        <w:r w:rsidR="00980E38">
          <w:tab/>
          <w:t>47</w:t>
        </w:r>
      </w:hyperlink>
    </w:p>
    <w:p w:rsidR="0018444C" w:rsidRDefault="000D353C">
      <w:pPr>
        <w:pStyle w:val="23"/>
        <w:spacing w:line="240" w:lineRule="auto"/>
        <w:ind w:left="1892"/>
      </w:pPr>
      <w:hyperlink w:anchor="_Toc488163390" w:history="1">
        <w:r w:rsidR="00980E38">
          <w:rPr>
            <w:rStyle w:val="aff3"/>
            <w:rFonts w:ascii="Times New Roman" w:hAnsi="Times New Roman"/>
          </w:rPr>
          <w:t>三、未含容積移入之接受基地價格價格評估過程</w:t>
        </w:r>
        <w:r w:rsidR="00980E38">
          <w:rPr>
            <w:rFonts w:ascii="Times New Roman" w:hAnsi="Times New Roman"/>
          </w:rPr>
          <w:tab/>
          <w:t>48</w:t>
        </w:r>
      </w:hyperlink>
    </w:p>
    <w:p w:rsidR="0018444C" w:rsidRDefault="000D353C">
      <w:pPr>
        <w:pStyle w:val="33"/>
      </w:pPr>
      <w:hyperlink w:anchor="_Toc488163391" w:history="1">
        <w:r w:rsidR="00980E38">
          <w:rPr>
            <w:rStyle w:val="aff3"/>
          </w:rPr>
          <w:t>(</w:t>
        </w:r>
        <w:r w:rsidR="00980E38">
          <w:rPr>
            <w:rStyle w:val="aff3"/>
          </w:rPr>
          <w:t>一</w:t>
        </w:r>
        <w:r w:rsidR="00980E38">
          <w:rPr>
            <w:rStyle w:val="aff3"/>
          </w:rPr>
          <w:t>)</w:t>
        </w:r>
        <w:r w:rsidR="00980E38">
          <w:rPr>
            <w:kern w:val="3"/>
          </w:rPr>
          <w:tab/>
        </w:r>
        <w:r w:rsidR="00980E38">
          <w:rPr>
            <w:rStyle w:val="aff3"/>
          </w:rPr>
          <w:t>土地開發分析法估算過程</w:t>
        </w:r>
        <w:r w:rsidR="00980E38">
          <w:tab/>
          <w:t>48</w:t>
        </w:r>
      </w:hyperlink>
    </w:p>
    <w:p w:rsidR="0018444C" w:rsidRDefault="000D353C">
      <w:pPr>
        <w:pStyle w:val="33"/>
      </w:pPr>
      <w:hyperlink w:anchor="_Toc488163392" w:history="1">
        <w:r w:rsidR="00980E38">
          <w:rPr>
            <w:rStyle w:val="aff3"/>
          </w:rPr>
          <w:t>(</w:t>
        </w:r>
        <w:r w:rsidR="00980E38">
          <w:rPr>
            <w:rStyle w:val="aff3"/>
          </w:rPr>
          <w:t>二</w:t>
        </w:r>
        <w:r w:rsidR="00980E38">
          <w:rPr>
            <w:rStyle w:val="aff3"/>
          </w:rPr>
          <w:t>)</w:t>
        </w:r>
        <w:r w:rsidR="00980E38">
          <w:rPr>
            <w:kern w:val="3"/>
          </w:rPr>
          <w:tab/>
        </w:r>
        <w:r w:rsidR="00980E38">
          <w:rPr>
            <w:rStyle w:val="aff3"/>
          </w:rPr>
          <w:t>比較法之估算過程</w:t>
        </w:r>
        <w:r w:rsidR="00980E38">
          <w:tab/>
          <w:t>54</w:t>
        </w:r>
      </w:hyperlink>
    </w:p>
    <w:p w:rsidR="0018444C" w:rsidRDefault="000D353C">
      <w:pPr>
        <w:pStyle w:val="33"/>
      </w:pPr>
      <w:hyperlink w:anchor="_Toc488163393" w:history="1">
        <w:r w:rsidR="00980E38">
          <w:rPr>
            <w:rStyle w:val="aff3"/>
          </w:rPr>
          <w:t>(</w:t>
        </w:r>
        <w:r w:rsidR="00980E38">
          <w:rPr>
            <w:rStyle w:val="aff3"/>
          </w:rPr>
          <w:t>三</w:t>
        </w:r>
        <w:r w:rsidR="00980E38">
          <w:rPr>
            <w:rStyle w:val="aff3"/>
          </w:rPr>
          <w:t>)</w:t>
        </w:r>
        <w:r w:rsidR="00980E38">
          <w:rPr>
            <w:rStyle w:val="aff3"/>
          </w:rPr>
          <w:tab/>
        </w:r>
        <w:r w:rsidR="00980E38">
          <w:rPr>
            <w:rStyle w:val="aff3"/>
          </w:rPr>
          <w:t>折現現金流量分析法評估過程</w:t>
        </w:r>
        <w:r w:rsidR="00980E38">
          <w:rPr>
            <w:rStyle w:val="aff3"/>
          </w:rPr>
          <w:tab/>
          <w:t>59</w:t>
        </w:r>
      </w:hyperlink>
    </w:p>
    <w:p w:rsidR="0018444C" w:rsidRDefault="000D353C">
      <w:pPr>
        <w:pStyle w:val="33"/>
      </w:pPr>
      <w:hyperlink w:anchor="_Toc488163389" w:history="1">
        <w:r w:rsidR="00980E38">
          <w:rPr>
            <w:rStyle w:val="aff3"/>
          </w:rPr>
          <w:t>(</w:t>
        </w:r>
        <w:r w:rsidR="00980E38">
          <w:rPr>
            <w:rStyle w:val="aff3"/>
          </w:rPr>
          <w:t>四</w:t>
        </w:r>
        <w:r w:rsidR="00980E38">
          <w:rPr>
            <w:rStyle w:val="aff3"/>
          </w:rPr>
          <w:t>)</w:t>
        </w:r>
        <w:r w:rsidR="00980E38">
          <w:rPr>
            <w:rStyle w:val="aff3"/>
          </w:rPr>
          <w:tab/>
        </w:r>
        <w:r w:rsidR="00980E38">
          <w:rPr>
            <w:rStyle w:val="aff3"/>
          </w:rPr>
          <w:t>未含容積移入之基地價格決定</w:t>
        </w:r>
        <w:r w:rsidR="00980E38">
          <w:rPr>
            <w:rStyle w:val="aff3"/>
          </w:rPr>
          <w:tab/>
          <w:t>47</w:t>
        </w:r>
      </w:hyperlink>
    </w:p>
    <w:p w:rsidR="0018444C" w:rsidRDefault="000D353C">
      <w:pPr>
        <w:pStyle w:val="23"/>
        <w:spacing w:line="240" w:lineRule="auto"/>
        <w:ind w:left="1892"/>
      </w:pPr>
      <w:hyperlink w:anchor="_Toc488163394" w:history="1">
        <w:r w:rsidR="00980E38">
          <w:rPr>
            <w:rStyle w:val="aff3"/>
            <w:rFonts w:ascii="Times New Roman" w:hAnsi="Times New Roman"/>
          </w:rPr>
          <w:t>四、評估價值結論</w:t>
        </w:r>
        <w:r w:rsidR="00980E38">
          <w:rPr>
            <w:rFonts w:ascii="Times New Roman" w:hAnsi="Times New Roman"/>
          </w:rPr>
          <w:tab/>
          <w:t>60</w:t>
        </w:r>
      </w:hyperlink>
    </w:p>
    <w:p w:rsidR="0018444C" w:rsidRDefault="000D353C">
      <w:pPr>
        <w:pStyle w:val="33"/>
      </w:pPr>
      <w:hyperlink w:anchor="_Toc488163395" w:history="1">
        <w:r w:rsidR="00980E38">
          <w:rPr>
            <w:rStyle w:val="aff3"/>
          </w:rPr>
          <w:t>(</w:t>
        </w:r>
        <w:r w:rsidR="00980E38">
          <w:rPr>
            <w:rStyle w:val="aff3"/>
          </w:rPr>
          <w:t>一</w:t>
        </w:r>
        <w:r w:rsidR="00980E38">
          <w:rPr>
            <w:rStyle w:val="aff3"/>
          </w:rPr>
          <w:t>)</w:t>
        </w:r>
        <w:r w:rsidR="00980E38">
          <w:rPr>
            <w:kern w:val="3"/>
          </w:rPr>
          <w:tab/>
        </w:r>
        <w:r w:rsidR="00980E38">
          <w:rPr>
            <w:rStyle w:val="aff3"/>
          </w:rPr>
          <w:t>含容積移入之基地價格</w:t>
        </w:r>
        <w:r w:rsidR="00980E38">
          <w:tab/>
          <w:t>60</w:t>
        </w:r>
      </w:hyperlink>
    </w:p>
    <w:p w:rsidR="0018444C" w:rsidRDefault="000D353C">
      <w:pPr>
        <w:pStyle w:val="33"/>
      </w:pPr>
      <w:hyperlink w:anchor="_Toc488163396" w:history="1">
        <w:r w:rsidR="00980E38">
          <w:rPr>
            <w:rStyle w:val="aff3"/>
          </w:rPr>
          <w:t>(</w:t>
        </w:r>
        <w:r w:rsidR="00980E38">
          <w:rPr>
            <w:rStyle w:val="aff3"/>
          </w:rPr>
          <w:t>二</w:t>
        </w:r>
        <w:r w:rsidR="00980E38">
          <w:rPr>
            <w:rStyle w:val="aff3"/>
          </w:rPr>
          <w:t>)</w:t>
        </w:r>
        <w:r w:rsidR="00980E38">
          <w:rPr>
            <w:kern w:val="3"/>
          </w:rPr>
          <w:tab/>
        </w:r>
        <w:r w:rsidR="00980E38">
          <w:rPr>
            <w:rStyle w:val="aff3"/>
          </w:rPr>
          <w:t>未含容積移入之基地價格</w:t>
        </w:r>
        <w:r w:rsidR="00980E38">
          <w:tab/>
          <w:t>60</w:t>
        </w:r>
      </w:hyperlink>
    </w:p>
    <w:p w:rsidR="0018444C" w:rsidRDefault="000D353C">
      <w:pPr>
        <w:pStyle w:val="33"/>
      </w:pPr>
      <w:hyperlink w:anchor="_Toc488163397" w:history="1">
        <w:r w:rsidR="00980E38">
          <w:rPr>
            <w:rStyle w:val="aff3"/>
          </w:rPr>
          <w:t>(</w:t>
        </w:r>
        <w:r w:rsidR="00980E38">
          <w:rPr>
            <w:rStyle w:val="aff3"/>
          </w:rPr>
          <w:t>三</w:t>
        </w:r>
        <w:r w:rsidR="00980E38">
          <w:rPr>
            <w:rStyle w:val="aff3"/>
          </w:rPr>
          <w:t>)</w:t>
        </w:r>
        <w:r w:rsidR="00980E38">
          <w:rPr>
            <w:kern w:val="3"/>
          </w:rPr>
          <w:tab/>
        </w:r>
        <w:r w:rsidR="00980E38">
          <w:rPr>
            <w:rStyle w:val="aff3"/>
          </w:rPr>
          <w:t>最後決定之金額</w:t>
        </w:r>
        <w:r w:rsidR="00980E38">
          <w:tab/>
          <w:t>61</w:t>
        </w:r>
      </w:hyperlink>
    </w:p>
    <w:p w:rsidR="0018444C" w:rsidRDefault="000D353C">
      <w:pPr>
        <w:pStyle w:val="33"/>
      </w:pPr>
      <w:hyperlink w:anchor="_Toc488163398" w:history="1">
        <w:r w:rsidR="00980E38">
          <w:rPr>
            <w:rStyle w:val="aff3"/>
          </w:rPr>
          <w:t>(</w:t>
        </w:r>
        <w:r w:rsidR="00980E38">
          <w:rPr>
            <w:rStyle w:val="aff3"/>
          </w:rPr>
          <w:t>四</w:t>
        </w:r>
        <w:r w:rsidR="00980E38">
          <w:rPr>
            <w:rStyle w:val="aff3"/>
          </w:rPr>
          <w:t>)</w:t>
        </w:r>
        <w:r w:rsidR="00980E38">
          <w:rPr>
            <w:kern w:val="3"/>
          </w:rPr>
          <w:tab/>
        </w:r>
        <w:r w:rsidR="00980E38">
          <w:rPr>
            <w:rStyle w:val="aff3"/>
          </w:rPr>
          <w:t>其他說明事項</w:t>
        </w:r>
        <w:r w:rsidR="00980E38">
          <w:tab/>
          <w:t>61</w:t>
        </w:r>
      </w:hyperlink>
    </w:p>
    <w:p w:rsidR="0018444C" w:rsidRDefault="000D353C">
      <w:pPr>
        <w:pStyle w:val="1b"/>
        <w:tabs>
          <w:tab w:val="right" w:leader="dot" w:pos="850"/>
        </w:tabs>
        <w:spacing w:line="240" w:lineRule="auto"/>
        <w:ind w:left="240"/>
      </w:pPr>
      <w:hyperlink w:anchor="_Toc488163400" w:history="1">
        <w:r w:rsidR="00980E38">
          <w:rPr>
            <w:rStyle w:val="aff3"/>
            <w:rFonts w:ascii="Times New Roman" w:hAnsi="Times New Roman" w:cs="Times New Roman"/>
          </w:rPr>
          <w:t>伍、</w:t>
        </w:r>
        <w:r w:rsidR="00980E38">
          <w:rPr>
            <w:rFonts w:ascii="Times New Roman" w:hAnsi="Times New Roman" w:cs="Times New Roman"/>
            <w:kern w:val="3"/>
          </w:rPr>
          <w:tab/>
        </w:r>
        <w:r w:rsidR="00980E38">
          <w:rPr>
            <w:rStyle w:val="aff3"/>
            <w:rFonts w:ascii="Times New Roman" w:hAnsi="Times New Roman" w:cs="Times New Roman"/>
          </w:rPr>
          <w:t>自主檢核表</w:t>
        </w:r>
        <w:r w:rsidR="00980E38">
          <w:rPr>
            <w:rFonts w:ascii="Times New Roman" w:hAnsi="Times New Roman" w:cs="Times New Roman"/>
          </w:rPr>
          <w:tab/>
          <w:t>62</w:t>
        </w:r>
      </w:hyperlink>
    </w:p>
    <w:p w:rsidR="0018444C" w:rsidRDefault="00980E38">
      <w:pPr>
        <w:pStyle w:val="1b"/>
        <w:tabs>
          <w:tab w:val="right" w:leader="dot" w:pos="850"/>
        </w:tabs>
        <w:spacing w:line="240" w:lineRule="auto"/>
        <w:ind w:left="240"/>
      </w:pPr>
      <w:r>
        <w:fldChar w:fldCharType="end"/>
      </w:r>
    </w:p>
    <w:p w:rsidR="0018444C" w:rsidRDefault="00980E38">
      <w:pPr>
        <w:pStyle w:val="DefaultText"/>
        <w:pageBreakBefore/>
        <w:spacing w:before="120" w:line="424" w:lineRule="exact"/>
        <w:jc w:val="center"/>
      </w:pPr>
      <w:r>
        <w:rPr>
          <w:rFonts w:ascii="Times New Roman" w:eastAsia="標楷體" w:hAnsi="Times New Roman"/>
          <w:b/>
          <w:sz w:val="40"/>
          <w:szCs w:val="40"/>
        </w:rPr>
        <w:lastRenderedPageBreak/>
        <w:t>估價報告內容</w:t>
      </w:r>
    </w:p>
    <w:p w:rsidR="0018444C" w:rsidRDefault="00980E38">
      <w:pPr>
        <w:pStyle w:val="1"/>
        <w:numPr>
          <w:ilvl w:val="0"/>
          <w:numId w:val="14"/>
        </w:numPr>
        <w:tabs>
          <w:tab w:val="clear" w:pos="720"/>
          <w:tab w:val="clear" w:pos="1440"/>
          <w:tab w:val="clear" w:pos="2160"/>
          <w:tab w:val="clear" w:pos="2472"/>
          <w:tab w:val="clear" w:pos="2880"/>
          <w:tab w:val="clear" w:pos="3600"/>
          <w:tab w:val="clear" w:pos="4320"/>
          <w:tab w:val="clear" w:pos="5040"/>
          <w:tab w:val="clear" w:pos="5760"/>
          <w:tab w:val="clear" w:pos="6480"/>
          <w:tab w:val="clear" w:pos="7200"/>
          <w:tab w:val="clear" w:pos="7920"/>
          <w:tab w:val="clear" w:pos="8640"/>
        </w:tabs>
        <w:spacing w:after="50"/>
        <w:ind w:left="709" w:hanging="709"/>
      </w:pPr>
      <w:bookmarkStart w:id="18" w:name="_Toc271206276"/>
      <w:bookmarkStart w:id="19" w:name="_Toc300219500"/>
      <w:bookmarkStart w:id="20" w:name="_Toc310843618"/>
      <w:bookmarkStart w:id="21" w:name="_Toc385837534"/>
      <w:bookmarkStart w:id="22" w:name="_Toc385837923"/>
      <w:bookmarkStart w:id="23" w:name="_Toc391412446"/>
      <w:bookmarkStart w:id="24" w:name="_Toc457337602"/>
      <w:bookmarkStart w:id="25" w:name="_Toc462300992"/>
      <w:bookmarkStart w:id="26" w:name="_Toc488152785"/>
      <w:bookmarkStart w:id="27" w:name="_Toc488163338"/>
      <w:r>
        <w:rPr>
          <w:rFonts w:ascii="Times New Roman" w:hAnsi="Times New Roman"/>
          <w:sz w:val="32"/>
          <w:szCs w:val="32"/>
        </w:rPr>
        <w:t>序言</w:t>
      </w:r>
      <w:bookmarkEnd w:id="18"/>
      <w:bookmarkEnd w:id="19"/>
      <w:bookmarkEnd w:id="20"/>
      <w:bookmarkEnd w:id="21"/>
      <w:bookmarkEnd w:id="22"/>
      <w:bookmarkEnd w:id="23"/>
      <w:bookmarkEnd w:id="24"/>
      <w:bookmarkEnd w:id="25"/>
      <w:bookmarkEnd w:id="26"/>
      <w:bookmarkEnd w:id="27"/>
    </w:p>
    <w:p w:rsidR="0018444C" w:rsidRDefault="00980E38">
      <w:pPr>
        <w:pStyle w:val="2"/>
        <w:numPr>
          <w:ilvl w:val="0"/>
          <w:numId w:val="15"/>
        </w:numPr>
        <w:tabs>
          <w:tab w:val="left" w:pos="-2847"/>
        </w:tabs>
        <w:spacing w:line="440" w:lineRule="exact"/>
      </w:pPr>
      <w:bookmarkStart w:id="28" w:name="_Toc271206277"/>
      <w:bookmarkStart w:id="29" w:name="_Toc300219501"/>
      <w:bookmarkStart w:id="30" w:name="_Toc310843619"/>
      <w:bookmarkStart w:id="31" w:name="_Toc385837535"/>
      <w:bookmarkStart w:id="32" w:name="_Toc385837924"/>
      <w:bookmarkStart w:id="33" w:name="_Toc391412447"/>
      <w:bookmarkStart w:id="34" w:name="_Toc457337603"/>
      <w:bookmarkStart w:id="35" w:name="_Toc462300993"/>
      <w:bookmarkStart w:id="36" w:name="_Toc488152786"/>
      <w:bookmarkStart w:id="37" w:name="_Toc488163339"/>
      <w:r>
        <w:rPr>
          <w:rFonts w:ascii="Times New Roman" w:hAnsi="Times New Roman"/>
          <w:b w:val="0"/>
          <w:sz w:val="28"/>
          <w:szCs w:val="28"/>
        </w:rPr>
        <w:t>估價立場聲明</w:t>
      </w:r>
      <w:bookmarkEnd w:id="28"/>
      <w:bookmarkEnd w:id="29"/>
      <w:bookmarkEnd w:id="30"/>
      <w:bookmarkEnd w:id="31"/>
      <w:bookmarkEnd w:id="32"/>
      <w:bookmarkEnd w:id="33"/>
      <w:bookmarkEnd w:id="34"/>
      <w:bookmarkEnd w:id="35"/>
      <w:bookmarkEnd w:id="36"/>
      <w:bookmarkEnd w:id="37"/>
    </w:p>
    <w:p w:rsidR="0018444C" w:rsidRDefault="00980E38">
      <w:pPr>
        <w:pStyle w:val="DefaultText"/>
        <w:numPr>
          <w:ilvl w:val="1"/>
          <w:numId w:val="16"/>
        </w:numPr>
        <w:tabs>
          <w:tab w:val="center" w:pos="1134"/>
        </w:tabs>
        <w:spacing w:before="40" w:after="40" w:line="440" w:lineRule="exact"/>
        <w:ind w:left="1134" w:hanging="567"/>
        <w:jc w:val="both"/>
      </w:pPr>
      <w:r>
        <w:rPr>
          <w:rFonts w:ascii="Times New Roman" w:eastAsia="標楷體" w:hAnsi="Times New Roman"/>
          <w:szCs w:val="28"/>
        </w:rPr>
        <w:t>我方以公正第三人立場進行客觀評估。</w:t>
      </w:r>
    </w:p>
    <w:p w:rsidR="0018444C" w:rsidRDefault="00980E38">
      <w:pPr>
        <w:pStyle w:val="DefaultText"/>
        <w:numPr>
          <w:ilvl w:val="1"/>
          <w:numId w:val="16"/>
        </w:numPr>
        <w:tabs>
          <w:tab w:val="center" w:pos="1134"/>
        </w:tabs>
        <w:spacing w:before="40" w:after="40" w:line="440" w:lineRule="exact"/>
        <w:ind w:left="1134" w:hanging="567"/>
        <w:jc w:val="both"/>
      </w:pPr>
      <w:r>
        <w:rPr>
          <w:rFonts w:ascii="Times New Roman" w:eastAsia="標楷體" w:hAnsi="Times New Roman"/>
          <w:szCs w:val="28"/>
        </w:rPr>
        <w:t>我方與委託單位及受</w:t>
      </w:r>
      <w:proofErr w:type="gramStart"/>
      <w:r>
        <w:rPr>
          <w:rFonts w:ascii="Times New Roman" w:eastAsia="標楷體" w:hAnsi="Times New Roman"/>
          <w:szCs w:val="28"/>
        </w:rPr>
        <w:t>勘</w:t>
      </w:r>
      <w:proofErr w:type="gramEnd"/>
      <w:r>
        <w:rPr>
          <w:rFonts w:ascii="Times New Roman" w:eastAsia="標楷體" w:hAnsi="Times New Roman"/>
          <w:szCs w:val="28"/>
        </w:rPr>
        <w:t>估單位僅為單純業務往來關係。</w:t>
      </w:r>
    </w:p>
    <w:p w:rsidR="0018444C" w:rsidRDefault="00980E38">
      <w:pPr>
        <w:pStyle w:val="DefaultText"/>
        <w:numPr>
          <w:ilvl w:val="1"/>
          <w:numId w:val="16"/>
        </w:numPr>
        <w:tabs>
          <w:tab w:val="center" w:pos="1134"/>
        </w:tabs>
        <w:spacing w:before="40" w:after="40" w:line="440" w:lineRule="exact"/>
        <w:ind w:left="1134" w:hanging="567"/>
        <w:jc w:val="both"/>
      </w:pPr>
      <w:r>
        <w:rPr>
          <w:rFonts w:ascii="Times New Roman" w:eastAsia="標楷體" w:hAnsi="Times New Roman"/>
          <w:szCs w:val="28"/>
        </w:rPr>
        <w:t>本報告書所載內容絕無虛偽或隱匿之情事，報告書中所提之事實描述具真實確切性。</w:t>
      </w:r>
    </w:p>
    <w:p w:rsidR="0018444C" w:rsidRDefault="00980E38">
      <w:pPr>
        <w:pStyle w:val="DefaultText"/>
        <w:numPr>
          <w:ilvl w:val="1"/>
          <w:numId w:val="16"/>
        </w:numPr>
        <w:tabs>
          <w:tab w:val="center" w:pos="1134"/>
        </w:tabs>
        <w:spacing w:before="40" w:after="40" w:line="440" w:lineRule="exact"/>
        <w:ind w:left="1134" w:hanging="567"/>
        <w:jc w:val="both"/>
      </w:pPr>
      <w:r>
        <w:rPr>
          <w:rFonts w:ascii="Times New Roman" w:eastAsia="標楷體" w:hAnsi="Times New Roman"/>
          <w:szCs w:val="28"/>
        </w:rPr>
        <w:t>本報告書中之分析意見及結論，係基於報告書中所假設及限制條件下成立；此等分析意見及結論是屬個人中立之專業評論。</w:t>
      </w:r>
    </w:p>
    <w:p w:rsidR="0018444C" w:rsidRDefault="00980E38">
      <w:pPr>
        <w:pStyle w:val="DefaultText"/>
        <w:numPr>
          <w:ilvl w:val="1"/>
          <w:numId w:val="16"/>
        </w:numPr>
        <w:tabs>
          <w:tab w:val="center" w:pos="1134"/>
        </w:tabs>
        <w:spacing w:before="40" w:after="40" w:line="440" w:lineRule="exact"/>
        <w:ind w:left="1134" w:hanging="567"/>
        <w:jc w:val="both"/>
      </w:pPr>
      <w:r>
        <w:rPr>
          <w:rFonts w:ascii="Times New Roman" w:eastAsia="標楷體" w:hAnsi="Times New Roman"/>
          <w:szCs w:val="28"/>
        </w:rPr>
        <w:t>我方對於本標的無現有或可預期的利益；對於與本標的相關的權利關係人，我方亦無個人私利或偏見。</w:t>
      </w:r>
    </w:p>
    <w:p w:rsidR="0018444C" w:rsidRDefault="00980E38">
      <w:pPr>
        <w:pStyle w:val="DefaultText"/>
        <w:numPr>
          <w:ilvl w:val="1"/>
          <w:numId w:val="16"/>
        </w:numPr>
        <w:tabs>
          <w:tab w:val="center" w:pos="1134"/>
        </w:tabs>
        <w:spacing w:before="40" w:after="40" w:line="440" w:lineRule="exact"/>
        <w:ind w:left="1134" w:hanging="567"/>
        <w:jc w:val="both"/>
      </w:pPr>
      <w:r>
        <w:rPr>
          <w:rFonts w:ascii="Times New Roman" w:eastAsia="標楷體" w:hAnsi="Times New Roman"/>
          <w:szCs w:val="28"/>
        </w:rPr>
        <w:t>我方所收取報酬，係基於專業勞務之正當報酬、不為不正當之競價，且絕不刻意扭曲合理估價之結果。</w:t>
      </w:r>
    </w:p>
    <w:p w:rsidR="0018444C" w:rsidRDefault="00980E38">
      <w:pPr>
        <w:pStyle w:val="DefaultText"/>
        <w:numPr>
          <w:ilvl w:val="1"/>
          <w:numId w:val="16"/>
        </w:numPr>
        <w:tabs>
          <w:tab w:val="center" w:pos="1134"/>
        </w:tabs>
        <w:spacing w:before="40" w:after="40" w:line="440" w:lineRule="exact"/>
        <w:ind w:left="1134" w:hanging="567"/>
        <w:jc w:val="both"/>
      </w:pPr>
      <w:r>
        <w:rPr>
          <w:rFonts w:ascii="Times New Roman" w:eastAsia="標楷體" w:hAnsi="Times New Roman"/>
          <w:szCs w:val="28"/>
        </w:rPr>
        <w:t>本估價報告書內容遵循內政部訂定之不動產估價師法及不動產估價技術規則相關規定、國內外之不動產估價理論，並符合不動產估價師全國聯合會頒布之「敘述式估價報告書範本」格式。</w:t>
      </w:r>
    </w:p>
    <w:p w:rsidR="0018444C" w:rsidRDefault="00980E38">
      <w:pPr>
        <w:pStyle w:val="2"/>
        <w:numPr>
          <w:ilvl w:val="0"/>
          <w:numId w:val="15"/>
        </w:numPr>
        <w:tabs>
          <w:tab w:val="left" w:pos="-2847"/>
        </w:tabs>
        <w:spacing w:line="440" w:lineRule="exact"/>
        <w:rPr>
          <w:rFonts w:ascii="Times New Roman" w:hAnsi="Times New Roman"/>
          <w:b w:val="0"/>
          <w:sz w:val="28"/>
          <w:szCs w:val="28"/>
        </w:rPr>
      </w:pPr>
      <w:bookmarkStart w:id="38" w:name="_Toc271206278"/>
      <w:bookmarkStart w:id="39" w:name="_Toc300219502"/>
      <w:bookmarkStart w:id="40" w:name="_Toc310843620"/>
      <w:bookmarkStart w:id="41" w:name="_Toc385837536"/>
      <w:bookmarkStart w:id="42" w:name="_Toc385837925"/>
      <w:bookmarkStart w:id="43" w:name="_Toc391412448"/>
      <w:bookmarkStart w:id="44" w:name="_Toc457337604"/>
      <w:bookmarkStart w:id="45" w:name="_Toc462300994"/>
      <w:bookmarkStart w:id="46" w:name="_Toc488152787"/>
      <w:bookmarkStart w:id="47" w:name="_Toc488163340"/>
      <w:r>
        <w:rPr>
          <w:rFonts w:ascii="Times New Roman" w:hAnsi="Times New Roman"/>
          <w:b w:val="0"/>
          <w:sz w:val="28"/>
          <w:szCs w:val="28"/>
        </w:rPr>
        <w:t>估價報告書基本聲明事項</w:t>
      </w:r>
      <w:bookmarkEnd w:id="38"/>
      <w:bookmarkEnd w:id="39"/>
      <w:bookmarkEnd w:id="40"/>
      <w:bookmarkEnd w:id="41"/>
      <w:bookmarkEnd w:id="42"/>
      <w:bookmarkEnd w:id="43"/>
      <w:bookmarkEnd w:id="44"/>
      <w:bookmarkEnd w:id="45"/>
      <w:bookmarkEnd w:id="46"/>
      <w:bookmarkEnd w:id="47"/>
    </w:p>
    <w:p w:rsidR="0018444C" w:rsidRDefault="00980E38">
      <w:pPr>
        <w:spacing w:before="40" w:after="40" w:line="440" w:lineRule="exact"/>
        <w:ind w:left="1100" w:hanging="106"/>
      </w:pPr>
      <w:r>
        <w:rPr>
          <w:rFonts w:ascii="Times New Roman" w:eastAsia="標楷體" w:hAnsi="Times New Roman"/>
          <w:sz w:val="28"/>
          <w:szCs w:val="28"/>
        </w:rPr>
        <w:t>本估價報告書，係在下列基本假設條件下製作完成：</w:t>
      </w:r>
    </w:p>
    <w:p w:rsidR="0018444C" w:rsidRDefault="00980E38">
      <w:pPr>
        <w:pStyle w:val="DefaultText"/>
        <w:numPr>
          <w:ilvl w:val="0"/>
          <w:numId w:val="17"/>
        </w:numPr>
        <w:tabs>
          <w:tab w:val="left" w:pos="1134"/>
        </w:tabs>
        <w:spacing w:before="40" w:after="40" w:line="440" w:lineRule="exact"/>
        <w:ind w:left="1134" w:hanging="567"/>
        <w:jc w:val="both"/>
      </w:pPr>
      <w:r>
        <w:rPr>
          <w:rFonts w:ascii="Times New Roman" w:eastAsia="標楷體" w:hAnsi="Times New Roman"/>
          <w:szCs w:val="28"/>
        </w:rPr>
        <w:t>除非報告書中有特別聲明，</w:t>
      </w:r>
      <w:proofErr w:type="gramStart"/>
      <w:r>
        <w:rPr>
          <w:rFonts w:ascii="Times New Roman" w:eastAsia="標楷體" w:hAnsi="Times New Roman"/>
          <w:szCs w:val="28"/>
        </w:rPr>
        <w:t>勘估標</w:t>
      </w:r>
      <w:proofErr w:type="gramEnd"/>
      <w:r>
        <w:rPr>
          <w:rFonts w:ascii="Times New Roman" w:eastAsia="標楷體" w:hAnsi="Times New Roman"/>
          <w:szCs w:val="28"/>
        </w:rPr>
        <w:t>的</w:t>
      </w:r>
      <w:proofErr w:type="gramStart"/>
      <w:r>
        <w:rPr>
          <w:rFonts w:ascii="Times New Roman" w:eastAsia="標楷體" w:hAnsi="Times New Roman"/>
          <w:szCs w:val="28"/>
        </w:rPr>
        <w:t>的</w:t>
      </w:r>
      <w:proofErr w:type="gramEnd"/>
      <w:r>
        <w:rPr>
          <w:rFonts w:ascii="Times New Roman" w:eastAsia="標楷體" w:hAnsi="Times New Roman"/>
          <w:szCs w:val="28"/>
        </w:rPr>
        <w:t>所有權被認為是正常、具市場性的。</w:t>
      </w:r>
    </w:p>
    <w:p w:rsidR="0018444C" w:rsidRDefault="00980E38">
      <w:pPr>
        <w:pStyle w:val="DefaultText"/>
        <w:numPr>
          <w:ilvl w:val="0"/>
          <w:numId w:val="17"/>
        </w:numPr>
        <w:tabs>
          <w:tab w:val="left" w:pos="1134"/>
        </w:tabs>
        <w:spacing w:before="40" w:after="40" w:line="440" w:lineRule="exact"/>
        <w:ind w:left="1134" w:hanging="567"/>
        <w:jc w:val="both"/>
      </w:pPr>
      <w:r>
        <w:rPr>
          <w:rFonts w:ascii="Times New Roman" w:eastAsia="標楷體" w:hAnsi="Times New Roman"/>
          <w:szCs w:val="28"/>
        </w:rPr>
        <w:t>除非報告書中有特別聲明，評估過程是在未考慮不動產抵押權或其他權利設定的情況下進行的。</w:t>
      </w:r>
    </w:p>
    <w:p w:rsidR="0018444C" w:rsidRDefault="00980E38">
      <w:pPr>
        <w:pStyle w:val="DefaultText"/>
        <w:numPr>
          <w:ilvl w:val="0"/>
          <w:numId w:val="17"/>
        </w:numPr>
        <w:tabs>
          <w:tab w:val="left" w:pos="1134"/>
        </w:tabs>
        <w:spacing w:before="40" w:after="40" w:line="440" w:lineRule="exact"/>
        <w:ind w:left="1134" w:hanging="567"/>
        <w:jc w:val="both"/>
      </w:pPr>
      <w:r>
        <w:rPr>
          <w:rFonts w:ascii="Times New Roman" w:eastAsia="標楷體" w:hAnsi="Times New Roman"/>
          <w:szCs w:val="28"/>
        </w:rPr>
        <w:t>本報告書係在假設不動產所有權人是負責而可靠的，且該不動產的管理情況未來將維持穩定情形下評估。</w:t>
      </w:r>
    </w:p>
    <w:p w:rsidR="0018444C" w:rsidRDefault="00980E38">
      <w:pPr>
        <w:pStyle w:val="DefaultText"/>
        <w:numPr>
          <w:ilvl w:val="0"/>
          <w:numId w:val="17"/>
        </w:numPr>
        <w:tabs>
          <w:tab w:val="left" w:pos="1134"/>
        </w:tabs>
        <w:spacing w:before="40" w:after="40" w:line="440" w:lineRule="exact"/>
        <w:ind w:left="1134" w:hanging="567"/>
        <w:jc w:val="both"/>
      </w:pPr>
      <w:r>
        <w:rPr>
          <w:rFonts w:ascii="Times New Roman" w:eastAsia="標楷體" w:hAnsi="Times New Roman"/>
          <w:szCs w:val="28"/>
        </w:rPr>
        <w:t>報告書中引用其他人提供的資訊經估價師盡可能查證後被認為是可信的。</w:t>
      </w:r>
    </w:p>
    <w:p w:rsidR="0018444C" w:rsidRDefault="00980E38">
      <w:pPr>
        <w:pStyle w:val="DefaultText"/>
        <w:numPr>
          <w:ilvl w:val="0"/>
          <w:numId w:val="17"/>
        </w:numPr>
        <w:tabs>
          <w:tab w:val="left" w:pos="1134"/>
        </w:tabs>
        <w:spacing w:before="40" w:after="40" w:line="440" w:lineRule="exact"/>
        <w:ind w:left="1134" w:hanging="567"/>
        <w:jc w:val="both"/>
      </w:pPr>
      <w:proofErr w:type="gramStart"/>
      <w:r>
        <w:rPr>
          <w:rFonts w:ascii="Times New Roman" w:eastAsia="標楷體" w:hAnsi="Times New Roman"/>
          <w:szCs w:val="28"/>
        </w:rPr>
        <w:t>勘估標</w:t>
      </w:r>
      <w:proofErr w:type="gramEnd"/>
      <w:r>
        <w:rPr>
          <w:rFonts w:ascii="Times New Roman" w:eastAsia="標楷體" w:hAnsi="Times New Roman"/>
          <w:szCs w:val="28"/>
        </w:rPr>
        <w:t>的不動產、不動產的土地及其地上物結構於報告書中被認為屬一般正常情形，沒有任何隱藏或未被發現的條件下影響該不動產價值。因此，本估價報告書對這些隱藏或無法在一般勘察中發現的條件不負責任。</w:t>
      </w:r>
    </w:p>
    <w:p w:rsidR="0018444C" w:rsidRDefault="00980E38">
      <w:pPr>
        <w:pStyle w:val="DefaultText"/>
        <w:numPr>
          <w:ilvl w:val="0"/>
          <w:numId w:val="17"/>
        </w:numPr>
        <w:tabs>
          <w:tab w:val="left" w:pos="1134"/>
        </w:tabs>
        <w:spacing w:before="40" w:after="40" w:line="440" w:lineRule="exact"/>
        <w:ind w:left="1134" w:hanging="567"/>
        <w:jc w:val="both"/>
      </w:pPr>
      <w:r>
        <w:rPr>
          <w:rFonts w:ascii="Times New Roman" w:eastAsia="標楷體" w:hAnsi="Times New Roman"/>
          <w:szCs w:val="28"/>
        </w:rPr>
        <w:lastRenderedPageBreak/>
        <w:t>除非估價報告書中有特別聲明，所評估的</w:t>
      </w:r>
      <w:proofErr w:type="gramStart"/>
      <w:r>
        <w:rPr>
          <w:rFonts w:ascii="Times New Roman" w:eastAsia="標楷體" w:hAnsi="Times New Roman"/>
          <w:szCs w:val="28"/>
        </w:rPr>
        <w:t>不動產均被認為</w:t>
      </w:r>
      <w:proofErr w:type="gramEnd"/>
      <w:r>
        <w:rPr>
          <w:rFonts w:ascii="Times New Roman" w:eastAsia="標楷體" w:hAnsi="Times New Roman"/>
          <w:szCs w:val="28"/>
        </w:rPr>
        <w:t>符合環境保護相關法律與規則、條例之規定，而未受到任何限制事項。</w:t>
      </w:r>
    </w:p>
    <w:p w:rsidR="0018444C" w:rsidRDefault="00980E38">
      <w:pPr>
        <w:pStyle w:val="DefaultText"/>
        <w:numPr>
          <w:ilvl w:val="0"/>
          <w:numId w:val="17"/>
        </w:numPr>
        <w:tabs>
          <w:tab w:val="left" w:pos="1134"/>
        </w:tabs>
        <w:spacing w:before="40" w:after="40" w:line="440" w:lineRule="exact"/>
        <w:ind w:left="1134" w:hanging="567"/>
        <w:jc w:val="both"/>
      </w:pPr>
      <w:r>
        <w:rPr>
          <w:rFonts w:ascii="Times New Roman" w:eastAsia="標楷體" w:hAnsi="Times New Roman"/>
          <w:szCs w:val="28"/>
        </w:rPr>
        <w:t>除非在估價報告書中有特別聲明，不動產中可能存在或不存在的危險因子，不列入估價師的勘察範圍之內。不動產估價師並不具備了解不動產內部成分或潛在危險的知識能力，而沒有資格檢測這種物質；石棉、尿素、胺／甲醛泡沫絕緣體等這類材料及其他潛在的危險材料的存在，可能會影響不動產的價值。但估價報告書中的假設前提，是不動產中沒有這些會導致價值降低的材料。估價報告書對於這些情況、及用於發現此等狀況的專業或工程知識不負責任。如有需要，估價報告書使用者須另聘這一類領域的專家進行分析。</w:t>
      </w:r>
    </w:p>
    <w:p w:rsidR="0018444C" w:rsidRDefault="00980E38">
      <w:pPr>
        <w:pStyle w:val="2"/>
        <w:numPr>
          <w:ilvl w:val="0"/>
          <w:numId w:val="15"/>
        </w:numPr>
        <w:tabs>
          <w:tab w:val="left" w:pos="-2847"/>
        </w:tabs>
        <w:spacing w:line="440" w:lineRule="exact"/>
        <w:rPr>
          <w:rFonts w:ascii="Times New Roman" w:hAnsi="Times New Roman"/>
          <w:b w:val="0"/>
          <w:sz w:val="28"/>
          <w:szCs w:val="28"/>
        </w:rPr>
      </w:pPr>
      <w:bookmarkStart w:id="48" w:name="_Toc271206279"/>
      <w:bookmarkStart w:id="49" w:name="_Toc300219503"/>
      <w:bookmarkStart w:id="50" w:name="_Toc310843621"/>
      <w:bookmarkStart w:id="51" w:name="_Toc385837537"/>
      <w:bookmarkStart w:id="52" w:name="_Toc385837926"/>
      <w:bookmarkStart w:id="53" w:name="_Toc391412449"/>
      <w:bookmarkStart w:id="54" w:name="_Toc457337605"/>
      <w:bookmarkStart w:id="55" w:name="_Toc462300995"/>
      <w:bookmarkStart w:id="56" w:name="_Toc488152788"/>
      <w:bookmarkStart w:id="57" w:name="_Toc488163341"/>
      <w:r>
        <w:rPr>
          <w:rFonts w:ascii="Times New Roman" w:hAnsi="Times New Roman"/>
          <w:b w:val="0"/>
          <w:sz w:val="28"/>
          <w:szCs w:val="28"/>
        </w:rPr>
        <w:t>估價報告書使用之限制條件</w:t>
      </w:r>
      <w:bookmarkEnd w:id="48"/>
      <w:bookmarkEnd w:id="49"/>
      <w:bookmarkEnd w:id="50"/>
      <w:bookmarkEnd w:id="51"/>
      <w:bookmarkEnd w:id="52"/>
      <w:bookmarkEnd w:id="53"/>
      <w:bookmarkEnd w:id="54"/>
      <w:bookmarkEnd w:id="55"/>
      <w:bookmarkEnd w:id="56"/>
      <w:bookmarkEnd w:id="57"/>
    </w:p>
    <w:p w:rsidR="0018444C" w:rsidRDefault="00980E38">
      <w:pPr>
        <w:spacing w:before="40" w:after="40" w:line="440" w:lineRule="exact"/>
        <w:ind w:left="1100" w:hanging="106"/>
      </w:pPr>
      <w:bookmarkStart w:id="58" w:name="OLE_LINK1"/>
      <w:r>
        <w:rPr>
          <w:rFonts w:ascii="Times New Roman" w:eastAsia="標楷體" w:hAnsi="Times New Roman"/>
          <w:sz w:val="28"/>
          <w:szCs w:val="28"/>
        </w:rPr>
        <w:t>本估價報告書</w:t>
      </w:r>
      <w:bookmarkEnd w:id="58"/>
      <w:r>
        <w:rPr>
          <w:rFonts w:ascii="Times New Roman" w:eastAsia="標楷體" w:hAnsi="Times New Roman"/>
          <w:sz w:val="28"/>
          <w:szCs w:val="28"/>
        </w:rPr>
        <w:t>使用之一般限制條件如下：</w:t>
      </w:r>
    </w:p>
    <w:p w:rsidR="0018444C" w:rsidRDefault="00980E38">
      <w:pPr>
        <w:pStyle w:val="DefaultText"/>
        <w:numPr>
          <w:ilvl w:val="0"/>
          <w:numId w:val="18"/>
        </w:numPr>
        <w:tabs>
          <w:tab w:val="left" w:pos="1134"/>
        </w:tabs>
        <w:spacing w:before="40" w:after="40" w:line="440" w:lineRule="exact"/>
        <w:ind w:left="1134" w:hanging="567"/>
        <w:jc w:val="both"/>
      </w:pPr>
      <w:r>
        <w:rPr>
          <w:rFonts w:ascii="Times New Roman" w:eastAsia="標楷體" w:hAnsi="Times New Roman"/>
          <w:szCs w:val="28"/>
        </w:rPr>
        <w:t>在本估價報告書中總價值分配至土地、改良物之間的價值，只適用於估價報告書中所提及的項目下；分配的價值不能使用於其他任何估價中，否則就無效。</w:t>
      </w:r>
    </w:p>
    <w:p w:rsidR="0018444C" w:rsidRDefault="00980E38">
      <w:pPr>
        <w:pStyle w:val="DefaultText"/>
        <w:numPr>
          <w:ilvl w:val="0"/>
          <w:numId w:val="18"/>
        </w:numPr>
        <w:tabs>
          <w:tab w:val="left" w:pos="1134"/>
        </w:tabs>
        <w:spacing w:before="40" w:after="40" w:line="440" w:lineRule="exact"/>
        <w:ind w:left="1134" w:hanging="567"/>
        <w:jc w:val="both"/>
      </w:pPr>
      <w:r>
        <w:rPr>
          <w:rFonts w:ascii="Times New Roman" w:eastAsia="標楷體" w:hAnsi="Times New Roman"/>
          <w:szCs w:val="28"/>
        </w:rPr>
        <w:t>估價報告書或估價報告書副本的持有者，無出版估價報告書的權利。</w:t>
      </w:r>
    </w:p>
    <w:p w:rsidR="0018444C" w:rsidRDefault="00980E38">
      <w:pPr>
        <w:pStyle w:val="DefaultText"/>
        <w:numPr>
          <w:ilvl w:val="0"/>
          <w:numId w:val="18"/>
        </w:numPr>
        <w:tabs>
          <w:tab w:val="left" w:pos="1134"/>
        </w:tabs>
        <w:spacing w:before="40" w:after="40" w:line="440" w:lineRule="exact"/>
        <w:ind w:left="1134" w:hanging="567"/>
        <w:jc w:val="both"/>
      </w:pPr>
      <w:r>
        <w:rPr>
          <w:rFonts w:ascii="Times New Roman" w:eastAsia="標楷體" w:hAnsi="Times New Roman"/>
          <w:szCs w:val="28"/>
        </w:rPr>
        <w:t>估價報告書中提供的任何價值估計值，僅適用於整個不動產的估價。除非在估價報告書中另有聲明，否則，任何將</w:t>
      </w:r>
      <w:proofErr w:type="gramStart"/>
      <w:r>
        <w:rPr>
          <w:rFonts w:ascii="Times New Roman" w:eastAsia="標楷體" w:hAnsi="Times New Roman"/>
          <w:szCs w:val="28"/>
        </w:rPr>
        <w:t>整個受估不動產</w:t>
      </w:r>
      <w:proofErr w:type="gramEnd"/>
      <w:r>
        <w:rPr>
          <w:rFonts w:ascii="Times New Roman" w:eastAsia="標楷體" w:hAnsi="Times New Roman"/>
          <w:szCs w:val="28"/>
        </w:rPr>
        <w:t>價值按權利比例劃分或其他的劃分，都使本報告書估價結果無效的。</w:t>
      </w:r>
    </w:p>
    <w:p w:rsidR="0018444C" w:rsidRDefault="00980E38">
      <w:pPr>
        <w:pStyle w:val="DefaultText"/>
        <w:numPr>
          <w:ilvl w:val="0"/>
          <w:numId w:val="18"/>
        </w:numPr>
        <w:tabs>
          <w:tab w:val="left" w:pos="1134"/>
        </w:tabs>
        <w:spacing w:before="40" w:after="40" w:line="440" w:lineRule="exact"/>
        <w:ind w:left="1134" w:hanging="567"/>
        <w:jc w:val="both"/>
      </w:pPr>
      <w:r>
        <w:rPr>
          <w:rFonts w:ascii="Times New Roman" w:eastAsia="標楷體" w:hAnsi="Times New Roman"/>
          <w:szCs w:val="28"/>
        </w:rPr>
        <w:t>估價報告書中的預測、預估或經營結果估計，乃立基於當前市場條件、預期短期需求及供給因素、與連續穩定的經濟基礎上。因此，這些預測將隨著將來條件的不同而改變。</w:t>
      </w:r>
    </w:p>
    <w:p w:rsidR="0018444C" w:rsidRDefault="00980E38">
      <w:pPr>
        <w:pStyle w:val="DefaultText"/>
        <w:numPr>
          <w:ilvl w:val="0"/>
          <w:numId w:val="18"/>
        </w:numPr>
        <w:tabs>
          <w:tab w:val="left" w:pos="1134"/>
        </w:tabs>
        <w:spacing w:before="40" w:after="40" w:line="440" w:lineRule="exact"/>
        <w:ind w:left="1134" w:hanging="567"/>
        <w:jc w:val="both"/>
      </w:pPr>
      <w:r>
        <w:rPr>
          <w:rFonts w:ascii="Times New Roman" w:eastAsia="標楷體" w:hAnsi="Times New Roman"/>
          <w:szCs w:val="28"/>
        </w:rPr>
        <w:t>本估價報告書提供之估價金額僅作為委託單位在報告書所載之估價目的限制下諮詢、使用或參考，估價目的變更可能使該估價金額發生改變。因此，本報告書無法適用於其他估價目的下之諮詢使用。</w:t>
      </w:r>
    </w:p>
    <w:p w:rsidR="0018444C" w:rsidRDefault="00980E38">
      <w:pPr>
        <w:pStyle w:val="DefaultText"/>
        <w:numPr>
          <w:ilvl w:val="0"/>
          <w:numId w:val="18"/>
        </w:numPr>
        <w:tabs>
          <w:tab w:val="left" w:pos="1134"/>
        </w:tabs>
        <w:spacing w:before="40" w:after="40" w:line="440" w:lineRule="exact"/>
        <w:ind w:left="1134" w:hanging="567"/>
        <w:jc w:val="both"/>
      </w:pPr>
      <w:r>
        <w:rPr>
          <w:rFonts w:ascii="Times New Roman" w:eastAsia="標楷體" w:hAnsi="Times New Roman"/>
          <w:szCs w:val="28"/>
        </w:rPr>
        <w:t>本估價報告書提供之估價金額係在不動產估價師考量某些估價條件下形成，委託單位或使用報告書者應了解估價報告書中所載之估價條件，以避免誤用本估價報告書所載之估價金額。</w:t>
      </w:r>
    </w:p>
    <w:p w:rsidR="0018444C" w:rsidRDefault="00980E38">
      <w:pPr>
        <w:pStyle w:val="DefaultText"/>
        <w:numPr>
          <w:ilvl w:val="0"/>
          <w:numId w:val="18"/>
        </w:numPr>
        <w:tabs>
          <w:tab w:val="left" w:pos="1134"/>
        </w:tabs>
        <w:spacing w:before="40" w:after="40" w:line="440" w:lineRule="exact"/>
        <w:ind w:left="1134" w:hanging="567"/>
        <w:jc w:val="both"/>
      </w:pPr>
      <w:r>
        <w:rPr>
          <w:rFonts w:ascii="Times New Roman" w:eastAsia="標楷體" w:hAnsi="Times New Roman"/>
          <w:szCs w:val="28"/>
        </w:rPr>
        <w:t>本估價報告書提供估價金額僅具有不動產價值諮詢的特性，</w:t>
      </w:r>
      <w:proofErr w:type="gramStart"/>
      <w:r>
        <w:rPr>
          <w:rFonts w:ascii="Times New Roman" w:eastAsia="標楷體" w:hAnsi="Times New Roman"/>
          <w:szCs w:val="28"/>
        </w:rPr>
        <w:t>不</w:t>
      </w:r>
      <w:proofErr w:type="gramEnd"/>
      <w:r>
        <w:rPr>
          <w:rFonts w:ascii="Times New Roman" w:eastAsia="標楷體" w:hAnsi="Times New Roman"/>
          <w:szCs w:val="28"/>
        </w:rPr>
        <w:t>必然成為該不動產價格最後決定金額。</w:t>
      </w:r>
    </w:p>
    <w:p w:rsidR="0018444C" w:rsidRDefault="0018444C">
      <w:pPr>
        <w:pStyle w:val="DefaultText"/>
        <w:tabs>
          <w:tab w:val="left" w:pos="1134"/>
        </w:tabs>
        <w:spacing w:before="40" w:after="40" w:line="440" w:lineRule="exact"/>
        <w:ind w:left="1134"/>
        <w:jc w:val="both"/>
        <w:rPr>
          <w:rFonts w:ascii="Times New Roman" w:eastAsia="標楷體" w:hAnsi="Times New Roman"/>
        </w:rPr>
      </w:pPr>
    </w:p>
    <w:p w:rsidR="0018444C" w:rsidRDefault="00980E38">
      <w:pPr>
        <w:pStyle w:val="1"/>
        <w:pageBreakBefore/>
        <w:numPr>
          <w:ilvl w:val="0"/>
          <w:numId w:val="14"/>
        </w:numPr>
        <w:tabs>
          <w:tab w:val="clear" w:pos="720"/>
          <w:tab w:val="clear" w:pos="1440"/>
          <w:tab w:val="clear" w:pos="2160"/>
          <w:tab w:val="clear" w:pos="2472"/>
          <w:tab w:val="clear" w:pos="2880"/>
          <w:tab w:val="clear" w:pos="3600"/>
          <w:tab w:val="clear" w:pos="4320"/>
          <w:tab w:val="clear" w:pos="5040"/>
          <w:tab w:val="clear" w:pos="5760"/>
          <w:tab w:val="clear" w:pos="6480"/>
          <w:tab w:val="clear" w:pos="7200"/>
          <w:tab w:val="clear" w:pos="7920"/>
          <w:tab w:val="clear" w:pos="8640"/>
        </w:tabs>
        <w:spacing w:after="50"/>
        <w:ind w:left="709" w:hanging="709"/>
        <w:rPr>
          <w:rFonts w:ascii="Times New Roman" w:hAnsi="Times New Roman"/>
          <w:sz w:val="32"/>
          <w:szCs w:val="32"/>
        </w:rPr>
      </w:pPr>
      <w:bookmarkStart w:id="59" w:name="_Toc271206280"/>
      <w:bookmarkStart w:id="60" w:name="_Toc300219504"/>
      <w:bookmarkStart w:id="61" w:name="_Toc310843622"/>
      <w:bookmarkStart w:id="62" w:name="_Toc385837538"/>
      <w:bookmarkStart w:id="63" w:name="_Toc385837927"/>
      <w:bookmarkStart w:id="64" w:name="_Toc391412450"/>
      <w:bookmarkStart w:id="65" w:name="_Toc457337606"/>
      <w:bookmarkStart w:id="66" w:name="_Toc462300996"/>
      <w:bookmarkStart w:id="67" w:name="_Toc488152789"/>
      <w:bookmarkStart w:id="68" w:name="_Toc488163342"/>
      <w:r>
        <w:rPr>
          <w:rFonts w:ascii="Times New Roman" w:hAnsi="Times New Roman"/>
          <w:sz w:val="32"/>
          <w:szCs w:val="32"/>
        </w:rPr>
        <w:lastRenderedPageBreak/>
        <w:t>估價基本事項說明</w:t>
      </w:r>
      <w:bookmarkEnd w:id="59"/>
      <w:bookmarkEnd w:id="60"/>
      <w:bookmarkEnd w:id="61"/>
      <w:bookmarkEnd w:id="62"/>
      <w:bookmarkEnd w:id="63"/>
      <w:bookmarkEnd w:id="64"/>
      <w:bookmarkEnd w:id="65"/>
      <w:bookmarkEnd w:id="66"/>
      <w:bookmarkEnd w:id="67"/>
      <w:bookmarkEnd w:id="68"/>
    </w:p>
    <w:p w:rsidR="0018444C" w:rsidRDefault="00980E38">
      <w:pPr>
        <w:pStyle w:val="2"/>
        <w:numPr>
          <w:ilvl w:val="0"/>
          <w:numId w:val="19"/>
        </w:numPr>
        <w:tabs>
          <w:tab w:val="left" w:pos="-3023"/>
        </w:tabs>
        <w:spacing w:before="40" w:after="40" w:line="440" w:lineRule="exact"/>
      </w:pPr>
      <w:bookmarkStart w:id="69" w:name="_Toc271206281"/>
      <w:bookmarkStart w:id="70" w:name="_Toc300219505"/>
      <w:bookmarkStart w:id="71" w:name="_Toc310843623"/>
      <w:bookmarkStart w:id="72" w:name="_Toc385837539"/>
      <w:bookmarkStart w:id="73" w:name="_Toc385837928"/>
      <w:bookmarkStart w:id="74" w:name="_Toc391412451"/>
      <w:bookmarkStart w:id="75" w:name="_Toc457337607"/>
      <w:bookmarkStart w:id="76" w:name="_Toc462300997"/>
      <w:bookmarkStart w:id="77" w:name="_Toc488152790"/>
      <w:bookmarkStart w:id="78" w:name="_Toc488163343"/>
      <w:r>
        <w:rPr>
          <w:rFonts w:ascii="Times New Roman" w:hAnsi="Times New Roman"/>
          <w:b w:val="0"/>
          <w:sz w:val="28"/>
          <w:szCs w:val="28"/>
        </w:rPr>
        <w:t>委託單位：</w:t>
      </w:r>
      <w:bookmarkEnd w:id="69"/>
      <w:bookmarkEnd w:id="70"/>
      <w:bookmarkEnd w:id="71"/>
      <w:bookmarkEnd w:id="72"/>
      <w:bookmarkEnd w:id="73"/>
      <w:bookmarkEnd w:id="74"/>
      <w:bookmarkEnd w:id="75"/>
      <w:bookmarkEnd w:id="76"/>
      <w:proofErr w:type="gramStart"/>
      <w:r>
        <w:rPr>
          <w:rFonts w:ascii="Times New Roman" w:hAnsi="Times New Roman"/>
          <w:b w:val="0"/>
          <w:szCs w:val="28"/>
        </w:rPr>
        <w:t>臺</w:t>
      </w:r>
      <w:proofErr w:type="gramEnd"/>
      <w:r>
        <w:rPr>
          <w:rFonts w:ascii="Times New Roman" w:hAnsi="Times New Roman"/>
          <w:b w:val="0"/>
          <w:szCs w:val="28"/>
        </w:rPr>
        <w:t>南市政府都市發展局</w:t>
      </w:r>
      <w:bookmarkEnd w:id="77"/>
      <w:bookmarkEnd w:id="78"/>
    </w:p>
    <w:p w:rsidR="0018444C" w:rsidRDefault="00980E38">
      <w:pPr>
        <w:pStyle w:val="2"/>
        <w:numPr>
          <w:ilvl w:val="0"/>
          <w:numId w:val="19"/>
        </w:numPr>
        <w:tabs>
          <w:tab w:val="left" w:pos="-3023"/>
        </w:tabs>
        <w:spacing w:before="40" w:after="40" w:line="440" w:lineRule="exact"/>
        <w:rPr>
          <w:rFonts w:ascii="Times New Roman" w:hAnsi="Times New Roman"/>
          <w:b w:val="0"/>
          <w:sz w:val="28"/>
          <w:szCs w:val="28"/>
        </w:rPr>
      </w:pPr>
      <w:bookmarkStart w:id="79" w:name="_Toc271206282"/>
      <w:bookmarkStart w:id="80" w:name="_Toc300219506"/>
      <w:bookmarkStart w:id="81" w:name="_Toc310843624"/>
      <w:bookmarkStart w:id="82" w:name="_Toc385837540"/>
      <w:bookmarkStart w:id="83" w:name="_Toc385837929"/>
      <w:bookmarkStart w:id="84" w:name="_Toc391412452"/>
      <w:bookmarkStart w:id="85" w:name="_Toc457337608"/>
      <w:bookmarkStart w:id="86" w:name="_Toc462300998"/>
      <w:bookmarkStart w:id="87" w:name="_Toc488152791"/>
      <w:bookmarkStart w:id="88" w:name="_Toc488163344"/>
      <w:r>
        <w:rPr>
          <w:rFonts w:ascii="Times New Roman" w:hAnsi="Times New Roman"/>
          <w:b w:val="0"/>
          <w:sz w:val="28"/>
          <w:szCs w:val="28"/>
        </w:rPr>
        <w:t>基本資料</w:t>
      </w:r>
      <w:bookmarkEnd w:id="79"/>
      <w:bookmarkEnd w:id="80"/>
      <w:bookmarkEnd w:id="81"/>
      <w:bookmarkEnd w:id="82"/>
      <w:bookmarkEnd w:id="83"/>
      <w:bookmarkEnd w:id="84"/>
      <w:bookmarkEnd w:id="85"/>
      <w:bookmarkEnd w:id="86"/>
      <w:bookmarkEnd w:id="87"/>
      <w:bookmarkEnd w:id="88"/>
    </w:p>
    <w:p w:rsidR="0018444C" w:rsidRDefault="00980E38">
      <w:pPr>
        <w:pStyle w:val="DefaultText"/>
        <w:numPr>
          <w:ilvl w:val="0"/>
          <w:numId w:val="20"/>
        </w:numPr>
        <w:spacing w:before="40" w:after="40" w:line="440" w:lineRule="exact"/>
        <w:ind w:left="1134" w:right="-873" w:hanging="567"/>
      </w:pPr>
      <w:bookmarkStart w:id="89" w:name="_Toc488152792"/>
      <w:bookmarkStart w:id="90" w:name="_Toc488163345"/>
      <w:proofErr w:type="gramStart"/>
      <w:r>
        <w:rPr>
          <w:rStyle w:val="30"/>
          <w:rFonts w:ascii="Times New Roman" w:hAnsi="Times New Roman"/>
        </w:rPr>
        <w:t>勘估標</w:t>
      </w:r>
      <w:proofErr w:type="gramEnd"/>
      <w:r>
        <w:rPr>
          <w:rStyle w:val="30"/>
          <w:rFonts w:ascii="Times New Roman" w:hAnsi="Times New Roman"/>
        </w:rPr>
        <w:t>的內容</w:t>
      </w:r>
      <w:bookmarkEnd w:id="89"/>
      <w:bookmarkEnd w:id="90"/>
      <w:r>
        <w:rPr>
          <w:rFonts w:ascii="Times New Roman" w:eastAsia="標楷體" w:hAnsi="Times New Roman"/>
        </w:rPr>
        <w:t>：</w:t>
      </w:r>
    </w:p>
    <w:p w:rsidR="0018444C" w:rsidRDefault="00980E38">
      <w:pPr>
        <w:pStyle w:val="DefaultText"/>
        <w:spacing w:before="40" w:after="40" w:line="440" w:lineRule="exact"/>
        <w:ind w:left="1134" w:right="-873"/>
        <w:rPr>
          <w:rFonts w:ascii="Times New Roman" w:eastAsia="標楷體" w:hAnsi="Times New Roman"/>
        </w:rPr>
      </w:pPr>
      <w:r>
        <w:rPr>
          <w:rFonts w:ascii="Times New Roman" w:eastAsia="標楷體" w:hAnsi="Times New Roman"/>
        </w:rPr>
        <w:t>土地標示：</w:t>
      </w:r>
      <w:r>
        <w:rPr>
          <w:rFonts w:ascii="Times New Roman" w:eastAsia="標楷體" w:hAnsi="Times New Roman"/>
        </w:rPr>
        <w:t xml:space="preserve"> </w:t>
      </w:r>
    </w:p>
    <w:p w:rsidR="0018444C" w:rsidRDefault="00980E38">
      <w:pPr>
        <w:pStyle w:val="DefaultText"/>
        <w:numPr>
          <w:ilvl w:val="0"/>
          <w:numId w:val="20"/>
        </w:numPr>
        <w:spacing w:before="40" w:after="40" w:line="440" w:lineRule="exact"/>
        <w:ind w:left="1134" w:right="-873" w:hanging="567"/>
      </w:pPr>
      <w:bookmarkStart w:id="91" w:name="_Toc488152793"/>
      <w:bookmarkStart w:id="92" w:name="_Toc488163346"/>
      <w:r>
        <w:rPr>
          <w:rStyle w:val="30"/>
          <w:rFonts w:ascii="Times New Roman" w:hAnsi="Times New Roman"/>
        </w:rPr>
        <w:t>產權分析</w:t>
      </w:r>
      <w:bookmarkEnd w:id="91"/>
      <w:bookmarkEnd w:id="92"/>
      <w:r>
        <w:rPr>
          <w:rFonts w:ascii="Times New Roman" w:eastAsia="標楷體" w:hAnsi="Times New Roman"/>
        </w:rPr>
        <w:t>：</w:t>
      </w:r>
    </w:p>
    <w:tbl>
      <w:tblPr>
        <w:tblW w:w="9546" w:type="dxa"/>
        <w:jc w:val="center"/>
        <w:tblLayout w:type="fixed"/>
        <w:tblCellMar>
          <w:left w:w="10" w:type="dxa"/>
          <w:right w:w="10" w:type="dxa"/>
        </w:tblCellMar>
        <w:tblLook w:val="0000" w:firstRow="0" w:lastRow="0" w:firstColumn="0" w:lastColumn="0" w:noHBand="0" w:noVBand="0"/>
      </w:tblPr>
      <w:tblGrid>
        <w:gridCol w:w="954"/>
        <w:gridCol w:w="955"/>
        <w:gridCol w:w="954"/>
        <w:gridCol w:w="955"/>
        <w:gridCol w:w="955"/>
        <w:gridCol w:w="954"/>
        <w:gridCol w:w="955"/>
        <w:gridCol w:w="954"/>
        <w:gridCol w:w="955"/>
        <w:gridCol w:w="955"/>
      </w:tblGrid>
      <w:tr w:rsidR="0018444C">
        <w:trPr>
          <w:trHeight w:val="1300"/>
          <w:tblHeader/>
          <w:jc w:val="center"/>
        </w:trPr>
        <w:tc>
          <w:tcPr>
            <w:tcW w:w="954" w:type="dxa"/>
            <w:tcBorders>
              <w:top w:val="single" w:sz="12"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編號</w:t>
            </w:r>
          </w:p>
        </w:tc>
        <w:tc>
          <w:tcPr>
            <w:tcW w:w="955" w:type="dxa"/>
            <w:tcBorders>
              <w:top w:val="single" w:sz="12"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地號</w:t>
            </w:r>
          </w:p>
        </w:tc>
        <w:tc>
          <w:tcPr>
            <w:tcW w:w="95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土地</w:t>
            </w:r>
          </w:p>
          <w:p w:rsidR="0018444C" w:rsidRDefault="00980E38">
            <w:pPr>
              <w:jc w:val="center"/>
              <w:rPr>
                <w:rFonts w:ascii="Times New Roman" w:eastAsia="標楷體" w:hAnsi="Times New Roman"/>
                <w:szCs w:val="24"/>
              </w:rPr>
            </w:pPr>
            <w:r>
              <w:rPr>
                <w:rFonts w:ascii="Times New Roman" w:eastAsia="標楷體" w:hAnsi="Times New Roman"/>
                <w:szCs w:val="24"/>
              </w:rPr>
              <w:t>面積</w:t>
            </w:r>
          </w:p>
          <w:p w:rsidR="0018444C" w:rsidRDefault="00980E38">
            <w:pPr>
              <w:jc w:val="center"/>
              <w:rPr>
                <w:rFonts w:ascii="Times New Roman" w:eastAsia="標楷體" w:hAnsi="Times New Roman"/>
                <w:szCs w:val="24"/>
              </w:rPr>
            </w:pPr>
            <w:r>
              <w:rPr>
                <w:rFonts w:ascii="Times New Roman" w:eastAsia="標楷體" w:hAnsi="Times New Roman"/>
                <w:szCs w:val="24"/>
              </w:rPr>
              <w:t>(</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955" w:type="dxa"/>
            <w:tcBorders>
              <w:top w:val="single" w:sz="12"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所有</w:t>
            </w:r>
          </w:p>
          <w:p w:rsidR="0018444C" w:rsidRDefault="00980E38">
            <w:pPr>
              <w:jc w:val="center"/>
              <w:rPr>
                <w:rFonts w:ascii="Times New Roman" w:eastAsia="標楷體" w:hAnsi="Times New Roman"/>
                <w:szCs w:val="24"/>
              </w:rPr>
            </w:pPr>
            <w:r>
              <w:rPr>
                <w:rFonts w:ascii="Times New Roman" w:eastAsia="標楷體" w:hAnsi="Times New Roman"/>
                <w:szCs w:val="24"/>
              </w:rPr>
              <w:t>權人</w:t>
            </w:r>
          </w:p>
        </w:tc>
        <w:tc>
          <w:tcPr>
            <w:tcW w:w="955" w:type="dxa"/>
            <w:tcBorders>
              <w:top w:val="single" w:sz="12"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持分</w:t>
            </w:r>
          </w:p>
          <w:p w:rsidR="0018444C" w:rsidRDefault="00980E38">
            <w:pPr>
              <w:jc w:val="center"/>
              <w:rPr>
                <w:rFonts w:ascii="Times New Roman" w:eastAsia="標楷體" w:hAnsi="Times New Roman"/>
                <w:szCs w:val="24"/>
              </w:rPr>
            </w:pPr>
            <w:r>
              <w:rPr>
                <w:rFonts w:ascii="Times New Roman" w:eastAsia="標楷體" w:hAnsi="Times New Roman"/>
                <w:szCs w:val="24"/>
              </w:rPr>
              <w:t>分子</w:t>
            </w:r>
          </w:p>
        </w:tc>
        <w:tc>
          <w:tcPr>
            <w:tcW w:w="954" w:type="dxa"/>
            <w:tcBorders>
              <w:top w:val="single" w:sz="12"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持分</w:t>
            </w:r>
          </w:p>
          <w:p w:rsidR="0018444C" w:rsidRDefault="00980E38">
            <w:pPr>
              <w:jc w:val="center"/>
              <w:rPr>
                <w:rFonts w:ascii="Times New Roman" w:eastAsia="標楷體" w:hAnsi="Times New Roman"/>
                <w:szCs w:val="24"/>
              </w:rPr>
            </w:pPr>
            <w:r>
              <w:rPr>
                <w:rFonts w:ascii="Times New Roman" w:eastAsia="標楷體" w:hAnsi="Times New Roman"/>
                <w:szCs w:val="24"/>
              </w:rPr>
              <w:t>分母</w:t>
            </w:r>
          </w:p>
        </w:tc>
        <w:tc>
          <w:tcPr>
            <w:tcW w:w="955" w:type="dxa"/>
            <w:tcBorders>
              <w:top w:val="single" w:sz="12"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土地持分面積</w:t>
            </w:r>
            <w:r>
              <w:rPr>
                <w:rFonts w:ascii="Times New Roman" w:eastAsia="標楷體" w:hAnsi="Times New Roman"/>
                <w:szCs w:val="24"/>
              </w:rPr>
              <w:t>(</w:t>
            </w:r>
            <w:proofErr w:type="gramStart"/>
            <w:r>
              <w:rPr>
                <w:rFonts w:ascii="Times New Roman" w:eastAsia="標楷體" w:hAnsi="Times New Roman"/>
                <w:szCs w:val="24"/>
              </w:rPr>
              <w:t>㎡</w:t>
            </w:r>
            <w:proofErr w:type="gramEnd"/>
            <w:r>
              <w:rPr>
                <w:rFonts w:ascii="Times New Roman" w:eastAsia="標楷體" w:hAnsi="Times New Roman"/>
                <w:szCs w:val="24"/>
              </w:rPr>
              <w:t>)</w:t>
            </w:r>
          </w:p>
        </w:tc>
        <w:tc>
          <w:tcPr>
            <w:tcW w:w="954" w:type="dxa"/>
            <w:tcBorders>
              <w:top w:val="single" w:sz="12"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土地持分面積</w:t>
            </w:r>
            <w:r>
              <w:rPr>
                <w:rFonts w:ascii="Times New Roman" w:eastAsia="標楷體" w:hAnsi="Times New Roman"/>
                <w:szCs w:val="24"/>
              </w:rPr>
              <w:t>(</w:t>
            </w:r>
            <w:r>
              <w:rPr>
                <w:rFonts w:ascii="Times New Roman" w:eastAsia="標楷體" w:hAnsi="Times New Roman"/>
                <w:szCs w:val="24"/>
              </w:rPr>
              <w:t>坪</w:t>
            </w:r>
            <w:r>
              <w:rPr>
                <w:rFonts w:ascii="Times New Roman" w:eastAsia="標楷體" w:hAnsi="Times New Roman"/>
                <w:szCs w:val="24"/>
              </w:rPr>
              <w:t>)</w:t>
            </w:r>
          </w:p>
        </w:tc>
        <w:tc>
          <w:tcPr>
            <w:tcW w:w="95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登記</w:t>
            </w:r>
          </w:p>
          <w:p w:rsidR="0018444C" w:rsidRDefault="00980E38">
            <w:pPr>
              <w:jc w:val="center"/>
              <w:rPr>
                <w:rFonts w:ascii="Times New Roman" w:eastAsia="標楷體" w:hAnsi="Times New Roman"/>
                <w:szCs w:val="24"/>
              </w:rPr>
            </w:pPr>
            <w:r>
              <w:rPr>
                <w:rFonts w:ascii="Times New Roman" w:eastAsia="標楷體" w:hAnsi="Times New Roman"/>
                <w:szCs w:val="24"/>
              </w:rPr>
              <w:t>建號</w:t>
            </w:r>
          </w:p>
        </w:tc>
        <w:tc>
          <w:tcPr>
            <w:tcW w:w="955"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備註</w:t>
            </w:r>
          </w:p>
        </w:tc>
      </w:tr>
      <w:tr w:rsidR="0018444C">
        <w:trPr>
          <w:trHeight w:val="1300"/>
          <w:jc w:val="center"/>
        </w:trPr>
        <w:tc>
          <w:tcPr>
            <w:tcW w:w="954" w:type="dxa"/>
            <w:tcBorders>
              <w:top w:val="single" w:sz="6" w:space="0" w:color="000000"/>
              <w:left w:val="single" w:sz="12"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955"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954"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955"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955"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954"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955"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954"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955" w:type="dxa"/>
            <w:tcBorders>
              <w:top w:val="single" w:sz="6" w:space="0" w:color="000000"/>
              <w:left w:val="single" w:sz="6" w:space="0" w:color="000000"/>
              <w:bottom w:val="single" w:sz="12"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95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18444C" w:rsidRDefault="0018444C">
            <w:pPr>
              <w:rPr>
                <w:rFonts w:ascii="Times New Roman" w:eastAsia="標楷體" w:hAnsi="Times New Roman"/>
                <w:szCs w:val="24"/>
              </w:rPr>
            </w:pPr>
          </w:p>
        </w:tc>
      </w:tr>
    </w:tbl>
    <w:p w:rsidR="0018444C" w:rsidRDefault="00980E38">
      <w:pPr>
        <w:pStyle w:val="DefaultText"/>
        <w:numPr>
          <w:ilvl w:val="0"/>
          <w:numId w:val="20"/>
        </w:numPr>
        <w:spacing w:before="40" w:after="40" w:line="440" w:lineRule="exact"/>
        <w:ind w:left="1134" w:right="-873" w:hanging="567"/>
      </w:pPr>
      <w:bookmarkStart w:id="93" w:name="_Toc488152794"/>
      <w:bookmarkStart w:id="94" w:name="_Toc488163347"/>
      <w:r>
        <w:rPr>
          <w:rStyle w:val="30"/>
          <w:rFonts w:ascii="Times New Roman" w:hAnsi="Times New Roman"/>
        </w:rPr>
        <w:t>土地使用分區</w:t>
      </w:r>
      <w:bookmarkEnd w:id="93"/>
      <w:bookmarkEnd w:id="94"/>
      <w:r>
        <w:rPr>
          <w:rFonts w:ascii="Times New Roman" w:eastAsia="標楷體" w:hAnsi="Times New Roman"/>
        </w:rPr>
        <w:t>：</w:t>
      </w:r>
    </w:p>
    <w:p w:rsidR="0018444C" w:rsidRDefault="00980E38">
      <w:pPr>
        <w:pStyle w:val="DefaultText"/>
        <w:numPr>
          <w:ilvl w:val="0"/>
          <w:numId w:val="20"/>
        </w:numPr>
        <w:spacing w:before="40" w:after="40" w:line="440" w:lineRule="exact"/>
        <w:ind w:left="1134" w:right="-873" w:hanging="567"/>
      </w:pPr>
      <w:bookmarkStart w:id="95" w:name="_Toc488152795"/>
      <w:bookmarkStart w:id="96" w:name="_Toc488163348"/>
      <w:proofErr w:type="gramStart"/>
      <w:r>
        <w:rPr>
          <w:rStyle w:val="30"/>
          <w:rFonts w:ascii="Times New Roman" w:hAnsi="Times New Roman"/>
        </w:rPr>
        <w:t>勘估標</w:t>
      </w:r>
      <w:proofErr w:type="gramEnd"/>
      <w:r>
        <w:rPr>
          <w:rStyle w:val="30"/>
          <w:rFonts w:ascii="Times New Roman" w:hAnsi="Times New Roman"/>
        </w:rPr>
        <w:t>的使用現況</w:t>
      </w:r>
      <w:bookmarkEnd w:id="95"/>
      <w:bookmarkEnd w:id="96"/>
      <w:r>
        <w:rPr>
          <w:rFonts w:ascii="Times New Roman" w:eastAsia="標楷體" w:hAnsi="Times New Roman"/>
        </w:rPr>
        <w:t>：</w:t>
      </w:r>
    </w:p>
    <w:p w:rsidR="0018444C" w:rsidRDefault="00980E38">
      <w:pPr>
        <w:pStyle w:val="2"/>
        <w:numPr>
          <w:ilvl w:val="0"/>
          <w:numId w:val="19"/>
        </w:numPr>
        <w:tabs>
          <w:tab w:val="left" w:pos="-3023"/>
        </w:tabs>
        <w:spacing w:before="40" w:after="40" w:line="440" w:lineRule="exact"/>
        <w:rPr>
          <w:rFonts w:ascii="Times New Roman" w:hAnsi="Times New Roman"/>
          <w:b w:val="0"/>
          <w:sz w:val="28"/>
          <w:szCs w:val="28"/>
        </w:rPr>
      </w:pPr>
      <w:bookmarkStart w:id="97" w:name="_Toc271206283"/>
      <w:bookmarkStart w:id="98" w:name="_Toc300219507"/>
      <w:bookmarkStart w:id="99" w:name="_Toc310843625"/>
      <w:bookmarkStart w:id="100" w:name="_Toc385837541"/>
      <w:bookmarkStart w:id="101" w:name="_Toc385837930"/>
      <w:bookmarkStart w:id="102" w:name="_Toc391412453"/>
      <w:bookmarkStart w:id="103" w:name="_Toc457337609"/>
      <w:bookmarkStart w:id="104" w:name="_Toc462300999"/>
      <w:bookmarkStart w:id="105" w:name="_Toc488152796"/>
      <w:bookmarkStart w:id="106" w:name="_Toc488163349"/>
      <w:r>
        <w:rPr>
          <w:rFonts w:ascii="Times New Roman" w:hAnsi="Times New Roman"/>
          <w:b w:val="0"/>
          <w:sz w:val="28"/>
          <w:szCs w:val="28"/>
        </w:rPr>
        <w:t>價格日期</w:t>
      </w:r>
      <w:bookmarkEnd w:id="97"/>
      <w:bookmarkEnd w:id="98"/>
      <w:bookmarkEnd w:id="99"/>
      <w:bookmarkEnd w:id="100"/>
      <w:bookmarkEnd w:id="101"/>
      <w:bookmarkEnd w:id="102"/>
      <w:bookmarkEnd w:id="103"/>
      <w:bookmarkEnd w:id="104"/>
      <w:bookmarkEnd w:id="105"/>
      <w:bookmarkEnd w:id="106"/>
      <w:r>
        <w:rPr>
          <w:rFonts w:ascii="Times New Roman" w:hAnsi="Times New Roman"/>
          <w:b w:val="0"/>
          <w:sz w:val="28"/>
          <w:szCs w:val="28"/>
        </w:rPr>
        <w:t>：民國</w:t>
      </w:r>
      <w:r>
        <w:rPr>
          <w:rFonts w:ascii="Times New Roman" w:hAnsi="Times New Roman"/>
          <w:b w:val="0"/>
          <w:sz w:val="28"/>
          <w:szCs w:val="28"/>
        </w:rPr>
        <w:t>○</w:t>
      </w:r>
      <w:r>
        <w:rPr>
          <w:rFonts w:ascii="Times New Roman" w:hAnsi="Times New Roman"/>
          <w:b w:val="0"/>
          <w:sz w:val="28"/>
          <w:szCs w:val="28"/>
        </w:rPr>
        <w:t>年</w:t>
      </w:r>
      <w:r>
        <w:rPr>
          <w:rFonts w:ascii="Times New Roman" w:hAnsi="Times New Roman"/>
          <w:b w:val="0"/>
          <w:sz w:val="28"/>
          <w:szCs w:val="28"/>
        </w:rPr>
        <w:t>○</w:t>
      </w:r>
      <w:r>
        <w:rPr>
          <w:rFonts w:ascii="Times New Roman" w:hAnsi="Times New Roman"/>
          <w:b w:val="0"/>
          <w:sz w:val="28"/>
          <w:szCs w:val="28"/>
        </w:rPr>
        <w:t>月</w:t>
      </w:r>
      <w:r>
        <w:rPr>
          <w:rFonts w:ascii="Times New Roman" w:hAnsi="Times New Roman"/>
          <w:b w:val="0"/>
          <w:sz w:val="28"/>
          <w:szCs w:val="28"/>
        </w:rPr>
        <w:t>○</w:t>
      </w:r>
      <w:r>
        <w:rPr>
          <w:rFonts w:ascii="Times New Roman" w:hAnsi="Times New Roman"/>
          <w:b w:val="0"/>
          <w:sz w:val="28"/>
          <w:szCs w:val="28"/>
        </w:rPr>
        <w:t>日。</w:t>
      </w:r>
    </w:p>
    <w:p w:rsidR="0018444C" w:rsidRDefault="00980E38">
      <w:pPr>
        <w:pStyle w:val="DefaultText"/>
        <w:spacing w:before="40" w:after="40" w:line="440" w:lineRule="exact"/>
        <w:ind w:left="1400"/>
        <w:jc w:val="both"/>
      </w:pPr>
      <w:r>
        <w:rPr>
          <w:rFonts w:ascii="Times New Roman" w:eastAsia="標楷體" w:hAnsi="Times New Roman"/>
          <w:sz w:val="24"/>
          <w:szCs w:val="24"/>
        </w:rPr>
        <w:t>《注意須知》：價格日期為</w:t>
      </w:r>
      <w:r>
        <w:rPr>
          <w:rFonts w:ascii="Times New Roman" w:eastAsia="標楷體" w:hAnsi="Times New Roman"/>
          <w:color w:val="FF0000"/>
          <w:sz w:val="24"/>
          <w:szCs w:val="24"/>
        </w:rPr>
        <w:t>容積移轉折</w:t>
      </w:r>
      <w:proofErr w:type="gramStart"/>
      <w:r>
        <w:rPr>
          <w:rFonts w:ascii="Times New Roman" w:eastAsia="標楷體" w:hAnsi="Times New Roman"/>
          <w:color w:val="FF0000"/>
          <w:sz w:val="24"/>
          <w:szCs w:val="24"/>
        </w:rPr>
        <w:t>繳</w:t>
      </w:r>
      <w:proofErr w:type="gramEnd"/>
      <w:r>
        <w:rPr>
          <w:rFonts w:ascii="Times New Roman" w:eastAsia="標楷體" w:hAnsi="Times New Roman"/>
          <w:color w:val="FF0000"/>
          <w:sz w:val="24"/>
          <w:szCs w:val="24"/>
        </w:rPr>
        <w:t>代金申請估價收件日</w:t>
      </w:r>
      <w:r>
        <w:rPr>
          <w:rFonts w:ascii="Times New Roman" w:eastAsia="標楷體" w:hAnsi="Times New Roman"/>
          <w:sz w:val="24"/>
          <w:szCs w:val="24"/>
        </w:rPr>
        <w:t>。</w:t>
      </w:r>
    </w:p>
    <w:p w:rsidR="0018444C" w:rsidRDefault="00980E38">
      <w:pPr>
        <w:pStyle w:val="2"/>
        <w:numPr>
          <w:ilvl w:val="0"/>
          <w:numId w:val="19"/>
        </w:numPr>
        <w:tabs>
          <w:tab w:val="left" w:pos="-3023"/>
        </w:tabs>
        <w:spacing w:before="40" w:after="40" w:line="440" w:lineRule="exact"/>
        <w:rPr>
          <w:rFonts w:ascii="Times New Roman" w:hAnsi="Times New Roman"/>
          <w:b w:val="0"/>
          <w:sz w:val="28"/>
          <w:szCs w:val="28"/>
        </w:rPr>
      </w:pPr>
      <w:bookmarkStart w:id="107" w:name="_Toc488152798"/>
      <w:bookmarkStart w:id="108" w:name="_Toc488163351"/>
      <w:r>
        <w:rPr>
          <w:rFonts w:ascii="Times New Roman" w:hAnsi="Times New Roman"/>
          <w:b w:val="0"/>
          <w:sz w:val="28"/>
          <w:szCs w:val="28"/>
        </w:rPr>
        <w:t>勘察日期：民國</w:t>
      </w:r>
      <w:r>
        <w:rPr>
          <w:rFonts w:ascii="Times New Roman" w:hAnsi="Times New Roman"/>
          <w:b w:val="0"/>
          <w:sz w:val="28"/>
          <w:szCs w:val="28"/>
        </w:rPr>
        <w:t>○</w:t>
      </w:r>
      <w:r>
        <w:rPr>
          <w:rFonts w:ascii="Times New Roman" w:hAnsi="Times New Roman"/>
          <w:b w:val="0"/>
          <w:sz w:val="28"/>
          <w:szCs w:val="28"/>
        </w:rPr>
        <w:t>年</w:t>
      </w:r>
      <w:r>
        <w:rPr>
          <w:rFonts w:ascii="Times New Roman" w:hAnsi="Times New Roman"/>
          <w:b w:val="0"/>
          <w:sz w:val="28"/>
          <w:szCs w:val="28"/>
        </w:rPr>
        <w:t>○</w:t>
      </w:r>
      <w:r>
        <w:rPr>
          <w:rFonts w:ascii="Times New Roman" w:hAnsi="Times New Roman"/>
          <w:b w:val="0"/>
          <w:sz w:val="28"/>
          <w:szCs w:val="28"/>
        </w:rPr>
        <w:t>月</w:t>
      </w:r>
      <w:r>
        <w:rPr>
          <w:rFonts w:ascii="Times New Roman" w:hAnsi="Times New Roman"/>
          <w:b w:val="0"/>
          <w:sz w:val="28"/>
          <w:szCs w:val="28"/>
        </w:rPr>
        <w:t>○</w:t>
      </w:r>
      <w:r>
        <w:rPr>
          <w:rFonts w:ascii="Times New Roman" w:hAnsi="Times New Roman"/>
          <w:b w:val="0"/>
          <w:sz w:val="28"/>
          <w:szCs w:val="28"/>
        </w:rPr>
        <w:t>日。</w:t>
      </w:r>
    </w:p>
    <w:p w:rsidR="0018444C" w:rsidRDefault="00980E38">
      <w:pPr>
        <w:pStyle w:val="2"/>
        <w:numPr>
          <w:ilvl w:val="0"/>
          <w:numId w:val="19"/>
        </w:numPr>
        <w:tabs>
          <w:tab w:val="left" w:pos="-3023"/>
        </w:tabs>
        <w:spacing w:before="40" w:after="40" w:line="440" w:lineRule="exact"/>
        <w:rPr>
          <w:rFonts w:ascii="Times New Roman" w:hAnsi="Times New Roman"/>
          <w:b w:val="0"/>
          <w:sz w:val="28"/>
          <w:szCs w:val="28"/>
        </w:rPr>
      </w:pPr>
      <w:bookmarkStart w:id="109" w:name="_Toc271206284"/>
      <w:bookmarkStart w:id="110" w:name="_Toc300219508"/>
      <w:bookmarkStart w:id="111" w:name="_Toc310843626"/>
      <w:bookmarkStart w:id="112" w:name="_Toc385837542"/>
      <w:bookmarkStart w:id="113" w:name="_Toc385837931"/>
      <w:bookmarkStart w:id="114" w:name="_Toc391412454"/>
      <w:bookmarkStart w:id="115" w:name="_Toc457337610"/>
      <w:bookmarkStart w:id="116" w:name="_Toc462301000"/>
      <w:bookmarkStart w:id="117" w:name="_Toc488152799"/>
      <w:bookmarkStart w:id="118" w:name="_Toc488163352"/>
      <w:bookmarkEnd w:id="107"/>
      <w:bookmarkEnd w:id="108"/>
      <w:r>
        <w:rPr>
          <w:rFonts w:ascii="Times New Roman" w:hAnsi="Times New Roman"/>
          <w:b w:val="0"/>
          <w:sz w:val="28"/>
          <w:szCs w:val="28"/>
        </w:rPr>
        <w:t>價格種類</w:t>
      </w:r>
      <w:bookmarkEnd w:id="109"/>
      <w:bookmarkEnd w:id="110"/>
      <w:bookmarkEnd w:id="111"/>
      <w:bookmarkEnd w:id="112"/>
      <w:bookmarkEnd w:id="113"/>
      <w:bookmarkEnd w:id="114"/>
      <w:bookmarkEnd w:id="115"/>
      <w:bookmarkEnd w:id="116"/>
      <w:bookmarkEnd w:id="117"/>
      <w:bookmarkEnd w:id="118"/>
      <w:r>
        <w:rPr>
          <w:rFonts w:ascii="Times New Roman" w:hAnsi="Times New Roman"/>
          <w:b w:val="0"/>
          <w:sz w:val="28"/>
          <w:szCs w:val="28"/>
        </w:rPr>
        <w:t>：正常價格。</w:t>
      </w:r>
    </w:p>
    <w:p w:rsidR="0018444C" w:rsidRDefault="00980E38">
      <w:pPr>
        <w:pStyle w:val="2"/>
        <w:numPr>
          <w:ilvl w:val="0"/>
          <w:numId w:val="19"/>
        </w:numPr>
        <w:tabs>
          <w:tab w:val="left" w:pos="-3023"/>
        </w:tabs>
        <w:spacing w:before="40" w:after="40" w:line="440" w:lineRule="exact"/>
        <w:rPr>
          <w:rFonts w:ascii="Times New Roman" w:hAnsi="Times New Roman"/>
          <w:b w:val="0"/>
          <w:sz w:val="28"/>
          <w:szCs w:val="28"/>
        </w:rPr>
      </w:pPr>
      <w:r>
        <w:rPr>
          <w:rFonts w:ascii="Times New Roman" w:hAnsi="Times New Roman"/>
          <w:b w:val="0"/>
          <w:sz w:val="28"/>
          <w:szCs w:val="28"/>
        </w:rPr>
        <w:t>估價條件：</w:t>
      </w:r>
      <w:r>
        <w:rPr>
          <w:rFonts w:ascii="Times New Roman" w:hAnsi="Times New Roman"/>
          <w:b w:val="0"/>
          <w:sz w:val="28"/>
          <w:szCs w:val="28"/>
        </w:rPr>
        <w:t xml:space="preserve"> </w:t>
      </w:r>
    </w:p>
    <w:p w:rsidR="0018444C" w:rsidRDefault="00980E38">
      <w:pPr>
        <w:pStyle w:val="DefaultText"/>
        <w:spacing w:before="40" w:after="40" w:line="440" w:lineRule="exact"/>
        <w:ind w:left="1560"/>
        <w:jc w:val="both"/>
        <w:rPr>
          <w:rFonts w:ascii="Times New Roman" w:eastAsia="標楷體" w:hAnsi="Times New Roman"/>
          <w:sz w:val="24"/>
          <w:szCs w:val="24"/>
        </w:rPr>
      </w:pPr>
      <w:bookmarkStart w:id="119" w:name="_Toc271206285"/>
      <w:bookmarkStart w:id="120" w:name="_Toc300219509"/>
      <w:bookmarkStart w:id="121" w:name="_Toc310843627"/>
      <w:r>
        <w:rPr>
          <w:rFonts w:ascii="Times New Roman" w:eastAsia="標楷體" w:hAnsi="Times New Roman"/>
          <w:sz w:val="24"/>
          <w:szCs w:val="24"/>
        </w:rPr>
        <w:t>《注意須知》：同摘要說明</w:t>
      </w:r>
    </w:p>
    <w:p w:rsidR="0018444C" w:rsidRDefault="00980E38">
      <w:pPr>
        <w:pStyle w:val="2"/>
        <w:numPr>
          <w:ilvl w:val="0"/>
          <w:numId w:val="19"/>
        </w:numPr>
        <w:tabs>
          <w:tab w:val="left" w:pos="-3023"/>
        </w:tabs>
        <w:spacing w:before="40" w:after="40" w:line="440" w:lineRule="exact"/>
        <w:rPr>
          <w:rFonts w:ascii="Times New Roman" w:hAnsi="Times New Roman"/>
          <w:b w:val="0"/>
          <w:sz w:val="28"/>
          <w:szCs w:val="28"/>
        </w:rPr>
      </w:pPr>
      <w:bookmarkStart w:id="122" w:name="_Toc385837543"/>
      <w:bookmarkStart w:id="123" w:name="_Toc385837932"/>
      <w:bookmarkStart w:id="124" w:name="_Toc391412455"/>
      <w:bookmarkStart w:id="125" w:name="_Toc457337611"/>
      <w:bookmarkStart w:id="126" w:name="_Toc462301001"/>
      <w:bookmarkStart w:id="127" w:name="_Toc488152802"/>
      <w:bookmarkStart w:id="128" w:name="_Toc488163355"/>
      <w:r>
        <w:rPr>
          <w:rFonts w:ascii="Times New Roman" w:hAnsi="Times New Roman"/>
          <w:b w:val="0"/>
          <w:sz w:val="28"/>
          <w:szCs w:val="28"/>
        </w:rPr>
        <w:t>估價目的：</w:t>
      </w:r>
      <w:bookmarkEnd w:id="119"/>
      <w:bookmarkEnd w:id="120"/>
      <w:bookmarkEnd w:id="121"/>
      <w:r>
        <w:rPr>
          <w:rFonts w:ascii="Times New Roman" w:hAnsi="Times New Roman"/>
          <w:b w:val="0"/>
          <w:sz w:val="28"/>
          <w:szCs w:val="28"/>
        </w:rPr>
        <w:t>容積代金參考。</w:t>
      </w:r>
      <w:bookmarkEnd w:id="122"/>
      <w:bookmarkEnd w:id="123"/>
      <w:bookmarkEnd w:id="124"/>
      <w:bookmarkEnd w:id="125"/>
      <w:bookmarkEnd w:id="126"/>
      <w:bookmarkEnd w:id="127"/>
      <w:bookmarkEnd w:id="128"/>
    </w:p>
    <w:p w:rsidR="0018444C" w:rsidRDefault="00980E38">
      <w:pPr>
        <w:pStyle w:val="2"/>
        <w:numPr>
          <w:ilvl w:val="0"/>
          <w:numId w:val="19"/>
        </w:numPr>
        <w:tabs>
          <w:tab w:val="left" w:pos="-3023"/>
        </w:tabs>
        <w:spacing w:before="40" w:after="40" w:line="440" w:lineRule="exact"/>
        <w:rPr>
          <w:rFonts w:ascii="Times New Roman" w:hAnsi="Times New Roman"/>
          <w:b w:val="0"/>
          <w:sz w:val="28"/>
          <w:szCs w:val="28"/>
        </w:rPr>
      </w:pPr>
      <w:bookmarkStart w:id="129" w:name="_Toc271206286"/>
      <w:bookmarkStart w:id="130" w:name="_Toc300219510"/>
      <w:bookmarkStart w:id="131" w:name="_Toc310843628"/>
      <w:bookmarkStart w:id="132" w:name="_Toc385837544"/>
      <w:bookmarkStart w:id="133" w:name="_Toc385837933"/>
      <w:bookmarkStart w:id="134" w:name="_Toc391412456"/>
      <w:bookmarkStart w:id="135" w:name="_Toc457337612"/>
      <w:bookmarkStart w:id="136" w:name="_Toc462301002"/>
      <w:bookmarkStart w:id="137" w:name="_Toc488152803"/>
      <w:bookmarkStart w:id="138" w:name="_Toc488163356"/>
      <w:r>
        <w:rPr>
          <w:rFonts w:ascii="Times New Roman" w:hAnsi="Times New Roman"/>
          <w:b w:val="0"/>
          <w:sz w:val="28"/>
          <w:szCs w:val="28"/>
        </w:rPr>
        <w:t>利益衝突之聲明</w:t>
      </w:r>
      <w:bookmarkEnd w:id="129"/>
      <w:bookmarkEnd w:id="130"/>
      <w:bookmarkEnd w:id="131"/>
      <w:bookmarkEnd w:id="132"/>
      <w:bookmarkEnd w:id="133"/>
      <w:bookmarkEnd w:id="134"/>
      <w:bookmarkEnd w:id="135"/>
      <w:bookmarkEnd w:id="136"/>
      <w:bookmarkEnd w:id="137"/>
      <w:bookmarkEnd w:id="138"/>
    </w:p>
    <w:p w:rsidR="0018444C" w:rsidRDefault="00980E38">
      <w:pPr>
        <w:pStyle w:val="DefaultText"/>
        <w:spacing w:before="40" w:after="40" w:line="440" w:lineRule="exact"/>
        <w:ind w:left="980" w:right="-34" w:firstLine="560"/>
        <w:jc w:val="both"/>
        <w:rPr>
          <w:rFonts w:ascii="Times New Roman" w:eastAsia="標楷體" w:hAnsi="Times New Roman"/>
          <w:szCs w:val="28"/>
        </w:rPr>
      </w:pPr>
      <w:r>
        <w:rPr>
          <w:rFonts w:ascii="Times New Roman" w:eastAsia="標楷體" w:hAnsi="Times New Roman"/>
          <w:szCs w:val="28"/>
        </w:rPr>
        <w:t>本事務所及本所估價師與委託人、不動產所有權人或交易雙方僅為單純之業務關係，並無企業會計準則公報及國際會計準則所定之關係人或實質關係人之情事。</w:t>
      </w:r>
    </w:p>
    <w:p w:rsidR="0018444C" w:rsidRDefault="00980E38">
      <w:pPr>
        <w:pStyle w:val="2"/>
        <w:numPr>
          <w:ilvl w:val="0"/>
          <w:numId w:val="19"/>
        </w:numPr>
        <w:tabs>
          <w:tab w:val="left" w:pos="-3023"/>
        </w:tabs>
        <w:spacing w:before="40" w:after="40" w:line="440" w:lineRule="exact"/>
        <w:rPr>
          <w:rFonts w:ascii="Times New Roman" w:hAnsi="Times New Roman"/>
          <w:b w:val="0"/>
          <w:sz w:val="28"/>
          <w:szCs w:val="28"/>
        </w:rPr>
      </w:pPr>
      <w:bookmarkStart w:id="139" w:name="_Toc385837546"/>
      <w:bookmarkStart w:id="140" w:name="_Toc385837935"/>
      <w:bookmarkStart w:id="141" w:name="_Toc391412458"/>
      <w:bookmarkStart w:id="142" w:name="_Toc457337614"/>
      <w:bookmarkStart w:id="143" w:name="_Toc462301004"/>
      <w:bookmarkStart w:id="144" w:name="_Toc488152806"/>
      <w:bookmarkStart w:id="145" w:name="_Toc488163359"/>
      <w:r>
        <w:rPr>
          <w:rFonts w:ascii="Times New Roman" w:hAnsi="Times New Roman"/>
          <w:b w:val="0"/>
          <w:sz w:val="28"/>
          <w:szCs w:val="28"/>
        </w:rPr>
        <w:t>現場勘察參考資料：</w:t>
      </w:r>
      <w:bookmarkStart w:id="146" w:name="_Toc271206288"/>
      <w:bookmarkStart w:id="147" w:name="_Toc300219512"/>
      <w:bookmarkStart w:id="148" w:name="_Toc310843630"/>
      <w:bookmarkEnd w:id="139"/>
      <w:bookmarkEnd w:id="140"/>
      <w:bookmarkEnd w:id="141"/>
      <w:bookmarkEnd w:id="142"/>
      <w:bookmarkEnd w:id="143"/>
      <w:bookmarkEnd w:id="144"/>
      <w:bookmarkEnd w:id="145"/>
    </w:p>
    <w:p w:rsidR="0018444C" w:rsidRDefault="00980E38">
      <w:pPr>
        <w:pStyle w:val="2"/>
        <w:numPr>
          <w:ilvl w:val="0"/>
          <w:numId w:val="19"/>
        </w:numPr>
        <w:tabs>
          <w:tab w:val="left" w:pos="-3023"/>
        </w:tabs>
        <w:spacing w:before="40" w:after="40" w:line="440" w:lineRule="exact"/>
        <w:rPr>
          <w:rFonts w:ascii="Times New Roman" w:hAnsi="Times New Roman"/>
          <w:b w:val="0"/>
          <w:sz w:val="28"/>
          <w:szCs w:val="28"/>
        </w:rPr>
      </w:pPr>
      <w:bookmarkStart w:id="149" w:name="_Toc385837547"/>
      <w:bookmarkStart w:id="150" w:name="_Toc385837936"/>
      <w:bookmarkStart w:id="151" w:name="_Toc391412459"/>
      <w:bookmarkStart w:id="152" w:name="_Toc457337615"/>
      <w:bookmarkStart w:id="153" w:name="_Toc462301005"/>
      <w:bookmarkStart w:id="154" w:name="_Toc488152807"/>
      <w:bookmarkStart w:id="155" w:name="_Toc488163360"/>
      <w:r>
        <w:rPr>
          <w:rFonts w:ascii="Times New Roman" w:hAnsi="Times New Roman"/>
          <w:b w:val="0"/>
          <w:sz w:val="28"/>
          <w:szCs w:val="28"/>
        </w:rPr>
        <w:t>資料來源說明</w:t>
      </w:r>
      <w:bookmarkEnd w:id="146"/>
      <w:bookmarkEnd w:id="147"/>
      <w:bookmarkEnd w:id="148"/>
      <w:bookmarkEnd w:id="149"/>
      <w:bookmarkEnd w:id="150"/>
      <w:bookmarkEnd w:id="151"/>
      <w:bookmarkEnd w:id="152"/>
      <w:bookmarkEnd w:id="153"/>
      <w:bookmarkEnd w:id="154"/>
      <w:bookmarkEnd w:id="155"/>
    </w:p>
    <w:p w:rsidR="0018444C" w:rsidRDefault="00980E38">
      <w:pPr>
        <w:widowControl/>
        <w:numPr>
          <w:ilvl w:val="0"/>
          <w:numId w:val="21"/>
        </w:numPr>
        <w:overflowPunct w:val="0"/>
        <w:autoSpaceDE w:val="0"/>
        <w:spacing w:before="40" w:after="40" w:line="440" w:lineRule="exact"/>
        <w:ind w:left="1140" w:hanging="574"/>
        <w:jc w:val="both"/>
      </w:pPr>
      <w:bookmarkStart w:id="156" w:name="_Toc283023329"/>
      <w:r>
        <w:rPr>
          <w:rFonts w:ascii="Times New Roman" w:eastAsia="標楷體" w:hAnsi="Times New Roman"/>
          <w:sz w:val="28"/>
          <w:szCs w:val="28"/>
        </w:rPr>
        <w:t>不動產權利狀態以土地產權清冊或</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w:t>
      </w:r>
      <w:r>
        <w:rPr>
          <w:rFonts w:ascii="Times New Roman" w:eastAsia="標楷體" w:hAnsi="Times New Roman"/>
          <w:sz w:val="28"/>
          <w:szCs w:val="28"/>
        </w:rPr>
        <w:t>○○</w:t>
      </w:r>
      <w:r>
        <w:rPr>
          <w:rFonts w:ascii="Times New Roman" w:eastAsia="標楷體" w:hAnsi="Times New Roman"/>
          <w:sz w:val="28"/>
          <w:szCs w:val="28"/>
        </w:rPr>
        <w:t>地政事務所民國</w:t>
      </w:r>
      <w:r>
        <w:rPr>
          <w:rFonts w:ascii="Times New Roman" w:eastAsia="標楷體" w:hAnsi="Times New Roman"/>
          <w:sz w:val="28"/>
          <w:szCs w:val="28"/>
        </w:rPr>
        <w:t>○</w:t>
      </w:r>
      <w:r>
        <w:rPr>
          <w:rFonts w:ascii="Times New Roman" w:eastAsia="標楷體" w:hAnsi="Times New Roman"/>
          <w:sz w:val="28"/>
          <w:szCs w:val="28"/>
        </w:rPr>
        <w:t>年</w:t>
      </w:r>
      <w:r>
        <w:rPr>
          <w:rFonts w:ascii="Times New Roman" w:eastAsia="標楷體" w:hAnsi="Times New Roman"/>
          <w:sz w:val="28"/>
          <w:szCs w:val="28"/>
        </w:rPr>
        <w:t>○</w:t>
      </w:r>
      <w:r>
        <w:rPr>
          <w:rFonts w:ascii="Times New Roman" w:eastAsia="標楷體" w:hAnsi="Times New Roman"/>
          <w:sz w:val="28"/>
          <w:szCs w:val="28"/>
        </w:rPr>
        <w:t>月</w:t>
      </w:r>
      <w:r>
        <w:rPr>
          <w:rFonts w:ascii="Times New Roman" w:eastAsia="標楷體" w:hAnsi="Times New Roman"/>
          <w:sz w:val="28"/>
          <w:szCs w:val="28"/>
        </w:rPr>
        <w:t>○</w:t>
      </w:r>
      <w:r>
        <w:rPr>
          <w:rFonts w:ascii="Times New Roman" w:eastAsia="標楷體" w:hAnsi="Times New Roman"/>
          <w:sz w:val="28"/>
          <w:szCs w:val="28"/>
        </w:rPr>
        <w:t>日核發之土地謄本及地籍圖謄本等相關資料為依據。</w:t>
      </w:r>
    </w:p>
    <w:bookmarkEnd w:id="156"/>
    <w:p w:rsidR="0018444C" w:rsidRDefault="00980E38">
      <w:pPr>
        <w:widowControl/>
        <w:numPr>
          <w:ilvl w:val="0"/>
          <w:numId w:val="21"/>
        </w:numPr>
        <w:overflowPunct w:val="0"/>
        <w:autoSpaceDE w:val="0"/>
        <w:spacing w:before="40" w:after="40" w:line="440" w:lineRule="exact"/>
        <w:ind w:left="1140" w:hanging="574"/>
        <w:jc w:val="both"/>
      </w:pPr>
      <w:r>
        <w:rPr>
          <w:rFonts w:ascii="Times New Roman" w:eastAsia="標楷體" w:hAnsi="Times New Roman"/>
          <w:sz w:val="28"/>
          <w:szCs w:val="28"/>
        </w:rPr>
        <w:lastRenderedPageBreak/>
        <w:t>土地使用分區依民國</w:t>
      </w:r>
      <w:r>
        <w:rPr>
          <w:rFonts w:ascii="Times New Roman" w:eastAsia="標楷體" w:hAnsi="Times New Roman"/>
          <w:sz w:val="28"/>
          <w:szCs w:val="28"/>
        </w:rPr>
        <w:t>○</w:t>
      </w:r>
      <w:r>
        <w:rPr>
          <w:rFonts w:ascii="Times New Roman" w:eastAsia="標楷體" w:hAnsi="Times New Roman"/>
          <w:sz w:val="28"/>
          <w:szCs w:val="28"/>
        </w:rPr>
        <w:t>年</w:t>
      </w:r>
      <w:r>
        <w:rPr>
          <w:rFonts w:ascii="Times New Roman" w:eastAsia="標楷體" w:hAnsi="Times New Roman"/>
          <w:sz w:val="28"/>
          <w:szCs w:val="28"/>
        </w:rPr>
        <w:t>○</w:t>
      </w:r>
      <w:r>
        <w:rPr>
          <w:rFonts w:ascii="Times New Roman" w:eastAsia="標楷體" w:hAnsi="Times New Roman"/>
          <w:sz w:val="28"/>
          <w:szCs w:val="28"/>
        </w:rPr>
        <w:t>月</w:t>
      </w:r>
      <w:r>
        <w:rPr>
          <w:rFonts w:ascii="Times New Roman" w:eastAsia="標楷體" w:hAnsi="Times New Roman"/>
          <w:sz w:val="28"/>
          <w:szCs w:val="28"/>
        </w:rPr>
        <w:t>○</w:t>
      </w:r>
      <w:r>
        <w:rPr>
          <w:rFonts w:ascii="Times New Roman" w:eastAsia="標楷體" w:hAnsi="Times New Roman"/>
          <w:sz w:val="28"/>
          <w:szCs w:val="28"/>
        </w:rPr>
        <w:t>日</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南市核發之都市計畫土地使用分區證明書。</w:t>
      </w:r>
    </w:p>
    <w:p w:rsidR="0018444C" w:rsidRDefault="00980E38">
      <w:pPr>
        <w:widowControl/>
        <w:numPr>
          <w:ilvl w:val="0"/>
          <w:numId w:val="21"/>
        </w:numPr>
        <w:overflowPunct w:val="0"/>
        <w:autoSpaceDE w:val="0"/>
        <w:spacing w:before="40" w:after="40" w:line="440" w:lineRule="exact"/>
        <w:ind w:left="1140" w:hanging="574"/>
        <w:jc w:val="both"/>
      </w:pPr>
      <w:r>
        <w:rPr>
          <w:rFonts w:ascii="Times New Roman" w:eastAsia="標楷體" w:hAnsi="Times New Roman"/>
          <w:sz w:val="28"/>
          <w:szCs w:val="28"/>
        </w:rPr>
        <w:t>各宗</w:t>
      </w:r>
      <w:proofErr w:type="gramStart"/>
      <w:r>
        <w:rPr>
          <w:rFonts w:ascii="Times New Roman" w:eastAsia="標楷體" w:hAnsi="Times New Roman"/>
          <w:sz w:val="28"/>
          <w:szCs w:val="28"/>
        </w:rPr>
        <w:t>土地容移前</w:t>
      </w:r>
      <w:proofErr w:type="gramEnd"/>
      <w:r>
        <w:rPr>
          <w:rFonts w:ascii="Times New Roman" w:eastAsia="標楷體" w:hAnsi="Times New Roman"/>
          <w:sz w:val="28"/>
          <w:szCs w:val="28"/>
        </w:rPr>
        <w:t>之地號、面積及地籍圖，依委託人提供之資料為依據。</w:t>
      </w:r>
      <w:r>
        <w:rPr>
          <w:rFonts w:ascii="Times New Roman" w:eastAsia="標楷體" w:hAnsi="Times New Roman"/>
          <w:sz w:val="28"/>
          <w:szCs w:val="28"/>
        </w:rPr>
        <w:t xml:space="preserve"> </w:t>
      </w:r>
    </w:p>
    <w:p w:rsidR="0018444C" w:rsidRDefault="00980E38">
      <w:pPr>
        <w:widowControl/>
        <w:numPr>
          <w:ilvl w:val="0"/>
          <w:numId w:val="21"/>
        </w:numPr>
        <w:overflowPunct w:val="0"/>
        <w:autoSpaceDE w:val="0"/>
        <w:spacing w:before="40" w:after="40" w:line="440" w:lineRule="exact"/>
        <w:ind w:left="1140" w:hanging="574"/>
        <w:jc w:val="both"/>
      </w:pPr>
      <w:bookmarkStart w:id="157" w:name="_Toc283023330"/>
      <w:r>
        <w:rPr>
          <w:rFonts w:ascii="Times New Roman" w:eastAsia="標楷體" w:hAnsi="Times New Roman"/>
          <w:sz w:val="28"/>
          <w:szCs w:val="28"/>
        </w:rPr>
        <w:t>不動產個別條件及區域環境內容，係估價</w:t>
      </w:r>
      <w:proofErr w:type="gramStart"/>
      <w:r>
        <w:rPr>
          <w:rFonts w:ascii="Times New Roman" w:eastAsia="標楷體" w:hAnsi="Times New Roman"/>
          <w:sz w:val="28"/>
          <w:szCs w:val="28"/>
        </w:rPr>
        <w:t>師親赴標</w:t>
      </w:r>
      <w:proofErr w:type="gramEnd"/>
      <w:r>
        <w:rPr>
          <w:rFonts w:ascii="Times New Roman" w:eastAsia="標楷體" w:hAnsi="Times New Roman"/>
          <w:sz w:val="28"/>
          <w:szCs w:val="28"/>
        </w:rPr>
        <w:t>的現場勘察，並依都市計畫及地籍等相關資料查證後記錄之。</w:t>
      </w:r>
      <w:bookmarkEnd w:id="157"/>
    </w:p>
    <w:p w:rsidR="0018444C" w:rsidRDefault="00980E38">
      <w:pPr>
        <w:widowControl/>
        <w:numPr>
          <w:ilvl w:val="0"/>
          <w:numId w:val="21"/>
        </w:numPr>
        <w:overflowPunct w:val="0"/>
        <w:autoSpaceDE w:val="0"/>
        <w:spacing w:before="40" w:after="40" w:line="440" w:lineRule="exact"/>
        <w:ind w:left="1140" w:hanging="574"/>
        <w:jc w:val="both"/>
      </w:pPr>
      <w:bookmarkStart w:id="158" w:name="_Toc283023331"/>
      <w:r>
        <w:rPr>
          <w:rFonts w:ascii="Times New Roman" w:eastAsia="標楷體" w:hAnsi="Times New Roman"/>
          <w:sz w:val="28"/>
          <w:szCs w:val="28"/>
        </w:rPr>
        <w:t>不動產價格評估依據，</w:t>
      </w:r>
      <w:bookmarkEnd w:id="158"/>
      <w:r>
        <w:rPr>
          <w:rFonts w:ascii="Times New Roman" w:eastAsia="標楷體" w:hAnsi="Times New Roman"/>
          <w:sz w:val="28"/>
          <w:szCs w:val="28"/>
        </w:rPr>
        <w:t>係依標的現場實際訪查交易資訊與估價師事務所檔案資料分析而得。</w:t>
      </w:r>
    </w:p>
    <w:p w:rsidR="0018444C" w:rsidRDefault="00980E38">
      <w:pPr>
        <w:pStyle w:val="1"/>
        <w:pageBreakBefore/>
        <w:numPr>
          <w:ilvl w:val="0"/>
          <w:numId w:val="14"/>
        </w:numPr>
        <w:tabs>
          <w:tab w:val="clear" w:pos="720"/>
          <w:tab w:val="clear" w:pos="1440"/>
          <w:tab w:val="clear" w:pos="2160"/>
          <w:tab w:val="clear" w:pos="2472"/>
          <w:tab w:val="clear" w:pos="2880"/>
          <w:tab w:val="clear" w:pos="3600"/>
          <w:tab w:val="clear" w:pos="4320"/>
          <w:tab w:val="clear" w:pos="5040"/>
          <w:tab w:val="clear" w:pos="5760"/>
          <w:tab w:val="clear" w:pos="6480"/>
          <w:tab w:val="clear" w:pos="7200"/>
          <w:tab w:val="clear" w:pos="7920"/>
          <w:tab w:val="clear" w:pos="8640"/>
        </w:tabs>
        <w:spacing w:after="50"/>
        <w:ind w:left="709" w:hanging="709"/>
        <w:rPr>
          <w:rFonts w:ascii="Times New Roman" w:hAnsi="Times New Roman"/>
          <w:sz w:val="32"/>
          <w:szCs w:val="32"/>
        </w:rPr>
      </w:pPr>
      <w:bookmarkStart w:id="159" w:name="_Toc271206289"/>
      <w:bookmarkStart w:id="160" w:name="_Toc300219513"/>
      <w:bookmarkStart w:id="161" w:name="_Toc310843631"/>
      <w:bookmarkStart w:id="162" w:name="_Toc385837548"/>
      <w:bookmarkStart w:id="163" w:name="_Toc385837937"/>
      <w:bookmarkStart w:id="164" w:name="_Toc391412460"/>
      <w:bookmarkStart w:id="165" w:name="_Toc457337616"/>
      <w:bookmarkStart w:id="166" w:name="_Toc462301006"/>
      <w:bookmarkStart w:id="167" w:name="_Toc488152808"/>
      <w:bookmarkStart w:id="168" w:name="_Toc488163361"/>
      <w:r>
        <w:rPr>
          <w:rFonts w:ascii="Times New Roman" w:hAnsi="Times New Roman"/>
          <w:sz w:val="32"/>
          <w:szCs w:val="32"/>
        </w:rPr>
        <w:lastRenderedPageBreak/>
        <w:t>價格形成之因素分析</w:t>
      </w:r>
      <w:bookmarkEnd w:id="159"/>
      <w:bookmarkEnd w:id="160"/>
      <w:bookmarkEnd w:id="161"/>
      <w:bookmarkEnd w:id="162"/>
      <w:bookmarkEnd w:id="163"/>
      <w:bookmarkEnd w:id="164"/>
      <w:bookmarkEnd w:id="165"/>
      <w:bookmarkEnd w:id="166"/>
      <w:bookmarkEnd w:id="167"/>
      <w:bookmarkEnd w:id="168"/>
    </w:p>
    <w:p w:rsidR="0018444C" w:rsidRDefault="00980E38">
      <w:pPr>
        <w:pStyle w:val="2"/>
        <w:numPr>
          <w:ilvl w:val="0"/>
          <w:numId w:val="22"/>
        </w:numPr>
        <w:tabs>
          <w:tab w:val="left" w:pos="993"/>
          <w:tab w:val="left" w:pos="1134"/>
        </w:tabs>
        <w:spacing w:line="440" w:lineRule="exact"/>
        <w:ind w:left="885" w:hanging="482"/>
      </w:pPr>
      <w:bookmarkStart w:id="169" w:name="_Toc271206290"/>
      <w:bookmarkStart w:id="170" w:name="_Toc300219514"/>
      <w:bookmarkStart w:id="171" w:name="_Toc310843632"/>
      <w:bookmarkStart w:id="172" w:name="_Toc385837549"/>
      <w:bookmarkStart w:id="173" w:name="_Toc385837938"/>
      <w:bookmarkStart w:id="174" w:name="_Toc391412461"/>
      <w:bookmarkStart w:id="175" w:name="_Toc457337617"/>
      <w:bookmarkStart w:id="176" w:name="_Toc462301007"/>
      <w:bookmarkStart w:id="177" w:name="_Toc488152809"/>
      <w:bookmarkStart w:id="178" w:name="_Toc488163362"/>
      <w:r>
        <w:rPr>
          <w:rFonts w:ascii="Times New Roman" w:hAnsi="Times New Roman"/>
          <w:b w:val="0"/>
          <w:sz w:val="28"/>
          <w:szCs w:val="28"/>
        </w:rPr>
        <w:t>一般因素分析</w:t>
      </w:r>
      <w:bookmarkEnd w:id="169"/>
      <w:bookmarkEnd w:id="170"/>
      <w:bookmarkEnd w:id="171"/>
      <w:bookmarkEnd w:id="172"/>
      <w:bookmarkEnd w:id="173"/>
      <w:bookmarkEnd w:id="174"/>
      <w:bookmarkEnd w:id="175"/>
      <w:bookmarkEnd w:id="176"/>
      <w:bookmarkEnd w:id="177"/>
      <w:bookmarkEnd w:id="178"/>
    </w:p>
    <w:p w:rsidR="0018444C" w:rsidRDefault="00980E38">
      <w:pPr>
        <w:pStyle w:val="DefaultText"/>
        <w:numPr>
          <w:ilvl w:val="0"/>
          <w:numId w:val="23"/>
        </w:numPr>
        <w:tabs>
          <w:tab w:val="left" w:pos="1134"/>
          <w:tab w:val="center" w:pos="1418"/>
        </w:tabs>
        <w:spacing w:before="40" w:after="40" w:line="440" w:lineRule="exact"/>
        <w:ind w:left="1134" w:right="-308" w:hanging="567"/>
      </w:pPr>
      <w:bookmarkStart w:id="179" w:name="_Toc488152810"/>
      <w:bookmarkStart w:id="180" w:name="_Toc488163363"/>
      <w:r>
        <w:rPr>
          <w:rStyle w:val="30"/>
          <w:rFonts w:ascii="Times New Roman" w:hAnsi="Times New Roman"/>
        </w:rPr>
        <w:t>政策面</w:t>
      </w:r>
      <w:bookmarkEnd w:id="179"/>
      <w:bookmarkEnd w:id="180"/>
      <w:r>
        <w:rPr>
          <w:rFonts w:ascii="Times New Roman" w:eastAsia="標楷體" w:hAnsi="Times New Roman"/>
          <w:szCs w:val="28"/>
        </w:rPr>
        <w:t>：</w:t>
      </w:r>
    </w:p>
    <w:p w:rsidR="0018444C" w:rsidRDefault="00980E38">
      <w:pPr>
        <w:pStyle w:val="DefaultText"/>
        <w:numPr>
          <w:ilvl w:val="0"/>
          <w:numId w:val="23"/>
        </w:numPr>
        <w:tabs>
          <w:tab w:val="left" w:pos="1134"/>
          <w:tab w:val="center" w:pos="1418"/>
        </w:tabs>
        <w:spacing w:before="40" w:after="40" w:line="440" w:lineRule="exact"/>
        <w:ind w:left="1134" w:right="-308" w:hanging="567"/>
      </w:pPr>
      <w:bookmarkStart w:id="181" w:name="_Toc488152811"/>
      <w:bookmarkStart w:id="182" w:name="_Toc488163364"/>
      <w:r>
        <w:rPr>
          <w:rStyle w:val="30"/>
          <w:rFonts w:ascii="Times New Roman" w:hAnsi="Times New Roman"/>
        </w:rPr>
        <w:t>經濟面</w:t>
      </w:r>
      <w:bookmarkEnd w:id="181"/>
      <w:bookmarkEnd w:id="182"/>
      <w:r>
        <w:rPr>
          <w:rFonts w:ascii="Times New Roman" w:eastAsia="標楷體" w:hAnsi="Times New Roman"/>
          <w:szCs w:val="28"/>
        </w:rPr>
        <w:t>：</w:t>
      </w:r>
    </w:p>
    <w:p w:rsidR="0018444C" w:rsidRDefault="00980E38">
      <w:pPr>
        <w:pStyle w:val="DefaultText"/>
        <w:numPr>
          <w:ilvl w:val="0"/>
          <w:numId w:val="23"/>
        </w:numPr>
        <w:tabs>
          <w:tab w:val="left" w:pos="1134"/>
          <w:tab w:val="center" w:pos="1418"/>
        </w:tabs>
        <w:spacing w:before="40" w:after="40" w:line="440" w:lineRule="exact"/>
        <w:ind w:left="1134" w:right="-308" w:hanging="567"/>
      </w:pPr>
      <w:bookmarkStart w:id="183" w:name="_Toc488152812"/>
      <w:bookmarkStart w:id="184" w:name="_Toc488163365"/>
      <w:r>
        <w:rPr>
          <w:rStyle w:val="30"/>
          <w:rFonts w:ascii="Times New Roman" w:hAnsi="Times New Roman"/>
        </w:rPr>
        <w:t>不動產景氣</w:t>
      </w:r>
      <w:bookmarkEnd w:id="183"/>
      <w:bookmarkEnd w:id="184"/>
      <w:r>
        <w:rPr>
          <w:rFonts w:ascii="Times New Roman" w:eastAsia="標楷體" w:hAnsi="Times New Roman"/>
          <w:szCs w:val="28"/>
        </w:rPr>
        <w:t>：</w:t>
      </w:r>
    </w:p>
    <w:p w:rsidR="0018444C" w:rsidRDefault="00980E38">
      <w:pPr>
        <w:pStyle w:val="2"/>
        <w:numPr>
          <w:ilvl w:val="0"/>
          <w:numId w:val="22"/>
        </w:numPr>
        <w:tabs>
          <w:tab w:val="left" w:pos="993"/>
          <w:tab w:val="left" w:pos="1134"/>
        </w:tabs>
        <w:spacing w:line="440" w:lineRule="exact"/>
        <w:ind w:left="885" w:hanging="482"/>
      </w:pPr>
      <w:bookmarkStart w:id="185" w:name="_Toc271206291"/>
      <w:bookmarkStart w:id="186" w:name="_Toc300219515"/>
      <w:bookmarkStart w:id="187" w:name="_Toc310843633"/>
      <w:bookmarkStart w:id="188" w:name="_Toc385837550"/>
      <w:bookmarkStart w:id="189" w:name="_Toc385837939"/>
      <w:bookmarkStart w:id="190" w:name="_Toc391412462"/>
      <w:bookmarkStart w:id="191" w:name="_Toc457337618"/>
      <w:bookmarkStart w:id="192" w:name="_Toc462301008"/>
      <w:bookmarkStart w:id="193" w:name="_Toc488152813"/>
      <w:bookmarkStart w:id="194" w:name="_Toc488163366"/>
      <w:r>
        <w:rPr>
          <w:rFonts w:ascii="Times New Roman" w:hAnsi="Times New Roman"/>
          <w:b w:val="0"/>
          <w:sz w:val="28"/>
          <w:szCs w:val="28"/>
        </w:rPr>
        <w:t>不動產市場發展概況分析</w:t>
      </w:r>
      <w:bookmarkEnd w:id="185"/>
      <w:bookmarkEnd w:id="186"/>
      <w:bookmarkEnd w:id="187"/>
      <w:bookmarkEnd w:id="188"/>
      <w:bookmarkEnd w:id="189"/>
      <w:bookmarkEnd w:id="190"/>
      <w:bookmarkEnd w:id="191"/>
      <w:bookmarkEnd w:id="192"/>
      <w:bookmarkEnd w:id="193"/>
      <w:bookmarkEnd w:id="194"/>
    </w:p>
    <w:p w:rsidR="0018444C" w:rsidRDefault="00980E38">
      <w:pPr>
        <w:widowControl/>
        <w:numPr>
          <w:ilvl w:val="0"/>
          <w:numId w:val="24"/>
        </w:numPr>
        <w:overflowPunct w:val="0"/>
        <w:autoSpaceDE w:val="0"/>
        <w:spacing w:before="40" w:after="40" w:line="440" w:lineRule="exact"/>
        <w:ind w:left="1134" w:hanging="567"/>
      </w:pPr>
      <w:bookmarkStart w:id="195" w:name="_Toc488152814"/>
      <w:bookmarkStart w:id="196" w:name="_Toc488163367"/>
      <w:r>
        <w:rPr>
          <w:rStyle w:val="30"/>
          <w:rFonts w:ascii="Times New Roman" w:hAnsi="Times New Roman"/>
        </w:rPr>
        <w:t>市場供給</w:t>
      </w:r>
      <w:bookmarkEnd w:id="195"/>
      <w:bookmarkEnd w:id="196"/>
      <w:r>
        <w:rPr>
          <w:rFonts w:ascii="Times New Roman" w:eastAsia="標楷體" w:hAnsi="Times New Roman"/>
          <w:sz w:val="28"/>
          <w:szCs w:val="28"/>
        </w:rPr>
        <w:t>：</w:t>
      </w:r>
    </w:p>
    <w:p w:rsidR="0018444C" w:rsidRDefault="00980E38">
      <w:pPr>
        <w:widowControl/>
        <w:numPr>
          <w:ilvl w:val="0"/>
          <w:numId w:val="24"/>
        </w:numPr>
        <w:overflowPunct w:val="0"/>
        <w:autoSpaceDE w:val="0"/>
        <w:spacing w:before="40" w:after="40" w:line="440" w:lineRule="exact"/>
        <w:ind w:left="1134" w:hanging="567"/>
      </w:pPr>
      <w:bookmarkStart w:id="197" w:name="_Toc488152815"/>
      <w:bookmarkStart w:id="198" w:name="_Toc488163368"/>
      <w:r>
        <w:rPr>
          <w:rStyle w:val="30"/>
          <w:rFonts w:ascii="Times New Roman" w:hAnsi="Times New Roman"/>
        </w:rPr>
        <w:t>市場需求</w:t>
      </w:r>
      <w:bookmarkEnd w:id="197"/>
      <w:bookmarkEnd w:id="198"/>
      <w:r>
        <w:rPr>
          <w:rFonts w:ascii="Times New Roman" w:eastAsia="標楷體" w:hAnsi="Times New Roman"/>
          <w:sz w:val="28"/>
          <w:szCs w:val="28"/>
        </w:rPr>
        <w:t>：</w:t>
      </w:r>
    </w:p>
    <w:p w:rsidR="0018444C" w:rsidRDefault="00980E38">
      <w:pPr>
        <w:widowControl/>
        <w:numPr>
          <w:ilvl w:val="0"/>
          <w:numId w:val="24"/>
        </w:numPr>
        <w:overflowPunct w:val="0"/>
        <w:autoSpaceDE w:val="0"/>
        <w:spacing w:before="40" w:after="40" w:line="440" w:lineRule="exact"/>
        <w:ind w:left="1134" w:hanging="567"/>
      </w:pPr>
      <w:bookmarkStart w:id="199" w:name="_Toc488152816"/>
      <w:bookmarkStart w:id="200" w:name="_Toc488163369"/>
      <w:r>
        <w:rPr>
          <w:rStyle w:val="30"/>
          <w:rFonts w:ascii="Times New Roman" w:hAnsi="Times New Roman"/>
        </w:rPr>
        <w:t>市場產品型態</w:t>
      </w:r>
      <w:bookmarkEnd w:id="199"/>
      <w:bookmarkEnd w:id="200"/>
      <w:r>
        <w:rPr>
          <w:rFonts w:ascii="Times New Roman" w:eastAsia="標楷體" w:hAnsi="Times New Roman"/>
          <w:sz w:val="28"/>
          <w:szCs w:val="28"/>
        </w:rPr>
        <w:t>：</w:t>
      </w:r>
    </w:p>
    <w:p w:rsidR="0018444C" w:rsidRDefault="00980E38">
      <w:pPr>
        <w:widowControl/>
        <w:numPr>
          <w:ilvl w:val="0"/>
          <w:numId w:val="24"/>
        </w:numPr>
        <w:overflowPunct w:val="0"/>
        <w:autoSpaceDE w:val="0"/>
        <w:spacing w:before="40" w:after="40" w:line="440" w:lineRule="exact"/>
        <w:ind w:left="1134" w:hanging="567"/>
      </w:pPr>
      <w:bookmarkStart w:id="201" w:name="_Toc488152817"/>
      <w:bookmarkStart w:id="202" w:name="_Toc488163370"/>
      <w:r>
        <w:rPr>
          <w:rStyle w:val="30"/>
          <w:rFonts w:ascii="Times New Roman" w:hAnsi="Times New Roman"/>
        </w:rPr>
        <w:t>不動產市場價格水準分析</w:t>
      </w:r>
      <w:bookmarkEnd w:id="201"/>
      <w:bookmarkEnd w:id="202"/>
      <w:r>
        <w:rPr>
          <w:rFonts w:ascii="Times New Roman" w:eastAsia="標楷體" w:hAnsi="Times New Roman"/>
          <w:sz w:val="28"/>
          <w:szCs w:val="28"/>
        </w:rPr>
        <w:t>：</w:t>
      </w:r>
    </w:p>
    <w:p w:rsidR="0018444C" w:rsidRDefault="00980E38">
      <w:pPr>
        <w:pStyle w:val="2"/>
        <w:numPr>
          <w:ilvl w:val="0"/>
          <w:numId w:val="22"/>
        </w:numPr>
        <w:tabs>
          <w:tab w:val="left" w:pos="993"/>
          <w:tab w:val="left" w:pos="1134"/>
        </w:tabs>
        <w:spacing w:line="440" w:lineRule="exact"/>
        <w:ind w:left="885" w:hanging="482"/>
        <w:rPr>
          <w:rFonts w:ascii="Times New Roman" w:hAnsi="Times New Roman"/>
          <w:b w:val="0"/>
          <w:sz w:val="28"/>
          <w:szCs w:val="28"/>
        </w:rPr>
      </w:pPr>
      <w:bookmarkStart w:id="203" w:name="_Toc271206292"/>
      <w:bookmarkStart w:id="204" w:name="_Toc300219516"/>
      <w:bookmarkStart w:id="205" w:name="_Toc310843634"/>
      <w:bookmarkStart w:id="206" w:name="_Toc385837551"/>
      <w:bookmarkStart w:id="207" w:name="_Toc385837940"/>
      <w:bookmarkStart w:id="208" w:name="_Toc391412463"/>
      <w:bookmarkStart w:id="209" w:name="_Toc457337619"/>
      <w:bookmarkStart w:id="210" w:name="_Toc462301009"/>
      <w:bookmarkStart w:id="211" w:name="_Toc488152818"/>
      <w:bookmarkStart w:id="212" w:name="_Toc488163371"/>
      <w:r>
        <w:rPr>
          <w:rFonts w:ascii="Times New Roman" w:hAnsi="Times New Roman"/>
          <w:b w:val="0"/>
          <w:sz w:val="28"/>
          <w:szCs w:val="28"/>
        </w:rPr>
        <w:t>區域因素分析</w:t>
      </w:r>
      <w:bookmarkEnd w:id="203"/>
      <w:bookmarkEnd w:id="204"/>
      <w:bookmarkEnd w:id="205"/>
      <w:bookmarkEnd w:id="206"/>
      <w:bookmarkEnd w:id="207"/>
      <w:bookmarkEnd w:id="208"/>
      <w:bookmarkEnd w:id="209"/>
      <w:bookmarkEnd w:id="210"/>
      <w:bookmarkEnd w:id="211"/>
      <w:bookmarkEnd w:id="212"/>
    </w:p>
    <w:p w:rsidR="0018444C" w:rsidRDefault="00980E38">
      <w:pPr>
        <w:pStyle w:val="DefaultText"/>
        <w:spacing w:before="40" w:after="40" w:line="440" w:lineRule="exact"/>
        <w:ind w:left="993"/>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tabs>
          <w:tab w:val="left" w:pos="1701"/>
        </w:tabs>
        <w:spacing w:before="40" w:after="40" w:line="440" w:lineRule="exact"/>
        <w:ind w:left="993"/>
        <w:jc w:val="both"/>
        <w:rPr>
          <w:rFonts w:ascii="Times New Roman" w:eastAsia="標楷體" w:hAnsi="Times New Roman"/>
          <w:sz w:val="24"/>
          <w:szCs w:val="24"/>
        </w:rPr>
      </w:pPr>
      <w:r>
        <w:rPr>
          <w:rFonts w:ascii="Times New Roman" w:eastAsia="標楷體" w:hAnsi="Times New Roman"/>
          <w:sz w:val="24"/>
          <w:szCs w:val="24"/>
        </w:rPr>
        <w:t>以</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的所屬之近鄰地區，進行區域因素分析為原則。</w:t>
      </w:r>
    </w:p>
    <w:p w:rsidR="0018444C" w:rsidRDefault="00980E38">
      <w:pPr>
        <w:pStyle w:val="DefaultText"/>
        <w:numPr>
          <w:ilvl w:val="0"/>
          <w:numId w:val="25"/>
        </w:numPr>
        <w:spacing w:before="40" w:after="40" w:line="440" w:lineRule="exact"/>
        <w:ind w:left="1134" w:hanging="567"/>
      </w:pPr>
      <w:bookmarkStart w:id="213" w:name="_Toc488152819"/>
      <w:bookmarkStart w:id="214" w:name="_Toc488163372"/>
      <w:r>
        <w:rPr>
          <w:rStyle w:val="30"/>
          <w:rFonts w:ascii="Times New Roman" w:hAnsi="Times New Roman"/>
        </w:rPr>
        <w:t>近鄰地區土地利用情形</w:t>
      </w:r>
      <w:bookmarkEnd w:id="213"/>
      <w:bookmarkEnd w:id="214"/>
      <w:r>
        <w:rPr>
          <w:rFonts w:ascii="Times New Roman" w:eastAsia="標楷體" w:hAnsi="Times New Roman"/>
          <w:szCs w:val="28"/>
        </w:rPr>
        <w:t>：</w:t>
      </w:r>
    </w:p>
    <w:p w:rsidR="0018444C" w:rsidRDefault="00980E38">
      <w:pPr>
        <w:pStyle w:val="DefaultText"/>
        <w:numPr>
          <w:ilvl w:val="0"/>
          <w:numId w:val="25"/>
        </w:numPr>
        <w:spacing w:before="40" w:after="40" w:line="440" w:lineRule="exact"/>
        <w:ind w:left="1134" w:hanging="567"/>
      </w:pPr>
      <w:bookmarkStart w:id="215" w:name="_Toc488152820"/>
      <w:bookmarkStart w:id="216" w:name="_Toc488163373"/>
      <w:r>
        <w:rPr>
          <w:rStyle w:val="30"/>
          <w:rFonts w:ascii="Times New Roman" w:hAnsi="Times New Roman"/>
        </w:rPr>
        <w:t>近鄰地區建物利用情況</w:t>
      </w:r>
      <w:bookmarkEnd w:id="215"/>
      <w:bookmarkEnd w:id="216"/>
      <w:r>
        <w:rPr>
          <w:rFonts w:ascii="Times New Roman" w:eastAsia="標楷體" w:hAnsi="Times New Roman"/>
          <w:szCs w:val="28"/>
        </w:rPr>
        <w:t>：</w:t>
      </w:r>
    </w:p>
    <w:p w:rsidR="0018444C" w:rsidRDefault="00980E38">
      <w:pPr>
        <w:pStyle w:val="DefaultText"/>
        <w:numPr>
          <w:ilvl w:val="0"/>
          <w:numId w:val="25"/>
        </w:numPr>
        <w:spacing w:before="40" w:after="40" w:line="440" w:lineRule="exact"/>
        <w:ind w:left="1134" w:hanging="567"/>
      </w:pPr>
      <w:bookmarkStart w:id="217" w:name="_Toc488152821"/>
      <w:bookmarkStart w:id="218" w:name="_Toc488163374"/>
      <w:r>
        <w:rPr>
          <w:rStyle w:val="30"/>
          <w:rFonts w:ascii="Times New Roman" w:hAnsi="Times New Roman"/>
        </w:rPr>
        <w:t>近鄰地區之公共設施概況</w:t>
      </w:r>
      <w:bookmarkEnd w:id="217"/>
      <w:bookmarkEnd w:id="218"/>
      <w:r>
        <w:rPr>
          <w:rFonts w:ascii="Times New Roman" w:eastAsia="標楷體" w:hAnsi="Times New Roman"/>
          <w:szCs w:val="28"/>
        </w:rPr>
        <w:t>：</w:t>
      </w:r>
    </w:p>
    <w:p w:rsidR="0018444C" w:rsidRDefault="00980E38">
      <w:pPr>
        <w:pStyle w:val="DefaultText"/>
        <w:numPr>
          <w:ilvl w:val="0"/>
          <w:numId w:val="25"/>
        </w:numPr>
        <w:spacing w:before="40" w:after="40" w:line="440" w:lineRule="exact"/>
        <w:ind w:left="1134" w:hanging="567"/>
      </w:pPr>
      <w:bookmarkStart w:id="219" w:name="_Toc488152822"/>
      <w:bookmarkStart w:id="220" w:name="_Toc488163375"/>
      <w:r>
        <w:rPr>
          <w:rStyle w:val="30"/>
          <w:rFonts w:ascii="Times New Roman" w:hAnsi="Times New Roman"/>
        </w:rPr>
        <w:t>近鄰地區之交通運輸概況</w:t>
      </w:r>
      <w:bookmarkEnd w:id="219"/>
      <w:bookmarkEnd w:id="220"/>
      <w:r>
        <w:rPr>
          <w:rFonts w:ascii="Times New Roman" w:eastAsia="標楷體" w:hAnsi="Times New Roman"/>
          <w:szCs w:val="28"/>
        </w:rPr>
        <w:t>：</w:t>
      </w:r>
    </w:p>
    <w:p w:rsidR="0018444C" w:rsidRDefault="00980E38">
      <w:pPr>
        <w:pStyle w:val="DefaultText"/>
        <w:numPr>
          <w:ilvl w:val="0"/>
          <w:numId w:val="25"/>
        </w:numPr>
        <w:spacing w:before="40" w:after="40" w:line="440" w:lineRule="exact"/>
        <w:ind w:left="1134" w:hanging="567"/>
      </w:pPr>
      <w:bookmarkStart w:id="221" w:name="_Toc488152823"/>
      <w:bookmarkStart w:id="222" w:name="_Toc488163376"/>
      <w:r>
        <w:rPr>
          <w:rStyle w:val="30"/>
          <w:rFonts w:ascii="Times New Roman" w:hAnsi="Times New Roman"/>
        </w:rPr>
        <w:t>近鄰地區重大公共建設或地標</w:t>
      </w:r>
      <w:bookmarkEnd w:id="221"/>
      <w:bookmarkEnd w:id="222"/>
      <w:r>
        <w:rPr>
          <w:rFonts w:ascii="Times New Roman" w:eastAsia="標楷體" w:hAnsi="Times New Roman"/>
          <w:szCs w:val="28"/>
        </w:rPr>
        <w:t>：</w:t>
      </w:r>
    </w:p>
    <w:p w:rsidR="0018444C" w:rsidRDefault="00980E38">
      <w:pPr>
        <w:pStyle w:val="DefaultText"/>
        <w:numPr>
          <w:ilvl w:val="0"/>
          <w:numId w:val="25"/>
        </w:numPr>
        <w:spacing w:before="40" w:after="40" w:line="440" w:lineRule="exact"/>
        <w:ind w:left="1134" w:hanging="567"/>
      </w:pPr>
      <w:bookmarkStart w:id="223" w:name="_Toc488152824"/>
      <w:bookmarkStart w:id="224" w:name="_Toc488163377"/>
      <w:r>
        <w:rPr>
          <w:rStyle w:val="30"/>
          <w:rFonts w:ascii="Times New Roman" w:hAnsi="Times New Roman"/>
        </w:rPr>
        <w:t>近鄰地區未來發展趨勢</w:t>
      </w:r>
      <w:bookmarkEnd w:id="223"/>
      <w:bookmarkEnd w:id="224"/>
      <w:r>
        <w:rPr>
          <w:rFonts w:ascii="Times New Roman" w:eastAsia="標楷體" w:hAnsi="Times New Roman"/>
          <w:szCs w:val="28"/>
        </w:rPr>
        <w:t>：</w:t>
      </w:r>
    </w:p>
    <w:p w:rsidR="0018444C" w:rsidRDefault="00980E38">
      <w:pPr>
        <w:pStyle w:val="2"/>
        <w:numPr>
          <w:ilvl w:val="0"/>
          <w:numId w:val="22"/>
        </w:numPr>
        <w:tabs>
          <w:tab w:val="left" w:pos="993"/>
          <w:tab w:val="left" w:pos="1134"/>
        </w:tabs>
        <w:spacing w:line="440" w:lineRule="exact"/>
        <w:ind w:left="885" w:hanging="482"/>
        <w:rPr>
          <w:rFonts w:ascii="Times New Roman" w:hAnsi="Times New Roman"/>
          <w:b w:val="0"/>
          <w:sz w:val="28"/>
          <w:szCs w:val="28"/>
        </w:rPr>
      </w:pPr>
      <w:bookmarkStart w:id="225" w:name="_Toc271206293"/>
      <w:bookmarkStart w:id="226" w:name="_Toc300219517"/>
      <w:bookmarkStart w:id="227" w:name="_Toc310843635"/>
      <w:bookmarkStart w:id="228" w:name="_Toc385837552"/>
      <w:bookmarkStart w:id="229" w:name="_Toc385837941"/>
      <w:bookmarkStart w:id="230" w:name="_Toc391412464"/>
      <w:bookmarkStart w:id="231" w:name="_Toc457337620"/>
      <w:bookmarkStart w:id="232" w:name="_Toc462301010"/>
      <w:bookmarkStart w:id="233" w:name="_Toc488152825"/>
      <w:bookmarkStart w:id="234" w:name="_Toc488163378"/>
      <w:r>
        <w:rPr>
          <w:rFonts w:ascii="Times New Roman" w:hAnsi="Times New Roman"/>
          <w:b w:val="0"/>
          <w:sz w:val="28"/>
          <w:szCs w:val="28"/>
        </w:rPr>
        <w:t>個別因素分析</w:t>
      </w:r>
      <w:bookmarkEnd w:id="225"/>
      <w:bookmarkEnd w:id="226"/>
      <w:bookmarkEnd w:id="227"/>
      <w:bookmarkEnd w:id="228"/>
      <w:bookmarkEnd w:id="229"/>
      <w:bookmarkEnd w:id="230"/>
      <w:bookmarkEnd w:id="231"/>
      <w:bookmarkEnd w:id="232"/>
      <w:bookmarkEnd w:id="233"/>
      <w:bookmarkEnd w:id="234"/>
    </w:p>
    <w:p w:rsidR="0018444C" w:rsidRDefault="00980E38">
      <w:pPr>
        <w:pStyle w:val="DefaultText"/>
        <w:numPr>
          <w:ilvl w:val="0"/>
          <w:numId w:val="26"/>
        </w:numPr>
        <w:spacing w:before="40" w:after="40" w:line="440" w:lineRule="exact"/>
        <w:ind w:left="1134" w:hanging="567"/>
      </w:pPr>
      <w:bookmarkStart w:id="235" w:name="_Toc488152826"/>
      <w:bookmarkStart w:id="236" w:name="_Toc488163379"/>
      <w:r>
        <w:rPr>
          <w:rStyle w:val="30"/>
          <w:rFonts w:ascii="Times New Roman" w:hAnsi="Times New Roman"/>
        </w:rPr>
        <w:t>土地個別條件分析</w:t>
      </w:r>
      <w:bookmarkEnd w:id="235"/>
      <w:bookmarkEnd w:id="236"/>
      <w:r>
        <w:rPr>
          <w:rFonts w:ascii="Times New Roman" w:eastAsia="標楷體" w:hAnsi="Times New Roman"/>
          <w:szCs w:val="28"/>
        </w:rPr>
        <w:t>：</w:t>
      </w:r>
    </w:p>
    <w:p w:rsidR="0018444C" w:rsidRDefault="00980E38">
      <w:pPr>
        <w:pStyle w:val="DefaultText"/>
        <w:numPr>
          <w:ilvl w:val="0"/>
          <w:numId w:val="27"/>
        </w:numPr>
        <w:spacing w:before="40" w:after="40" w:line="440" w:lineRule="exact"/>
        <w:ind w:left="1559" w:hanging="425"/>
      </w:pPr>
      <w:r>
        <w:rPr>
          <w:rFonts w:ascii="Times New Roman" w:eastAsia="標楷體" w:hAnsi="Times New Roman"/>
          <w:szCs w:val="28"/>
        </w:rPr>
        <w:t>土地位置：</w:t>
      </w:r>
    </w:p>
    <w:p w:rsidR="0018444C" w:rsidRDefault="00980E38">
      <w:pPr>
        <w:pStyle w:val="DefaultText"/>
        <w:numPr>
          <w:ilvl w:val="0"/>
          <w:numId w:val="28"/>
        </w:numPr>
        <w:tabs>
          <w:tab w:val="center" w:pos="1505"/>
        </w:tabs>
        <w:spacing w:before="40" w:after="40" w:line="440" w:lineRule="exact"/>
        <w:ind w:left="1899" w:hanging="340"/>
        <w:jc w:val="both"/>
        <w:rPr>
          <w:rFonts w:ascii="Times New Roman" w:eastAsia="標楷體" w:hAnsi="Times New Roman"/>
          <w:szCs w:val="28"/>
        </w:rPr>
      </w:pPr>
      <w:r>
        <w:rPr>
          <w:rFonts w:ascii="Times New Roman" w:eastAsia="標楷體" w:hAnsi="Times New Roman"/>
          <w:szCs w:val="28"/>
        </w:rPr>
        <w:t>土地座落：</w:t>
      </w:r>
      <w:r>
        <w:rPr>
          <w:rFonts w:ascii="Times New Roman" w:eastAsia="標楷體" w:hAnsi="Times New Roman"/>
          <w:szCs w:val="28"/>
        </w:rPr>
        <w:t xml:space="preserve"> </w:t>
      </w:r>
    </w:p>
    <w:p w:rsidR="0018444C" w:rsidRDefault="00980E38">
      <w:pPr>
        <w:pStyle w:val="DefaultText"/>
        <w:numPr>
          <w:ilvl w:val="0"/>
          <w:numId w:val="28"/>
        </w:numPr>
        <w:tabs>
          <w:tab w:val="center" w:pos="1505"/>
        </w:tabs>
        <w:spacing w:before="40" w:after="40" w:line="440" w:lineRule="exact"/>
        <w:ind w:left="1899" w:hanging="340"/>
        <w:jc w:val="both"/>
        <w:rPr>
          <w:rFonts w:ascii="Times New Roman" w:eastAsia="標楷體" w:hAnsi="Times New Roman"/>
          <w:szCs w:val="28"/>
        </w:rPr>
      </w:pPr>
      <w:r>
        <w:rPr>
          <w:rFonts w:ascii="Times New Roman" w:eastAsia="標楷體" w:hAnsi="Times New Roman"/>
          <w:szCs w:val="28"/>
        </w:rPr>
        <w:t>土地面臨：</w:t>
      </w:r>
    </w:p>
    <w:p w:rsidR="0018444C" w:rsidRDefault="00980E38">
      <w:pPr>
        <w:pStyle w:val="DefaultText"/>
        <w:numPr>
          <w:ilvl w:val="0"/>
          <w:numId w:val="28"/>
        </w:numPr>
        <w:tabs>
          <w:tab w:val="center" w:pos="1505"/>
        </w:tabs>
        <w:spacing w:before="40" w:after="40" w:line="440" w:lineRule="exact"/>
        <w:ind w:left="1899" w:hanging="340"/>
        <w:jc w:val="both"/>
        <w:rPr>
          <w:rFonts w:ascii="Times New Roman" w:eastAsia="標楷體" w:hAnsi="Times New Roman"/>
          <w:szCs w:val="28"/>
        </w:rPr>
      </w:pPr>
      <w:r>
        <w:rPr>
          <w:rFonts w:ascii="Times New Roman" w:eastAsia="標楷體" w:hAnsi="Times New Roman"/>
          <w:szCs w:val="28"/>
        </w:rPr>
        <w:t>土地近鄰：</w:t>
      </w:r>
      <w:r>
        <w:rPr>
          <w:rFonts w:ascii="Times New Roman" w:eastAsia="標楷體" w:hAnsi="Times New Roman"/>
          <w:szCs w:val="28"/>
        </w:rPr>
        <w:t xml:space="preserve"> </w:t>
      </w:r>
    </w:p>
    <w:p w:rsidR="0018444C" w:rsidRDefault="00980E38">
      <w:pPr>
        <w:pStyle w:val="DefaultText"/>
        <w:numPr>
          <w:ilvl w:val="0"/>
          <w:numId w:val="27"/>
        </w:numPr>
        <w:spacing w:before="40" w:after="40" w:line="440" w:lineRule="exact"/>
        <w:ind w:left="1559" w:hanging="425"/>
      </w:pPr>
      <w:r>
        <w:rPr>
          <w:rFonts w:ascii="Times New Roman" w:eastAsia="標楷體" w:hAnsi="Times New Roman"/>
          <w:szCs w:val="28"/>
        </w:rPr>
        <w:t>基地個別因素：土地地勢為</w:t>
      </w:r>
      <w:r>
        <w:rPr>
          <w:rFonts w:ascii="Times New Roman" w:eastAsia="標楷體" w:hAnsi="Times New Roman"/>
          <w:szCs w:val="28"/>
        </w:rPr>
        <w:t>○</w:t>
      </w:r>
      <w:r>
        <w:rPr>
          <w:rFonts w:ascii="Times New Roman" w:eastAsia="標楷體" w:hAnsi="Times New Roman"/>
          <w:szCs w:val="28"/>
        </w:rPr>
        <w:t>，地形略呈</w:t>
      </w:r>
      <w:r>
        <w:rPr>
          <w:rFonts w:ascii="Times New Roman" w:eastAsia="標楷體" w:hAnsi="Times New Roman"/>
          <w:szCs w:val="28"/>
        </w:rPr>
        <w:t>○</w:t>
      </w:r>
      <w:r>
        <w:rPr>
          <w:rFonts w:ascii="Times New Roman" w:eastAsia="標楷體" w:hAnsi="Times New Roman"/>
          <w:szCs w:val="28"/>
        </w:rPr>
        <w:t>形。</w:t>
      </w:r>
    </w:p>
    <w:p w:rsidR="0018444C" w:rsidRDefault="00980E38">
      <w:pPr>
        <w:pStyle w:val="DefaultText"/>
        <w:numPr>
          <w:ilvl w:val="0"/>
          <w:numId w:val="26"/>
        </w:numPr>
        <w:spacing w:before="40" w:after="40" w:line="440" w:lineRule="exact"/>
        <w:ind w:left="1134" w:hanging="567"/>
      </w:pPr>
      <w:bookmarkStart w:id="237" w:name="_Toc488152827"/>
      <w:bookmarkStart w:id="238" w:name="_Toc488163380"/>
      <w:r>
        <w:rPr>
          <w:rStyle w:val="30"/>
          <w:rFonts w:ascii="Times New Roman" w:hAnsi="Times New Roman"/>
        </w:rPr>
        <w:t>土地使用管制事項</w:t>
      </w:r>
      <w:bookmarkEnd w:id="237"/>
      <w:bookmarkEnd w:id="238"/>
      <w:r>
        <w:rPr>
          <w:rFonts w:ascii="Times New Roman" w:eastAsia="標楷體" w:hAnsi="Times New Roman"/>
          <w:szCs w:val="28"/>
        </w:rPr>
        <w:t>：</w:t>
      </w:r>
    </w:p>
    <w:p w:rsidR="0018444C" w:rsidRDefault="00980E38">
      <w:pPr>
        <w:pStyle w:val="DefaultText"/>
        <w:numPr>
          <w:ilvl w:val="0"/>
          <w:numId w:val="29"/>
        </w:numPr>
        <w:spacing w:before="40" w:after="40" w:line="440" w:lineRule="exact"/>
        <w:ind w:left="1560" w:hanging="426"/>
        <w:jc w:val="both"/>
      </w:pPr>
      <w:proofErr w:type="gramStart"/>
      <w:r>
        <w:rPr>
          <w:rFonts w:ascii="Times New Roman" w:eastAsia="標楷體" w:hAnsi="Times New Roman"/>
          <w:szCs w:val="28"/>
        </w:rPr>
        <w:t>勘估標</w:t>
      </w:r>
      <w:proofErr w:type="gramEnd"/>
      <w:r>
        <w:rPr>
          <w:rFonts w:ascii="Times New Roman" w:eastAsia="標楷體" w:hAnsi="Times New Roman"/>
          <w:szCs w:val="28"/>
        </w:rPr>
        <w:t>的土地使用分區為</w:t>
      </w:r>
      <w:r>
        <w:rPr>
          <w:rFonts w:ascii="Times New Roman" w:eastAsia="標楷體" w:hAnsi="Times New Roman"/>
          <w:szCs w:val="28"/>
        </w:rPr>
        <w:t>○</w:t>
      </w:r>
      <w:r>
        <w:rPr>
          <w:rFonts w:ascii="Times New Roman" w:eastAsia="標楷體" w:hAnsi="Times New Roman"/>
          <w:szCs w:val="28"/>
        </w:rPr>
        <w:t>區。</w:t>
      </w:r>
    </w:p>
    <w:p w:rsidR="0018444C" w:rsidRDefault="00980E38">
      <w:pPr>
        <w:pStyle w:val="DefaultText"/>
        <w:numPr>
          <w:ilvl w:val="0"/>
          <w:numId w:val="29"/>
        </w:numPr>
        <w:spacing w:before="40" w:after="40" w:line="440" w:lineRule="exact"/>
        <w:ind w:left="1560" w:hanging="426"/>
        <w:jc w:val="both"/>
      </w:pPr>
      <w:r>
        <w:rPr>
          <w:rFonts w:ascii="Times New Roman" w:eastAsia="標楷體" w:hAnsi="Times New Roman"/>
          <w:szCs w:val="28"/>
        </w:rPr>
        <w:lastRenderedPageBreak/>
        <w:t>依都市計畫及土地使用分區管制規定，法定建蔽率</w:t>
      </w:r>
      <w:r>
        <w:rPr>
          <w:rFonts w:ascii="Times New Roman" w:eastAsia="標楷體" w:hAnsi="Times New Roman"/>
          <w:szCs w:val="28"/>
        </w:rPr>
        <w:t>○%</w:t>
      </w:r>
      <w:r>
        <w:rPr>
          <w:rFonts w:ascii="Times New Roman" w:eastAsia="標楷體" w:hAnsi="Times New Roman"/>
          <w:szCs w:val="28"/>
        </w:rPr>
        <w:t>、法定容積率</w:t>
      </w:r>
      <w:r>
        <w:rPr>
          <w:rFonts w:ascii="Times New Roman" w:eastAsia="標楷體" w:hAnsi="Times New Roman"/>
          <w:szCs w:val="28"/>
        </w:rPr>
        <w:t>○%</w:t>
      </w:r>
      <w:r>
        <w:rPr>
          <w:rFonts w:ascii="Times New Roman" w:eastAsia="標楷體" w:hAnsi="Times New Roman"/>
          <w:szCs w:val="28"/>
        </w:rPr>
        <w:t>。</w:t>
      </w:r>
      <w:r>
        <w:rPr>
          <w:rFonts w:ascii="Times New Roman" w:eastAsia="標楷體" w:hAnsi="Times New Roman"/>
        </w:rPr>
        <w:t>申請</w:t>
      </w:r>
      <w:r>
        <w:rPr>
          <w:rFonts w:ascii="Times New Roman" w:eastAsia="標楷體" w:hAnsi="Times New Roman"/>
          <w:szCs w:val="28"/>
        </w:rPr>
        <w:t>移入容積為基準容積之</w:t>
      </w:r>
      <w:r>
        <w:rPr>
          <w:rFonts w:ascii="Times New Roman" w:eastAsia="標楷體" w:hAnsi="Times New Roman"/>
          <w:szCs w:val="28"/>
        </w:rPr>
        <w:t>○%</w:t>
      </w:r>
      <w:r>
        <w:rPr>
          <w:rFonts w:ascii="Times New Roman" w:eastAsia="標楷體" w:hAnsi="Times New Roman"/>
          <w:szCs w:val="28"/>
        </w:rPr>
        <w:t>。</w:t>
      </w:r>
    </w:p>
    <w:p w:rsidR="0018444C" w:rsidRDefault="00980E38">
      <w:pPr>
        <w:pStyle w:val="DefaultText"/>
        <w:numPr>
          <w:ilvl w:val="0"/>
          <w:numId w:val="29"/>
        </w:numPr>
        <w:spacing w:before="40" w:after="40" w:line="440" w:lineRule="exact"/>
        <w:ind w:left="1560" w:hanging="426"/>
        <w:jc w:val="both"/>
      </w:pPr>
      <w:r>
        <w:rPr>
          <w:rFonts w:ascii="Times New Roman" w:eastAsia="標楷體" w:hAnsi="Times New Roman"/>
        </w:rPr>
        <w:t>依委託單位提供之容積移轉折</w:t>
      </w:r>
      <w:proofErr w:type="gramStart"/>
      <w:r>
        <w:rPr>
          <w:rFonts w:ascii="Times New Roman" w:eastAsia="標楷體" w:hAnsi="Times New Roman"/>
        </w:rPr>
        <w:t>繳</w:t>
      </w:r>
      <w:proofErr w:type="gramEnd"/>
      <w:r>
        <w:rPr>
          <w:rFonts w:ascii="Times New Roman" w:eastAsia="標楷體" w:hAnsi="Times New Roman"/>
        </w:rPr>
        <w:t>代金估價說明書分析容積移入前後建築結構、興建樓層、使用用途、樓地板面積、各專有、共有部分</w:t>
      </w:r>
      <w:r>
        <w:rPr>
          <w:rFonts w:ascii="Times New Roman" w:eastAsia="標楷體" w:hAnsi="Times New Roman"/>
          <w:szCs w:val="28"/>
        </w:rPr>
        <w:t>面積</w:t>
      </w:r>
      <w:r>
        <w:rPr>
          <w:rFonts w:ascii="Times New Roman" w:eastAsia="標楷體" w:hAnsi="Times New Roman"/>
        </w:rPr>
        <w:t>、停車位形式及數量等建築規劃</w:t>
      </w:r>
      <w:r>
        <w:rPr>
          <w:rFonts w:ascii="Times New Roman" w:eastAsia="標楷體" w:hAnsi="Times New Roman"/>
        </w:rPr>
        <w:t>(</w:t>
      </w:r>
      <w:r>
        <w:rPr>
          <w:rFonts w:ascii="Times New Roman" w:eastAsia="標楷體" w:hAnsi="Times New Roman"/>
          <w:color w:val="FF0000"/>
        </w:rPr>
        <w:t>資料不足或錯誤得請委託單位轉知申請人補充提供，或由估價師說明後自行假設</w:t>
      </w:r>
      <w:r>
        <w:rPr>
          <w:rFonts w:ascii="Times New Roman" w:eastAsia="標楷體" w:hAnsi="Times New Roman"/>
        </w:rPr>
        <w:t>)</w:t>
      </w:r>
      <w:r>
        <w:rPr>
          <w:rFonts w:ascii="Times New Roman" w:eastAsia="標楷體" w:hAnsi="Times New Roman"/>
        </w:rPr>
        <w:t>並據以</w:t>
      </w:r>
      <w:proofErr w:type="gramStart"/>
      <w:r>
        <w:rPr>
          <w:rFonts w:ascii="Times New Roman" w:eastAsia="標楷體" w:hAnsi="Times New Roman"/>
        </w:rPr>
        <w:t>評估容移前後</w:t>
      </w:r>
      <w:proofErr w:type="gramEnd"/>
      <w:r>
        <w:rPr>
          <w:rFonts w:ascii="Times New Roman" w:eastAsia="標楷體" w:hAnsi="Times New Roman"/>
        </w:rPr>
        <w:t>銷售面積、</w:t>
      </w:r>
      <w:proofErr w:type="gramStart"/>
      <w:r>
        <w:rPr>
          <w:rFonts w:ascii="Times New Roman" w:eastAsia="標楷體" w:hAnsi="Times New Roman"/>
        </w:rPr>
        <w:t>銷坪比</w:t>
      </w:r>
      <w:proofErr w:type="gramEnd"/>
      <w:r>
        <w:rPr>
          <w:rFonts w:ascii="Times New Roman" w:eastAsia="標楷體" w:hAnsi="Times New Roman"/>
        </w:rPr>
        <w:t>、停車位數量、公設比等計算價格所需資料。</w:t>
      </w:r>
    </w:p>
    <w:p w:rsidR="0018444C" w:rsidRDefault="00980E38">
      <w:pPr>
        <w:pStyle w:val="1"/>
        <w:pageBreakBefore/>
        <w:numPr>
          <w:ilvl w:val="0"/>
          <w:numId w:val="14"/>
        </w:numPr>
        <w:tabs>
          <w:tab w:val="clear" w:pos="720"/>
          <w:tab w:val="clear" w:pos="1440"/>
          <w:tab w:val="clear" w:pos="2160"/>
          <w:tab w:val="clear" w:pos="2472"/>
          <w:tab w:val="clear" w:pos="2880"/>
          <w:tab w:val="clear" w:pos="3600"/>
          <w:tab w:val="clear" w:pos="4320"/>
          <w:tab w:val="clear" w:pos="5040"/>
          <w:tab w:val="clear" w:pos="5760"/>
          <w:tab w:val="clear" w:pos="6480"/>
          <w:tab w:val="clear" w:pos="7200"/>
          <w:tab w:val="clear" w:pos="7920"/>
          <w:tab w:val="clear" w:pos="8640"/>
        </w:tabs>
        <w:spacing w:after="50"/>
        <w:ind w:left="709" w:hanging="709"/>
        <w:rPr>
          <w:rFonts w:ascii="Times New Roman" w:hAnsi="Times New Roman"/>
          <w:sz w:val="32"/>
          <w:szCs w:val="32"/>
        </w:rPr>
      </w:pPr>
      <w:bookmarkStart w:id="239" w:name="_Toc271206294"/>
      <w:bookmarkStart w:id="240" w:name="_Toc300219521"/>
      <w:bookmarkStart w:id="241" w:name="_Toc310843637"/>
      <w:bookmarkStart w:id="242" w:name="_Toc385837553"/>
      <w:bookmarkStart w:id="243" w:name="_Toc385837942"/>
      <w:bookmarkStart w:id="244" w:name="_Toc391412465"/>
      <w:bookmarkStart w:id="245" w:name="_Toc457337621"/>
      <w:bookmarkStart w:id="246" w:name="_Toc462301011"/>
      <w:bookmarkStart w:id="247" w:name="_Toc488152828"/>
      <w:bookmarkStart w:id="248" w:name="_Toc488163381"/>
      <w:r>
        <w:rPr>
          <w:rFonts w:ascii="Times New Roman" w:hAnsi="Times New Roman"/>
          <w:sz w:val="32"/>
          <w:szCs w:val="32"/>
        </w:rPr>
        <w:lastRenderedPageBreak/>
        <w:t>價格評估</w:t>
      </w:r>
      <w:bookmarkEnd w:id="239"/>
      <w:bookmarkEnd w:id="240"/>
      <w:bookmarkEnd w:id="241"/>
      <w:bookmarkEnd w:id="242"/>
      <w:bookmarkEnd w:id="243"/>
      <w:bookmarkEnd w:id="244"/>
      <w:bookmarkEnd w:id="245"/>
      <w:bookmarkEnd w:id="246"/>
      <w:bookmarkEnd w:id="247"/>
      <w:bookmarkEnd w:id="248"/>
    </w:p>
    <w:p w:rsidR="0018444C" w:rsidRDefault="00980E38">
      <w:pPr>
        <w:pStyle w:val="2"/>
        <w:numPr>
          <w:ilvl w:val="0"/>
          <w:numId w:val="30"/>
        </w:numPr>
        <w:tabs>
          <w:tab w:val="left" w:pos="-2847"/>
          <w:tab w:val="left" w:pos="-2706"/>
        </w:tabs>
        <w:spacing w:line="440" w:lineRule="exact"/>
        <w:rPr>
          <w:rFonts w:ascii="Times New Roman" w:hAnsi="Times New Roman"/>
          <w:b w:val="0"/>
          <w:sz w:val="28"/>
          <w:szCs w:val="28"/>
        </w:rPr>
      </w:pPr>
      <w:bookmarkStart w:id="249" w:name="_Toc271206295"/>
      <w:bookmarkStart w:id="250" w:name="_Toc311629604"/>
      <w:bookmarkStart w:id="251" w:name="_Toc346719639"/>
      <w:bookmarkStart w:id="252" w:name="_Toc385837554"/>
      <w:bookmarkStart w:id="253" w:name="_Toc385837943"/>
      <w:bookmarkStart w:id="254" w:name="_Toc391412466"/>
      <w:bookmarkStart w:id="255" w:name="_Toc457337622"/>
      <w:bookmarkStart w:id="256" w:name="_Toc462301012"/>
      <w:bookmarkStart w:id="257" w:name="_Toc488152829"/>
      <w:bookmarkStart w:id="258" w:name="_Toc488163382"/>
      <w:r>
        <w:rPr>
          <w:rFonts w:ascii="Times New Roman" w:hAnsi="Times New Roman"/>
          <w:b w:val="0"/>
          <w:sz w:val="28"/>
          <w:szCs w:val="28"/>
        </w:rPr>
        <w:t>估價方法之選定</w:t>
      </w:r>
      <w:bookmarkEnd w:id="249"/>
      <w:bookmarkEnd w:id="250"/>
      <w:bookmarkEnd w:id="251"/>
      <w:bookmarkEnd w:id="252"/>
      <w:bookmarkEnd w:id="253"/>
      <w:bookmarkEnd w:id="254"/>
      <w:bookmarkEnd w:id="255"/>
      <w:bookmarkEnd w:id="256"/>
      <w:bookmarkEnd w:id="257"/>
      <w:bookmarkEnd w:id="258"/>
    </w:p>
    <w:p w:rsidR="0018444C" w:rsidRDefault="00980E38">
      <w:pPr>
        <w:pStyle w:val="DefaultText"/>
        <w:numPr>
          <w:ilvl w:val="0"/>
          <w:numId w:val="31"/>
        </w:numPr>
        <w:spacing w:before="40" w:after="40" w:line="440" w:lineRule="exact"/>
      </w:pPr>
      <w:bookmarkStart w:id="259" w:name="_Toc488152830"/>
      <w:bookmarkStart w:id="260" w:name="_Toc488163383"/>
      <w:r>
        <w:rPr>
          <w:rStyle w:val="30"/>
          <w:rFonts w:ascii="Times New Roman" w:hAnsi="Times New Roman"/>
        </w:rPr>
        <w:t>一般性估價方法</w:t>
      </w:r>
      <w:bookmarkEnd w:id="259"/>
      <w:bookmarkEnd w:id="260"/>
      <w:r>
        <w:rPr>
          <w:rFonts w:ascii="Times New Roman" w:eastAsia="標楷體" w:hAnsi="Times New Roman"/>
          <w:szCs w:val="28"/>
        </w:rPr>
        <w:t>：</w:t>
      </w:r>
    </w:p>
    <w:p w:rsidR="0018444C" w:rsidRDefault="00980E38">
      <w:pPr>
        <w:pStyle w:val="DefaultText"/>
        <w:snapToGrid w:val="0"/>
        <w:spacing w:before="40" w:after="40" w:line="420" w:lineRule="exact"/>
        <w:ind w:left="1361" w:firstLine="560"/>
        <w:jc w:val="both"/>
        <w:rPr>
          <w:rFonts w:ascii="Times New Roman" w:eastAsia="標楷體" w:hAnsi="Times New Roman"/>
          <w:szCs w:val="28"/>
        </w:rPr>
      </w:pPr>
      <w:r>
        <w:rPr>
          <w:rFonts w:ascii="Times New Roman" w:eastAsia="標楷體" w:hAnsi="Times New Roman"/>
          <w:szCs w:val="28"/>
        </w:rPr>
        <w:t>依內政部頒布之「不動產估價技術規則」，一般性估價方法包括比較法、成本法、收益法、土地開發分析法等，考慮</w:t>
      </w:r>
      <w:proofErr w:type="gramStart"/>
      <w:r>
        <w:rPr>
          <w:rFonts w:ascii="Times New Roman" w:eastAsia="標楷體" w:hAnsi="Times New Roman"/>
          <w:szCs w:val="28"/>
        </w:rPr>
        <w:t>巿</w:t>
      </w:r>
      <w:proofErr w:type="gramEnd"/>
      <w:r>
        <w:rPr>
          <w:rFonts w:ascii="Times New Roman" w:eastAsia="標楷體" w:hAnsi="Times New Roman"/>
          <w:szCs w:val="28"/>
        </w:rPr>
        <w:t>場供需及交易慣例評估其合理市場價格，對於各種估價方法之定義如下。</w:t>
      </w:r>
    </w:p>
    <w:p w:rsidR="0018444C" w:rsidRDefault="00980E38">
      <w:pPr>
        <w:pStyle w:val="DefaultText"/>
        <w:numPr>
          <w:ilvl w:val="0"/>
          <w:numId w:val="32"/>
        </w:numPr>
        <w:snapToGrid w:val="0"/>
        <w:spacing w:before="40" w:after="40" w:line="440" w:lineRule="exact"/>
        <w:jc w:val="both"/>
        <w:rPr>
          <w:rFonts w:ascii="Times New Roman" w:eastAsia="標楷體" w:hAnsi="Times New Roman"/>
          <w:szCs w:val="28"/>
        </w:rPr>
      </w:pPr>
      <w:r>
        <w:rPr>
          <w:rFonts w:ascii="Times New Roman" w:eastAsia="標楷體" w:hAnsi="Times New Roman"/>
          <w:szCs w:val="28"/>
        </w:rPr>
        <w:t>比較法：係指以比較標的價格為基礎，經比較、分析及調整等，以推算</w:t>
      </w:r>
      <w:proofErr w:type="gramStart"/>
      <w:r>
        <w:rPr>
          <w:rFonts w:ascii="Times New Roman" w:eastAsia="標楷體" w:hAnsi="Times New Roman"/>
          <w:szCs w:val="28"/>
        </w:rPr>
        <w:t>勘估標</w:t>
      </w:r>
      <w:proofErr w:type="gramEnd"/>
      <w:r>
        <w:rPr>
          <w:rFonts w:ascii="Times New Roman" w:eastAsia="標楷體" w:hAnsi="Times New Roman"/>
          <w:szCs w:val="28"/>
        </w:rPr>
        <w:t>的價格的方法，其適用於任何不動產產品之評估。</w:t>
      </w:r>
    </w:p>
    <w:p w:rsidR="0018444C" w:rsidRDefault="00980E38">
      <w:pPr>
        <w:pStyle w:val="DefaultText"/>
        <w:numPr>
          <w:ilvl w:val="0"/>
          <w:numId w:val="32"/>
        </w:numPr>
        <w:snapToGrid w:val="0"/>
        <w:spacing w:before="40" w:after="40" w:line="440" w:lineRule="exact"/>
        <w:jc w:val="both"/>
        <w:rPr>
          <w:rFonts w:ascii="Times New Roman" w:eastAsia="標楷體" w:hAnsi="Times New Roman"/>
          <w:szCs w:val="28"/>
        </w:rPr>
      </w:pPr>
      <w:r>
        <w:rPr>
          <w:rFonts w:ascii="Times New Roman" w:eastAsia="標楷體" w:hAnsi="Times New Roman"/>
          <w:szCs w:val="28"/>
        </w:rPr>
        <w:t>直接資本化法：係指以</w:t>
      </w:r>
      <w:proofErr w:type="gramStart"/>
      <w:r>
        <w:rPr>
          <w:rFonts w:ascii="Times New Roman" w:eastAsia="標楷體" w:hAnsi="Times New Roman"/>
          <w:szCs w:val="28"/>
        </w:rPr>
        <w:t>勘估標</w:t>
      </w:r>
      <w:proofErr w:type="gramEnd"/>
      <w:r>
        <w:rPr>
          <w:rFonts w:ascii="Times New Roman" w:eastAsia="標楷體" w:hAnsi="Times New Roman"/>
          <w:szCs w:val="28"/>
        </w:rPr>
        <w:t>的未來平均一年期間之客觀淨收益，應用價格日期當時適當之收益資本化率推算</w:t>
      </w:r>
      <w:proofErr w:type="gramStart"/>
      <w:r>
        <w:rPr>
          <w:rFonts w:ascii="Times New Roman" w:eastAsia="標楷體" w:hAnsi="Times New Roman"/>
          <w:szCs w:val="28"/>
        </w:rPr>
        <w:t>勘估標</w:t>
      </w:r>
      <w:proofErr w:type="gramEnd"/>
      <w:r>
        <w:rPr>
          <w:rFonts w:ascii="Times New Roman" w:eastAsia="標楷體" w:hAnsi="Times New Roman"/>
          <w:szCs w:val="28"/>
        </w:rPr>
        <w:t>的價格之方法，該方法適用於具有收益之不動產。</w:t>
      </w:r>
    </w:p>
    <w:p w:rsidR="0018444C" w:rsidRDefault="00980E38">
      <w:pPr>
        <w:pStyle w:val="DefaultText"/>
        <w:numPr>
          <w:ilvl w:val="0"/>
          <w:numId w:val="32"/>
        </w:numPr>
        <w:snapToGrid w:val="0"/>
        <w:spacing w:before="40" w:after="40" w:line="440" w:lineRule="exact"/>
        <w:jc w:val="both"/>
        <w:rPr>
          <w:rFonts w:ascii="Times New Roman" w:eastAsia="標楷體" w:hAnsi="Times New Roman"/>
          <w:szCs w:val="28"/>
        </w:rPr>
      </w:pPr>
      <w:r>
        <w:rPr>
          <w:rFonts w:ascii="Times New Roman" w:eastAsia="標楷體" w:hAnsi="Times New Roman"/>
          <w:szCs w:val="28"/>
        </w:rPr>
        <w:t>折現現金流量分析法，指</w:t>
      </w:r>
      <w:proofErr w:type="gramStart"/>
      <w:r>
        <w:rPr>
          <w:rFonts w:ascii="Times New Roman" w:eastAsia="標楷體" w:hAnsi="Times New Roman"/>
          <w:szCs w:val="28"/>
        </w:rPr>
        <w:t>勘估標</w:t>
      </w:r>
      <w:proofErr w:type="gramEnd"/>
      <w:r>
        <w:rPr>
          <w:rFonts w:ascii="Times New Roman" w:eastAsia="標楷體" w:hAnsi="Times New Roman"/>
          <w:szCs w:val="28"/>
        </w:rPr>
        <w:t>的未來折現現金流量分析期間之</w:t>
      </w:r>
      <w:proofErr w:type="gramStart"/>
      <w:r>
        <w:rPr>
          <w:rFonts w:ascii="Times New Roman" w:eastAsia="標楷體" w:hAnsi="Times New Roman"/>
          <w:szCs w:val="28"/>
        </w:rPr>
        <w:t>各期淨收益</w:t>
      </w:r>
      <w:proofErr w:type="gramEnd"/>
      <w:r>
        <w:rPr>
          <w:rFonts w:ascii="Times New Roman" w:eastAsia="標楷體" w:hAnsi="Times New Roman"/>
          <w:szCs w:val="28"/>
        </w:rPr>
        <w:t>及期末價值，以適當折</w:t>
      </w:r>
      <w:proofErr w:type="gramStart"/>
      <w:r>
        <w:rPr>
          <w:rFonts w:ascii="Times New Roman" w:eastAsia="標楷體" w:hAnsi="Times New Roman"/>
          <w:szCs w:val="28"/>
        </w:rPr>
        <w:t>現率折現</w:t>
      </w:r>
      <w:proofErr w:type="gramEnd"/>
      <w:r>
        <w:rPr>
          <w:rFonts w:ascii="Times New Roman" w:eastAsia="標楷體" w:hAnsi="Times New Roman"/>
          <w:szCs w:val="28"/>
        </w:rPr>
        <w:t>後加總推算</w:t>
      </w:r>
      <w:proofErr w:type="gramStart"/>
      <w:r>
        <w:rPr>
          <w:rFonts w:ascii="Times New Roman" w:eastAsia="標楷體" w:hAnsi="Times New Roman"/>
          <w:szCs w:val="28"/>
        </w:rPr>
        <w:t>勘估標</w:t>
      </w:r>
      <w:proofErr w:type="gramEnd"/>
      <w:r>
        <w:rPr>
          <w:rFonts w:ascii="Times New Roman" w:eastAsia="標楷體" w:hAnsi="Times New Roman"/>
          <w:szCs w:val="28"/>
        </w:rPr>
        <w:t>的價格之方法。前項折現現金流量分析，得適用於以投資為目的之不動產投資評估。</w:t>
      </w:r>
    </w:p>
    <w:p w:rsidR="0018444C" w:rsidRDefault="00980E38">
      <w:pPr>
        <w:pStyle w:val="DefaultText"/>
        <w:numPr>
          <w:ilvl w:val="0"/>
          <w:numId w:val="32"/>
        </w:numPr>
        <w:snapToGrid w:val="0"/>
        <w:spacing w:before="40" w:after="40" w:line="440" w:lineRule="exact"/>
        <w:jc w:val="both"/>
        <w:rPr>
          <w:rFonts w:ascii="Times New Roman" w:eastAsia="標楷體" w:hAnsi="Times New Roman"/>
          <w:szCs w:val="28"/>
        </w:rPr>
      </w:pPr>
      <w:r>
        <w:rPr>
          <w:rFonts w:ascii="Times New Roman" w:eastAsia="標楷體" w:hAnsi="Times New Roman"/>
          <w:szCs w:val="28"/>
        </w:rPr>
        <w:t>成本法：係指</w:t>
      </w:r>
      <w:proofErr w:type="gramStart"/>
      <w:r>
        <w:rPr>
          <w:rFonts w:ascii="Times New Roman" w:eastAsia="標楷體" w:hAnsi="Times New Roman"/>
          <w:szCs w:val="28"/>
        </w:rPr>
        <w:t>勘估標</w:t>
      </w:r>
      <w:proofErr w:type="gramEnd"/>
      <w:r>
        <w:rPr>
          <w:rFonts w:ascii="Times New Roman" w:eastAsia="標楷體" w:hAnsi="Times New Roman"/>
          <w:szCs w:val="28"/>
        </w:rPr>
        <w:t>的於價格日期當時重新取得或重新建造所需成本，扣減其累積折舊額或其他應扣除部分，以推算</w:t>
      </w:r>
      <w:proofErr w:type="gramStart"/>
      <w:r>
        <w:rPr>
          <w:rFonts w:ascii="Times New Roman" w:eastAsia="標楷體" w:hAnsi="Times New Roman"/>
          <w:szCs w:val="28"/>
        </w:rPr>
        <w:t>勘估標</w:t>
      </w:r>
      <w:proofErr w:type="gramEnd"/>
      <w:r>
        <w:rPr>
          <w:rFonts w:ascii="Times New Roman" w:eastAsia="標楷體" w:hAnsi="Times New Roman"/>
          <w:szCs w:val="28"/>
        </w:rPr>
        <w:t>的價格之方法，大部分於建築物成本價值評估時適用，除此之外，大型開發案亦多以成本法評估。</w:t>
      </w:r>
    </w:p>
    <w:p w:rsidR="0018444C" w:rsidRDefault="00980E38">
      <w:pPr>
        <w:pStyle w:val="DefaultText"/>
        <w:numPr>
          <w:ilvl w:val="0"/>
          <w:numId w:val="32"/>
        </w:numPr>
        <w:snapToGrid w:val="0"/>
        <w:spacing w:before="40" w:after="40" w:line="440" w:lineRule="exact"/>
        <w:jc w:val="both"/>
        <w:rPr>
          <w:rFonts w:ascii="Times New Roman" w:eastAsia="標楷體" w:hAnsi="Times New Roman"/>
          <w:szCs w:val="28"/>
        </w:rPr>
      </w:pPr>
      <w:r>
        <w:rPr>
          <w:rFonts w:ascii="Times New Roman" w:eastAsia="標楷體" w:hAnsi="Times New Roman"/>
          <w:szCs w:val="28"/>
        </w:rPr>
        <w:t>土地開發分析法：係指根據土地法定用途及使用強度進行開發及改良導致土地效益之變化，估算開發或建築後總銷售金額，扣除開發期間之直接、間接成本、資本利息及利潤後，求得開發前或建築前土地價格之方法，多用於土地素地價值之評估。</w:t>
      </w:r>
    </w:p>
    <w:p w:rsidR="0018444C" w:rsidRDefault="00980E38">
      <w:pPr>
        <w:pStyle w:val="DefaultText"/>
        <w:numPr>
          <w:ilvl w:val="0"/>
          <w:numId w:val="31"/>
        </w:numPr>
        <w:spacing w:before="40" w:after="40" w:line="440" w:lineRule="exact"/>
      </w:pPr>
      <w:bookmarkStart w:id="261" w:name="_Toc488152831"/>
      <w:bookmarkStart w:id="262" w:name="_Toc488163384"/>
      <w:r>
        <w:rPr>
          <w:rStyle w:val="30"/>
          <w:rFonts w:ascii="Times New Roman" w:hAnsi="Times New Roman"/>
        </w:rPr>
        <w:t>本案估價方法之選定</w:t>
      </w:r>
      <w:bookmarkEnd w:id="261"/>
      <w:bookmarkEnd w:id="262"/>
      <w:r>
        <w:rPr>
          <w:rFonts w:ascii="Times New Roman" w:eastAsia="標楷體" w:hAnsi="Times New Roman"/>
          <w:szCs w:val="28"/>
        </w:rPr>
        <w:t>：</w:t>
      </w:r>
    </w:p>
    <w:p w:rsidR="0018444C" w:rsidRDefault="00980E38">
      <w:pPr>
        <w:pStyle w:val="DefaultText"/>
        <w:snapToGrid w:val="0"/>
        <w:spacing w:before="40" w:after="40" w:line="440" w:lineRule="exact"/>
        <w:ind w:left="1392"/>
        <w:jc w:val="both"/>
      </w:pPr>
      <w:r>
        <w:rPr>
          <w:rFonts w:ascii="Times New Roman" w:eastAsia="標楷體" w:hAnsi="Times New Roman"/>
          <w:szCs w:val="28"/>
        </w:rPr>
        <w:t>土地價格</w:t>
      </w:r>
      <w:r>
        <w:rPr>
          <w:rFonts w:ascii="Times New Roman" w:eastAsia="標楷體" w:hAnsi="Times New Roman"/>
          <w:szCs w:val="28"/>
        </w:rPr>
        <w:t>:</w:t>
      </w:r>
      <w:r>
        <w:rPr>
          <w:rFonts w:ascii="Times New Roman" w:eastAsia="標楷體" w:hAnsi="Times New Roman"/>
          <w:szCs w:val="28"/>
        </w:rPr>
        <w:t>本報告書評估之不考慮容積移入及考慮容積移入等二種情況下之</w:t>
      </w:r>
      <w:proofErr w:type="gramStart"/>
      <w:r>
        <w:rPr>
          <w:rFonts w:ascii="Times New Roman" w:eastAsia="標楷體" w:hAnsi="Times New Roman"/>
          <w:szCs w:val="28"/>
        </w:rPr>
        <w:t>地價均為素</w:t>
      </w:r>
      <w:proofErr w:type="gramEnd"/>
      <w:r>
        <w:rPr>
          <w:rFonts w:ascii="Times New Roman" w:eastAsia="標楷體" w:hAnsi="Times New Roman"/>
          <w:szCs w:val="28"/>
        </w:rPr>
        <w:t>地，選用估價方法以土地開發分析法為主，並應參酌其他方法共同決定之，若無法採用土地開發分析法以外之方法評估，則應依不動產估價技術規則規定敘明之。</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numPr>
          <w:ilvl w:val="3"/>
          <w:numId w:val="33"/>
        </w:numPr>
        <w:spacing w:before="40" w:after="40" w:line="440" w:lineRule="exact"/>
        <w:ind w:left="1985" w:hanging="425"/>
        <w:jc w:val="both"/>
        <w:rPr>
          <w:rFonts w:ascii="Times New Roman" w:eastAsia="標楷體" w:hAnsi="Times New Roman"/>
          <w:sz w:val="24"/>
          <w:szCs w:val="24"/>
        </w:rPr>
      </w:pPr>
      <w:r>
        <w:rPr>
          <w:rFonts w:ascii="Times New Roman" w:eastAsia="標楷體" w:hAnsi="Times New Roman"/>
          <w:sz w:val="24"/>
          <w:szCs w:val="24"/>
        </w:rPr>
        <w:t>應說明本報告書採用估價方法之理由。不動產估價師對於估價方法採用必須考量</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的本身特性，不動產市場狀況及各估價方法的理論基礎等詳予說</w:t>
      </w:r>
      <w:r>
        <w:rPr>
          <w:rFonts w:ascii="Times New Roman" w:eastAsia="標楷體" w:hAnsi="Times New Roman"/>
          <w:sz w:val="24"/>
          <w:szCs w:val="24"/>
        </w:rPr>
        <w:lastRenderedPageBreak/>
        <w:t>明。並遵循不動產估價技術規則第十四條規定：「不動產估價師應兼</w:t>
      </w:r>
      <w:proofErr w:type="gramStart"/>
      <w:r>
        <w:rPr>
          <w:rFonts w:ascii="Times New Roman" w:eastAsia="標楷體" w:hAnsi="Times New Roman"/>
          <w:sz w:val="24"/>
          <w:szCs w:val="24"/>
        </w:rPr>
        <w:t>採</w:t>
      </w:r>
      <w:proofErr w:type="gramEnd"/>
      <w:r>
        <w:rPr>
          <w:rFonts w:ascii="Times New Roman" w:eastAsia="標楷體" w:hAnsi="Times New Roman"/>
          <w:sz w:val="24"/>
          <w:szCs w:val="24"/>
        </w:rPr>
        <w:t>二種以上估價方法推算</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的價格。但因情況特殊不能採取二種以上方法估價並於估價報告書中</w:t>
      </w:r>
      <w:proofErr w:type="gramStart"/>
      <w:r>
        <w:rPr>
          <w:rFonts w:ascii="Times New Roman" w:eastAsia="標楷體" w:hAnsi="Times New Roman"/>
          <w:sz w:val="24"/>
          <w:szCs w:val="24"/>
        </w:rPr>
        <w:t>敘明者</w:t>
      </w:r>
      <w:proofErr w:type="gramEnd"/>
      <w:r>
        <w:rPr>
          <w:rFonts w:ascii="Times New Roman" w:eastAsia="標楷體" w:hAnsi="Times New Roman"/>
          <w:sz w:val="24"/>
          <w:szCs w:val="24"/>
        </w:rPr>
        <w:t>，不在此限。」</w:t>
      </w:r>
    </w:p>
    <w:p w:rsidR="0018444C" w:rsidRDefault="00980E38">
      <w:pPr>
        <w:pStyle w:val="DefaultText"/>
        <w:numPr>
          <w:ilvl w:val="3"/>
          <w:numId w:val="33"/>
        </w:numPr>
        <w:spacing w:before="40" w:after="40" w:line="440" w:lineRule="exact"/>
        <w:ind w:left="1985" w:hanging="425"/>
        <w:jc w:val="both"/>
        <w:rPr>
          <w:rFonts w:ascii="Times New Roman" w:eastAsia="標楷體" w:hAnsi="Times New Roman"/>
          <w:sz w:val="24"/>
          <w:szCs w:val="24"/>
        </w:rPr>
      </w:pPr>
      <w:r>
        <w:rPr>
          <w:rFonts w:ascii="Times New Roman" w:eastAsia="標楷體" w:hAnsi="Times New Roman"/>
          <w:sz w:val="24"/>
          <w:szCs w:val="24"/>
        </w:rPr>
        <w:t>本報告書建議估價方法以土地開發分析法為主，比較法或其他方法為輔；遇開發後為收益性不動產時，其估價方式應包含收益法之直接資本化法或折現現金流量分析法。綜合建議估價方法可參考下表決定：</w:t>
      </w:r>
    </w:p>
    <w:p w:rsidR="0018444C" w:rsidRDefault="00980E38">
      <w:pPr>
        <w:pStyle w:val="DefaultText"/>
        <w:spacing w:before="40" w:after="40" w:line="440" w:lineRule="exact"/>
        <w:jc w:val="center"/>
      </w:pPr>
      <w:proofErr w:type="gramStart"/>
      <w:r>
        <w:rPr>
          <w:rFonts w:ascii="Times New Roman" w:eastAsia="標楷體" w:hAnsi="Times New Roman"/>
          <w:sz w:val="24"/>
          <w:szCs w:val="24"/>
        </w:rPr>
        <w:t>容移前後</w:t>
      </w:r>
      <w:proofErr w:type="gramEnd"/>
      <w:r>
        <w:rPr>
          <w:rFonts w:ascii="Times New Roman" w:eastAsia="標楷體" w:hAnsi="Times New Roman"/>
          <w:sz w:val="24"/>
          <w:szCs w:val="24"/>
        </w:rPr>
        <w:t>土地價格評估方法</w:t>
      </w:r>
    </w:p>
    <w:tbl>
      <w:tblPr>
        <w:tblW w:w="10042" w:type="dxa"/>
        <w:jc w:val="center"/>
        <w:tblCellMar>
          <w:left w:w="10" w:type="dxa"/>
          <w:right w:w="10" w:type="dxa"/>
        </w:tblCellMar>
        <w:tblLook w:val="0000" w:firstRow="0" w:lastRow="0" w:firstColumn="0" w:lastColumn="0" w:noHBand="0" w:noVBand="0"/>
      </w:tblPr>
      <w:tblGrid>
        <w:gridCol w:w="1962"/>
        <w:gridCol w:w="2551"/>
        <w:gridCol w:w="1701"/>
        <w:gridCol w:w="1657"/>
        <w:gridCol w:w="2171"/>
      </w:tblGrid>
      <w:tr w:rsidR="0018444C">
        <w:trPr>
          <w:trHeight w:val="20"/>
          <w:jc w:val="center"/>
        </w:trPr>
        <w:tc>
          <w:tcPr>
            <w:tcW w:w="1962" w:type="dxa"/>
            <w:tcBorders>
              <w:top w:val="double" w:sz="6" w:space="0" w:color="000000"/>
              <w:left w:val="doub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開發後</w:t>
            </w:r>
          </w:p>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產品類型</w:t>
            </w:r>
          </w:p>
        </w:tc>
        <w:tc>
          <w:tcPr>
            <w:tcW w:w="2551" w:type="dxa"/>
            <w:tcBorders>
              <w:top w:val="doub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評估內容</w:t>
            </w:r>
          </w:p>
        </w:tc>
        <w:tc>
          <w:tcPr>
            <w:tcW w:w="1701" w:type="dxa"/>
            <w:tcBorders>
              <w:top w:val="doub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土地開發分析法</w:t>
            </w:r>
          </w:p>
        </w:tc>
        <w:tc>
          <w:tcPr>
            <w:tcW w:w="1657" w:type="dxa"/>
            <w:tcBorders>
              <w:top w:val="doub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比較法</w:t>
            </w:r>
          </w:p>
        </w:tc>
        <w:tc>
          <w:tcPr>
            <w:tcW w:w="2171" w:type="dxa"/>
            <w:tcBorders>
              <w:top w:val="double" w:sz="6" w:space="0" w:color="000000"/>
              <w:left w:val="single" w:sz="6" w:space="0" w:color="000000"/>
              <w:bottom w:val="single" w:sz="6" w:space="0" w:color="000000"/>
              <w:right w:val="double" w:sz="6" w:space="0" w:color="000000"/>
            </w:tcBorders>
            <w:shd w:val="clear" w:color="auto" w:fill="auto"/>
            <w:tcMar>
              <w:top w:w="0" w:type="dxa"/>
              <w:left w:w="0" w:type="dxa"/>
              <w:bottom w:w="0" w:type="dxa"/>
              <w:right w:w="0" w:type="dxa"/>
            </w:tcMa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收益法之直接資本化法或折現現金流量分析法</w:t>
            </w:r>
          </w:p>
        </w:tc>
      </w:tr>
      <w:tr w:rsidR="0018444C">
        <w:trPr>
          <w:trHeight w:val="20"/>
          <w:jc w:val="center"/>
        </w:trPr>
        <w:tc>
          <w:tcPr>
            <w:tcW w:w="1962" w:type="dxa"/>
            <w:tcBorders>
              <w:top w:val="single" w:sz="6" w:space="0" w:color="000000"/>
              <w:left w:val="doub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住宅、辦公、店面</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proofErr w:type="gramStart"/>
            <w:r>
              <w:rPr>
                <w:rFonts w:ascii="Times New Roman" w:eastAsia="標楷體" w:hAnsi="Times New Roman"/>
                <w:sz w:val="24"/>
                <w:szCs w:val="24"/>
              </w:rPr>
              <w:t>容移前後</w:t>
            </w:r>
            <w:proofErr w:type="gramEnd"/>
            <w:r>
              <w:rPr>
                <w:rFonts w:ascii="Times New Roman" w:eastAsia="標楷體" w:hAnsi="Times New Roman"/>
                <w:sz w:val="24"/>
                <w:szCs w:val="24"/>
              </w:rPr>
              <w:t>土地價格評估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c>
          <w:tcPr>
            <w:tcW w:w="2171" w:type="dxa"/>
            <w:tcBorders>
              <w:top w:val="single" w:sz="6" w:space="0" w:color="000000"/>
              <w:left w:val="single" w:sz="6" w:space="0" w:color="000000"/>
              <w:bottom w:val="single" w:sz="6" w:space="0" w:color="000000"/>
              <w:right w:val="double" w:sz="6" w:space="0" w:color="000000"/>
            </w:tcBorders>
            <w:shd w:val="clear" w:color="auto" w:fill="auto"/>
            <w:tcMar>
              <w:top w:w="0" w:type="dxa"/>
              <w:left w:w="0" w:type="dxa"/>
              <w:bottom w:w="0" w:type="dxa"/>
              <w:right w:w="0"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r>
      <w:tr w:rsidR="0018444C">
        <w:trPr>
          <w:trHeight w:val="20"/>
          <w:jc w:val="center"/>
        </w:trPr>
        <w:tc>
          <w:tcPr>
            <w:tcW w:w="1962" w:type="dxa"/>
            <w:tcBorders>
              <w:top w:val="single" w:sz="6" w:space="0" w:color="000000"/>
              <w:left w:val="doub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商場、百貨</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proofErr w:type="gramStart"/>
            <w:r>
              <w:rPr>
                <w:rFonts w:ascii="Times New Roman" w:eastAsia="標楷體" w:hAnsi="Times New Roman"/>
                <w:sz w:val="24"/>
                <w:szCs w:val="24"/>
              </w:rPr>
              <w:t>容移前後</w:t>
            </w:r>
            <w:proofErr w:type="gramEnd"/>
            <w:r>
              <w:rPr>
                <w:rFonts w:ascii="Times New Roman" w:eastAsia="標楷體" w:hAnsi="Times New Roman"/>
                <w:sz w:val="24"/>
                <w:szCs w:val="24"/>
              </w:rPr>
              <w:t>土地價格評估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c>
          <w:tcPr>
            <w:tcW w:w="2171" w:type="dxa"/>
            <w:tcBorders>
              <w:top w:val="single" w:sz="6" w:space="0" w:color="000000"/>
              <w:left w:val="single" w:sz="6" w:space="0" w:color="000000"/>
              <w:bottom w:val="single" w:sz="6" w:space="0" w:color="000000"/>
              <w:right w:val="double" w:sz="6" w:space="0" w:color="000000"/>
            </w:tcBorders>
            <w:shd w:val="clear" w:color="auto" w:fill="auto"/>
            <w:tcMar>
              <w:top w:w="0" w:type="dxa"/>
              <w:left w:w="0" w:type="dxa"/>
              <w:bottom w:w="0" w:type="dxa"/>
              <w:right w:w="0"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r>
      <w:tr w:rsidR="0018444C">
        <w:trPr>
          <w:trHeight w:val="20"/>
          <w:jc w:val="center"/>
        </w:trPr>
        <w:tc>
          <w:tcPr>
            <w:tcW w:w="1962" w:type="dxa"/>
            <w:tcBorders>
              <w:top w:val="single" w:sz="6" w:space="0" w:color="000000"/>
              <w:left w:val="doub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旅館</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proofErr w:type="gramStart"/>
            <w:r>
              <w:rPr>
                <w:rFonts w:ascii="Times New Roman" w:eastAsia="標楷體" w:hAnsi="Times New Roman"/>
                <w:sz w:val="24"/>
                <w:szCs w:val="24"/>
              </w:rPr>
              <w:t>容移前後</w:t>
            </w:r>
            <w:proofErr w:type="gramEnd"/>
            <w:r>
              <w:rPr>
                <w:rFonts w:ascii="Times New Roman" w:eastAsia="標楷體" w:hAnsi="Times New Roman"/>
                <w:sz w:val="24"/>
                <w:szCs w:val="24"/>
              </w:rPr>
              <w:t>土地價格評估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c>
          <w:tcPr>
            <w:tcW w:w="2171" w:type="dxa"/>
            <w:tcBorders>
              <w:top w:val="single" w:sz="6" w:space="0" w:color="000000"/>
              <w:left w:val="single" w:sz="6" w:space="0" w:color="000000"/>
              <w:bottom w:val="single" w:sz="6" w:space="0" w:color="000000"/>
              <w:right w:val="double" w:sz="6" w:space="0" w:color="000000"/>
            </w:tcBorders>
            <w:shd w:val="clear" w:color="auto" w:fill="auto"/>
            <w:tcMar>
              <w:top w:w="0" w:type="dxa"/>
              <w:left w:w="0" w:type="dxa"/>
              <w:bottom w:w="0" w:type="dxa"/>
              <w:right w:w="0"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r>
      <w:tr w:rsidR="0018444C">
        <w:trPr>
          <w:trHeight w:val="20"/>
          <w:jc w:val="center"/>
        </w:trPr>
        <w:tc>
          <w:tcPr>
            <w:tcW w:w="1962" w:type="dxa"/>
            <w:tcBorders>
              <w:top w:val="single" w:sz="6" w:space="0" w:color="000000"/>
              <w:left w:val="double" w:sz="6" w:space="0" w:color="000000"/>
              <w:bottom w:val="doub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其他產品</w:t>
            </w:r>
          </w:p>
        </w:tc>
        <w:tc>
          <w:tcPr>
            <w:tcW w:w="2551" w:type="dxa"/>
            <w:tcBorders>
              <w:top w:val="single" w:sz="6" w:space="0" w:color="000000"/>
              <w:left w:val="single" w:sz="6" w:space="0" w:color="000000"/>
              <w:bottom w:val="doub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proofErr w:type="gramStart"/>
            <w:r>
              <w:rPr>
                <w:rFonts w:ascii="Times New Roman" w:eastAsia="標楷體" w:hAnsi="Times New Roman"/>
                <w:sz w:val="24"/>
                <w:szCs w:val="24"/>
              </w:rPr>
              <w:t>容移前後</w:t>
            </w:r>
            <w:proofErr w:type="gramEnd"/>
            <w:r>
              <w:rPr>
                <w:rFonts w:ascii="Times New Roman" w:eastAsia="標楷體" w:hAnsi="Times New Roman"/>
                <w:sz w:val="24"/>
                <w:szCs w:val="24"/>
              </w:rPr>
              <w:t>土地價格評估</w:t>
            </w:r>
          </w:p>
        </w:tc>
        <w:tc>
          <w:tcPr>
            <w:tcW w:w="1701" w:type="dxa"/>
            <w:tcBorders>
              <w:top w:val="single" w:sz="6" w:space="0" w:color="000000"/>
              <w:left w:val="single" w:sz="6" w:space="0" w:color="000000"/>
              <w:bottom w:val="doub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c>
          <w:tcPr>
            <w:tcW w:w="3828" w:type="dxa"/>
            <w:gridSpan w:val="2"/>
            <w:tcBorders>
              <w:top w:val="single" w:sz="6" w:space="0" w:color="000000"/>
              <w:left w:val="single" w:sz="6" w:space="0" w:color="000000"/>
              <w:bottom w:val="double" w:sz="6" w:space="0" w:color="000000"/>
              <w:right w:val="doub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依開發後產品之性質決定</w:t>
            </w:r>
          </w:p>
        </w:tc>
      </w:tr>
    </w:tbl>
    <w:p w:rsidR="0018444C" w:rsidRDefault="00980E38">
      <w:pPr>
        <w:pStyle w:val="DefaultText"/>
        <w:spacing w:before="40" w:after="40" w:line="440" w:lineRule="exact"/>
        <w:ind w:left="566" w:hanging="566"/>
        <w:jc w:val="both"/>
        <w:rPr>
          <w:rFonts w:ascii="Times New Roman" w:eastAsia="標楷體" w:hAnsi="Times New Roman"/>
          <w:sz w:val="24"/>
          <w:szCs w:val="24"/>
        </w:rPr>
      </w:pPr>
      <w:proofErr w:type="gramStart"/>
      <w:r>
        <w:rPr>
          <w:rFonts w:ascii="Times New Roman" w:eastAsia="標楷體" w:hAnsi="Times New Roman"/>
          <w:sz w:val="24"/>
          <w:szCs w:val="24"/>
        </w:rPr>
        <w:t>註</w:t>
      </w:r>
      <w:proofErr w:type="gramEnd"/>
      <w:r>
        <w:rPr>
          <w:rFonts w:ascii="Times New Roman" w:eastAsia="標楷體" w:hAnsi="Times New Roman"/>
          <w:sz w:val="24"/>
          <w:szCs w:val="24"/>
        </w:rPr>
        <w:t>：「</w:t>
      </w:r>
      <w:r>
        <w:rPr>
          <w:rFonts w:ascii="Times New Roman" w:eastAsia="標楷體" w:hAnsi="Times New Roman"/>
          <w:sz w:val="24"/>
          <w:szCs w:val="24"/>
        </w:rPr>
        <w:t xml:space="preserve"> √</w:t>
      </w:r>
      <w:r>
        <w:rPr>
          <w:rFonts w:ascii="Times New Roman" w:eastAsia="標楷體" w:hAnsi="Times New Roman"/>
          <w:sz w:val="24"/>
          <w:szCs w:val="24"/>
        </w:rPr>
        <w:t>」為必須採用方法，「</w:t>
      </w:r>
      <w:r>
        <w:rPr>
          <w:rFonts w:ascii="Times New Roman" w:eastAsia="標楷體" w:hAnsi="Times New Roman"/>
          <w:sz w:val="24"/>
          <w:szCs w:val="24"/>
        </w:rPr>
        <w:t>○</w:t>
      </w:r>
      <w:r>
        <w:rPr>
          <w:rFonts w:ascii="Times New Roman" w:eastAsia="標楷體" w:hAnsi="Times New Roman"/>
          <w:sz w:val="24"/>
          <w:szCs w:val="24"/>
        </w:rPr>
        <w:t>」與「</w:t>
      </w:r>
      <w:r>
        <w:rPr>
          <w:rFonts w:ascii="Times New Roman" w:eastAsia="標楷體" w:hAnsi="Times New Roman"/>
          <w:sz w:val="24"/>
          <w:szCs w:val="24"/>
        </w:rPr>
        <w:t>▲</w:t>
      </w:r>
      <w:r>
        <w:rPr>
          <w:rFonts w:ascii="Times New Roman" w:eastAsia="標楷體" w:hAnsi="Times New Roman"/>
          <w:sz w:val="24"/>
          <w:szCs w:val="24"/>
        </w:rPr>
        <w:t>」可選擇採用方法，其方法適用性「</w:t>
      </w:r>
      <w:r>
        <w:rPr>
          <w:rFonts w:ascii="Times New Roman" w:eastAsia="標楷體" w:hAnsi="Times New Roman"/>
          <w:sz w:val="24"/>
          <w:szCs w:val="24"/>
        </w:rPr>
        <w:t>○</w:t>
      </w:r>
      <w:r>
        <w:rPr>
          <w:rFonts w:ascii="Times New Roman" w:eastAsia="標楷體" w:hAnsi="Times New Roman"/>
          <w:sz w:val="24"/>
          <w:szCs w:val="24"/>
        </w:rPr>
        <w:t>」＞「</w:t>
      </w:r>
      <w:r>
        <w:rPr>
          <w:rFonts w:ascii="Times New Roman" w:eastAsia="標楷體" w:hAnsi="Times New Roman"/>
          <w:sz w:val="24"/>
          <w:szCs w:val="24"/>
        </w:rPr>
        <w:t>▲</w:t>
      </w:r>
      <w:r>
        <w:rPr>
          <w:rFonts w:ascii="Times New Roman" w:eastAsia="標楷體" w:hAnsi="Times New Roman"/>
          <w:sz w:val="24"/>
          <w:szCs w:val="24"/>
        </w:rPr>
        <w:t>」，必須</w:t>
      </w:r>
      <w:proofErr w:type="gramStart"/>
      <w:r>
        <w:rPr>
          <w:rFonts w:ascii="Times New Roman" w:eastAsia="標楷體" w:hAnsi="Times New Roman"/>
          <w:sz w:val="24"/>
          <w:szCs w:val="24"/>
        </w:rPr>
        <w:t>採</w:t>
      </w:r>
      <w:proofErr w:type="gramEnd"/>
      <w:r>
        <w:rPr>
          <w:rFonts w:ascii="Times New Roman" w:eastAsia="標楷體" w:hAnsi="Times New Roman"/>
          <w:sz w:val="24"/>
          <w:szCs w:val="24"/>
        </w:rPr>
        <w:t>兩種方式評估。</w:t>
      </w:r>
    </w:p>
    <w:p w:rsidR="0018444C" w:rsidRDefault="00980E38">
      <w:pPr>
        <w:pStyle w:val="DefaultText"/>
        <w:spacing w:before="40" w:after="40" w:line="440" w:lineRule="exact"/>
        <w:jc w:val="center"/>
      </w:pPr>
      <w:r>
        <w:rPr>
          <w:rFonts w:ascii="Times New Roman" w:eastAsia="標楷體" w:hAnsi="Times New Roman"/>
          <w:sz w:val="24"/>
          <w:szCs w:val="24"/>
        </w:rPr>
        <w:t>開發後銷售價格評估方法</w:t>
      </w:r>
    </w:p>
    <w:tbl>
      <w:tblPr>
        <w:tblW w:w="10042" w:type="dxa"/>
        <w:jc w:val="center"/>
        <w:tblCellMar>
          <w:left w:w="10" w:type="dxa"/>
          <w:right w:w="10" w:type="dxa"/>
        </w:tblCellMar>
        <w:tblLook w:val="0000" w:firstRow="0" w:lastRow="0" w:firstColumn="0" w:lastColumn="0" w:noHBand="0" w:noVBand="0"/>
      </w:tblPr>
      <w:tblGrid>
        <w:gridCol w:w="1970"/>
        <w:gridCol w:w="2551"/>
        <w:gridCol w:w="2760"/>
        <w:gridCol w:w="2761"/>
      </w:tblGrid>
      <w:tr w:rsidR="0018444C">
        <w:trPr>
          <w:trHeight w:val="20"/>
          <w:jc w:val="center"/>
        </w:trPr>
        <w:tc>
          <w:tcPr>
            <w:tcW w:w="1970" w:type="dxa"/>
            <w:tcBorders>
              <w:top w:val="double" w:sz="4" w:space="0" w:color="000000"/>
              <w:left w:val="double" w:sz="4"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開發後</w:t>
            </w:r>
          </w:p>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產品類型</w:t>
            </w:r>
          </w:p>
        </w:tc>
        <w:tc>
          <w:tcPr>
            <w:tcW w:w="2551" w:type="dxa"/>
            <w:tcBorders>
              <w:top w:val="double" w:sz="4"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評估內容</w:t>
            </w:r>
          </w:p>
        </w:tc>
        <w:tc>
          <w:tcPr>
            <w:tcW w:w="2760" w:type="dxa"/>
            <w:tcBorders>
              <w:top w:val="double" w:sz="4"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比較法</w:t>
            </w:r>
          </w:p>
        </w:tc>
        <w:tc>
          <w:tcPr>
            <w:tcW w:w="2761" w:type="dxa"/>
            <w:tcBorders>
              <w:top w:val="double" w:sz="4"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收益法之直接資本化法或折現現金流量分析法</w:t>
            </w:r>
          </w:p>
        </w:tc>
      </w:tr>
      <w:tr w:rsidR="0018444C">
        <w:trPr>
          <w:trHeight w:val="416"/>
          <w:jc w:val="center"/>
        </w:trPr>
        <w:tc>
          <w:tcPr>
            <w:tcW w:w="1970" w:type="dxa"/>
            <w:tcBorders>
              <w:top w:val="single" w:sz="6" w:space="0" w:color="000000"/>
              <w:left w:val="double" w:sz="4"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住宅、辦公、店面</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開發後銷售價格評估</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c>
          <w:tcPr>
            <w:tcW w:w="2761"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r>
      <w:tr w:rsidR="0018444C">
        <w:trPr>
          <w:trHeight w:val="416"/>
          <w:jc w:val="center"/>
        </w:trPr>
        <w:tc>
          <w:tcPr>
            <w:tcW w:w="1970" w:type="dxa"/>
            <w:tcBorders>
              <w:top w:val="single" w:sz="6" w:space="0" w:color="000000"/>
              <w:left w:val="double" w:sz="4"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商場、百貨</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開發後銷售價格評估</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c>
          <w:tcPr>
            <w:tcW w:w="2761"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r>
      <w:tr w:rsidR="0018444C">
        <w:trPr>
          <w:trHeight w:val="416"/>
          <w:jc w:val="center"/>
        </w:trPr>
        <w:tc>
          <w:tcPr>
            <w:tcW w:w="1970" w:type="dxa"/>
            <w:tcBorders>
              <w:top w:val="single" w:sz="6" w:space="0" w:color="000000"/>
              <w:left w:val="double" w:sz="4"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旅館</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開發後銷售價格評估</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c>
          <w:tcPr>
            <w:tcW w:w="2761"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18444C" w:rsidRDefault="00980E38">
            <w:pPr>
              <w:pStyle w:val="DefaultText"/>
              <w:snapToGrid w:val="0"/>
              <w:spacing w:line="240" w:lineRule="auto"/>
              <w:jc w:val="center"/>
              <w:rPr>
                <w:rFonts w:ascii="Times New Roman" w:eastAsia="標楷體" w:hAnsi="Times New Roman"/>
                <w:sz w:val="32"/>
                <w:szCs w:val="32"/>
              </w:rPr>
            </w:pPr>
            <w:r>
              <w:rPr>
                <w:rFonts w:ascii="Times New Roman" w:eastAsia="標楷體" w:hAnsi="Times New Roman"/>
                <w:sz w:val="32"/>
                <w:szCs w:val="32"/>
              </w:rPr>
              <w:t>○</w:t>
            </w:r>
          </w:p>
        </w:tc>
      </w:tr>
      <w:tr w:rsidR="0018444C">
        <w:trPr>
          <w:trHeight w:val="416"/>
          <w:jc w:val="center"/>
        </w:trPr>
        <w:tc>
          <w:tcPr>
            <w:tcW w:w="1970" w:type="dxa"/>
            <w:tcBorders>
              <w:top w:val="single" w:sz="6" w:space="0" w:color="000000"/>
              <w:left w:val="double" w:sz="4"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停車位</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開發後銷售價格評估</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pPr>
            <w:r>
              <w:rPr>
                <w:rFonts w:ascii="Times New Roman" w:eastAsia="標楷體" w:hAnsi="Times New Roman"/>
                <w:sz w:val="32"/>
                <w:szCs w:val="32"/>
              </w:rPr>
              <w:t>○</w:t>
            </w:r>
          </w:p>
        </w:tc>
        <w:tc>
          <w:tcPr>
            <w:tcW w:w="2761"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18444C" w:rsidRDefault="00980E38">
            <w:pPr>
              <w:pStyle w:val="DefaultText"/>
              <w:snapToGrid w:val="0"/>
              <w:spacing w:line="240" w:lineRule="auto"/>
              <w:jc w:val="center"/>
            </w:pPr>
            <w:r>
              <w:rPr>
                <w:rFonts w:ascii="Times New Roman" w:eastAsia="標楷體" w:hAnsi="Times New Roman"/>
                <w:sz w:val="32"/>
                <w:szCs w:val="32"/>
              </w:rPr>
              <w:t>○</w:t>
            </w:r>
          </w:p>
        </w:tc>
      </w:tr>
      <w:tr w:rsidR="0018444C">
        <w:trPr>
          <w:trHeight w:val="417"/>
          <w:jc w:val="center"/>
        </w:trPr>
        <w:tc>
          <w:tcPr>
            <w:tcW w:w="1970" w:type="dxa"/>
            <w:tcBorders>
              <w:top w:val="single" w:sz="6" w:space="0" w:color="000000"/>
              <w:left w:val="double" w:sz="4" w:space="0" w:color="000000"/>
              <w:bottom w:val="double" w:sz="4"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其他產品</w:t>
            </w:r>
          </w:p>
        </w:tc>
        <w:tc>
          <w:tcPr>
            <w:tcW w:w="2551" w:type="dxa"/>
            <w:tcBorders>
              <w:top w:val="single" w:sz="6" w:space="0" w:color="000000"/>
              <w:left w:val="single" w:sz="6" w:space="0" w:color="000000"/>
              <w:bottom w:val="double" w:sz="4" w:space="0" w:color="000000"/>
              <w:right w:val="single" w:sz="6"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開發後銷售價格評估</w:t>
            </w:r>
          </w:p>
        </w:tc>
        <w:tc>
          <w:tcPr>
            <w:tcW w:w="5521" w:type="dxa"/>
            <w:gridSpan w:val="2"/>
            <w:tcBorders>
              <w:top w:val="single" w:sz="6" w:space="0" w:color="000000"/>
              <w:left w:val="single" w:sz="6" w:space="0" w:color="000000"/>
              <w:bottom w:val="double" w:sz="4" w:space="0" w:color="000000"/>
              <w:right w:val="double" w:sz="4" w:space="0" w:color="000000"/>
            </w:tcBorders>
            <w:shd w:val="clear" w:color="auto" w:fill="auto"/>
            <w:tcMar>
              <w:top w:w="15" w:type="dxa"/>
              <w:left w:w="15" w:type="dxa"/>
              <w:bottom w:w="0" w:type="dxa"/>
              <w:right w:w="15" w:type="dxa"/>
            </w:tcMar>
            <w:vAlign w:val="center"/>
          </w:tcPr>
          <w:p w:rsidR="0018444C" w:rsidRDefault="00980E38">
            <w:pPr>
              <w:pStyle w:val="DefaultText"/>
              <w:snapToGrid w:val="0"/>
              <w:spacing w:line="240" w:lineRule="auto"/>
              <w:jc w:val="center"/>
              <w:rPr>
                <w:rFonts w:ascii="Times New Roman" w:eastAsia="標楷體" w:hAnsi="Times New Roman"/>
                <w:sz w:val="24"/>
                <w:szCs w:val="24"/>
              </w:rPr>
            </w:pPr>
            <w:r>
              <w:rPr>
                <w:rFonts w:ascii="Times New Roman" w:eastAsia="標楷體" w:hAnsi="Times New Roman"/>
                <w:sz w:val="24"/>
                <w:szCs w:val="24"/>
              </w:rPr>
              <w:t>依開發後產品之性質決定</w:t>
            </w:r>
          </w:p>
        </w:tc>
      </w:tr>
    </w:tbl>
    <w:p w:rsidR="0018444C" w:rsidRDefault="00980E38">
      <w:pPr>
        <w:pStyle w:val="DefaultText"/>
        <w:spacing w:before="40" w:after="40" w:line="440" w:lineRule="exact"/>
        <w:ind w:left="566" w:hanging="566"/>
        <w:jc w:val="both"/>
        <w:rPr>
          <w:rFonts w:ascii="Times New Roman" w:eastAsia="標楷體" w:hAnsi="Times New Roman"/>
          <w:sz w:val="24"/>
          <w:szCs w:val="24"/>
        </w:rPr>
      </w:pPr>
      <w:proofErr w:type="gramStart"/>
      <w:r>
        <w:rPr>
          <w:rFonts w:ascii="Times New Roman" w:eastAsia="標楷體" w:hAnsi="Times New Roman"/>
          <w:sz w:val="24"/>
          <w:szCs w:val="24"/>
        </w:rPr>
        <w:t>註</w:t>
      </w:r>
      <w:proofErr w:type="gramEnd"/>
      <w:r>
        <w:rPr>
          <w:rFonts w:ascii="Times New Roman" w:eastAsia="標楷體" w:hAnsi="Times New Roman"/>
          <w:sz w:val="24"/>
          <w:szCs w:val="24"/>
        </w:rPr>
        <w:t>：「</w:t>
      </w:r>
      <w:r>
        <w:rPr>
          <w:rFonts w:ascii="Times New Roman" w:eastAsia="標楷體" w:hAnsi="Times New Roman"/>
          <w:sz w:val="24"/>
          <w:szCs w:val="24"/>
        </w:rPr>
        <w:t>○</w:t>
      </w:r>
      <w:r>
        <w:rPr>
          <w:rFonts w:ascii="Times New Roman" w:eastAsia="標楷體" w:hAnsi="Times New Roman"/>
          <w:sz w:val="24"/>
          <w:szCs w:val="24"/>
        </w:rPr>
        <w:t>」為可選擇採用方法，依不動產估價技術規則</w:t>
      </w:r>
      <w:r>
        <w:rPr>
          <w:rFonts w:ascii="Times New Roman" w:eastAsia="標楷體" w:hAnsi="Times New Roman"/>
          <w:sz w:val="24"/>
          <w:szCs w:val="24"/>
        </w:rPr>
        <w:t>75</w:t>
      </w:r>
      <w:r>
        <w:rPr>
          <w:rFonts w:ascii="Times New Roman" w:eastAsia="標楷體" w:hAnsi="Times New Roman"/>
          <w:sz w:val="24"/>
          <w:szCs w:val="24"/>
        </w:rPr>
        <w:t>條，土地開發分析法之銷售單價以比較法或收益法評估。</w:t>
      </w:r>
    </w:p>
    <w:p w:rsidR="0018444C" w:rsidRDefault="0018444C">
      <w:pPr>
        <w:pStyle w:val="2"/>
        <w:tabs>
          <w:tab w:val="left" w:pos="-447"/>
          <w:tab w:val="left" w:pos="-306"/>
        </w:tabs>
        <w:spacing w:line="440" w:lineRule="exact"/>
        <w:ind w:left="883"/>
        <w:rPr>
          <w:rFonts w:ascii="Times New Roman" w:hAnsi="Times New Roman"/>
        </w:rPr>
      </w:pPr>
      <w:bookmarkStart w:id="263" w:name="_Toc300219524"/>
      <w:bookmarkStart w:id="264" w:name="_Toc310843640"/>
    </w:p>
    <w:p w:rsidR="0018444C" w:rsidRDefault="00980E38">
      <w:pPr>
        <w:pStyle w:val="2"/>
        <w:pageBreakBefore/>
        <w:numPr>
          <w:ilvl w:val="0"/>
          <w:numId w:val="30"/>
        </w:numPr>
        <w:tabs>
          <w:tab w:val="left" w:pos="-2847"/>
          <w:tab w:val="left" w:pos="-2706"/>
        </w:tabs>
        <w:spacing w:line="440" w:lineRule="exact"/>
      </w:pPr>
      <w:bookmarkStart w:id="265" w:name="_Toc385837555"/>
      <w:bookmarkStart w:id="266" w:name="_Toc385837944"/>
      <w:bookmarkStart w:id="267" w:name="_Toc391412467"/>
      <w:bookmarkStart w:id="268" w:name="_Toc457337623"/>
      <w:bookmarkStart w:id="269" w:name="_Toc462301013"/>
      <w:bookmarkStart w:id="270" w:name="_Toc488152832"/>
      <w:bookmarkStart w:id="271" w:name="_Toc488163385"/>
      <w:r>
        <w:rPr>
          <w:rFonts w:ascii="Times New Roman" w:hAnsi="Times New Roman"/>
          <w:b w:val="0"/>
          <w:sz w:val="28"/>
          <w:szCs w:val="28"/>
        </w:rPr>
        <w:lastRenderedPageBreak/>
        <w:t>含容積移入之基地</w:t>
      </w:r>
      <w:proofErr w:type="gramStart"/>
      <w:r>
        <w:rPr>
          <w:rFonts w:ascii="Times New Roman" w:hAnsi="Times New Roman"/>
          <w:b w:val="0"/>
          <w:sz w:val="28"/>
          <w:szCs w:val="28"/>
        </w:rPr>
        <w:t>價格價格</w:t>
      </w:r>
      <w:proofErr w:type="gramEnd"/>
      <w:r>
        <w:rPr>
          <w:rFonts w:ascii="Times New Roman" w:hAnsi="Times New Roman"/>
          <w:b w:val="0"/>
          <w:sz w:val="28"/>
          <w:szCs w:val="28"/>
        </w:rPr>
        <w:t>評估過程</w:t>
      </w:r>
      <w:bookmarkEnd w:id="265"/>
      <w:bookmarkEnd w:id="266"/>
      <w:bookmarkEnd w:id="267"/>
      <w:bookmarkEnd w:id="268"/>
      <w:bookmarkEnd w:id="269"/>
      <w:bookmarkEnd w:id="270"/>
      <w:bookmarkEnd w:id="271"/>
    </w:p>
    <w:p w:rsidR="0018444C" w:rsidRDefault="00980E38">
      <w:pPr>
        <w:pStyle w:val="DefaultText"/>
        <w:numPr>
          <w:ilvl w:val="0"/>
          <w:numId w:val="34"/>
        </w:numPr>
        <w:snapToGrid w:val="0"/>
        <w:spacing w:before="40" w:after="40" w:line="420" w:lineRule="exact"/>
        <w:ind w:hanging="706"/>
        <w:jc w:val="both"/>
      </w:pPr>
      <w:bookmarkStart w:id="272" w:name="_Toc488152833"/>
      <w:bookmarkStart w:id="273" w:name="_Toc488163386"/>
      <w:r>
        <w:rPr>
          <w:rStyle w:val="30"/>
          <w:rFonts w:ascii="Times New Roman" w:hAnsi="Times New Roman"/>
        </w:rPr>
        <w:t>土地開發分析法估算過程</w:t>
      </w:r>
      <w:bookmarkEnd w:id="272"/>
      <w:bookmarkEnd w:id="273"/>
      <w:r>
        <w:rPr>
          <w:rFonts w:ascii="Times New Roman" w:eastAsia="標楷體" w:hAnsi="Times New Roman"/>
        </w:rPr>
        <w:t>：</w:t>
      </w:r>
    </w:p>
    <w:p w:rsidR="0018444C" w:rsidRDefault="00980E38">
      <w:pPr>
        <w:pStyle w:val="DefaultText"/>
        <w:numPr>
          <w:ilvl w:val="0"/>
          <w:numId w:val="35"/>
        </w:numPr>
        <w:snapToGrid w:val="0"/>
        <w:spacing w:before="40" w:after="40" w:line="440" w:lineRule="exact"/>
        <w:jc w:val="both"/>
        <w:rPr>
          <w:rFonts w:ascii="Times New Roman" w:eastAsia="標楷體" w:hAnsi="Times New Roman"/>
        </w:rPr>
      </w:pPr>
      <w:r>
        <w:rPr>
          <w:rFonts w:ascii="Times New Roman" w:eastAsia="標楷體" w:hAnsi="Times New Roman"/>
        </w:rPr>
        <w:t>基地條件分析</w:t>
      </w:r>
    </w:p>
    <w:p w:rsidR="0018444C" w:rsidRDefault="00980E38">
      <w:pPr>
        <w:pStyle w:val="affff"/>
        <w:ind w:left="1360" w:firstLine="0"/>
        <w:rPr>
          <w:rFonts w:ascii="Times New Roman" w:hAnsi="Times New Roman"/>
          <w:szCs w:val="24"/>
        </w:rPr>
      </w:pPr>
      <w:r>
        <w:rPr>
          <w:rFonts w:ascii="Times New Roman" w:hAnsi="Times New Roman"/>
          <w:szCs w:val="24"/>
        </w:rPr>
        <w:t>《注意須知》：分析基地面積、</w:t>
      </w:r>
      <w:proofErr w:type="gramStart"/>
      <w:r>
        <w:rPr>
          <w:rFonts w:ascii="Times New Roman" w:hAnsi="Times New Roman"/>
          <w:szCs w:val="24"/>
        </w:rPr>
        <w:t>臨路條件</w:t>
      </w:r>
      <w:proofErr w:type="gramEnd"/>
      <w:r>
        <w:rPr>
          <w:rFonts w:ascii="Times New Roman" w:hAnsi="Times New Roman"/>
          <w:szCs w:val="24"/>
        </w:rPr>
        <w:t>、地形、地勢及小環境條件。</w:t>
      </w:r>
    </w:p>
    <w:p w:rsidR="0018444C" w:rsidRDefault="00980E38">
      <w:pPr>
        <w:pStyle w:val="DefaultText"/>
        <w:numPr>
          <w:ilvl w:val="0"/>
          <w:numId w:val="35"/>
        </w:numPr>
        <w:snapToGrid w:val="0"/>
        <w:spacing w:before="40" w:after="40" w:line="440" w:lineRule="exact"/>
        <w:jc w:val="both"/>
        <w:rPr>
          <w:rFonts w:ascii="Times New Roman" w:eastAsia="標楷體" w:hAnsi="Times New Roman"/>
        </w:rPr>
      </w:pPr>
      <w:r>
        <w:rPr>
          <w:rFonts w:ascii="Times New Roman" w:eastAsia="標楷體" w:hAnsi="Times New Roman"/>
        </w:rPr>
        <w:t>建築及土地使用管制等相關法規分析</w:t>
      </w:r>
    </w:p>
    <w:p w:rsidR="0018444C" w:rsidRDefault="00980E38">
      <w:pPr>
        <w:pStyle w:val="affff"/>
        <w:ind w:left="1360" w:firstLine="0"/>
      </w:pPr>
      <w:r>
        <w:rPr>
          <w:rFonts w:ascii="Times New Roman" w:hAnsi="Times New Roman"/>
          <w:szCs w:val="24"/>
        </w:rPr>
        <w:t>《注意須知》：依</w:t>
      </w:r>
      <w:r>
        <w:rPr>
          <w:rFonts w:ascii="Times New Roman" w:hAnsi="Times New Roman"/>
          <w:color w:val="FF0000"/>
          <w:szCs w:val="24"/>
        </w:rPr>
        <w:t>容積移轉折</w:t>
      </w:r>
      <w:proofErr w:type="gramStart"/>
      <w:r>
        <w:rPr>
          <w:rFonts w:ascii="Times New Roman" w:hAnsi="Times New Roman"/>
          <w:color w:val="FF0000"/>
          <w:szCs w:val="24"/>
        </w:rPr>
        <w:t>繳</w:t>
      </w:r>
      <w:proofErr w:type="gramEnd"/>
      <w:r>
        <w:rPr>
          <w:rFonts w:ascii="Times New Roman" w:hAnsi="Times New Roman"/>
          <w:color w:val="FF0000"/>
          <w:szCs w:val="24"/>
        </w:rPr>
        <w:t>代金估價說明書</w:t>
      </w:r>
      <w:r>
        <w:rPr>
          <w:rFonts w:ascii="Times New Roman" w:hAnsi="Times New Roman"/>
          <w:szCs w:val="24"/>
        </w:rPr>
        <w:t>及都市計畫書等相關資訊分析基地土地使用分區管制的限制，包括</w:t>
      </w:r>
      <w:proofErr w:type="gramStart"/>
      <w:r>
        <w:rPr>
          <w:rFonts w:ascii="Times New Roman" w:hAnsi="Times New Roman"/>
          <w:szCs w:val="24"/>
        </w:rPr>
        <w:t>允建量體</w:t>
      </w:r>
      <w:proofErr w:type="gramEnd"/>
      <w:r>
        <w:rPr>
          <w:rFonts w:ascii="Times New Roman" w:hAnsi="Times New Roman"/>
          <w:szCs w:val="24"/>
        </w:rPr>
        <w:t>、容許使用項目等。</w:t>
      </w:r>
    </w:p>
    <w:p w:rsidR="0018444C" w:rsidRDefault="00980E38">
      <w:pPr>
        <w:pStyle w:val="DefaultText"/>
        <w:numPr>
          <w:ilvl w:val="0"/>
          <w:numId w:val="35"/>
        </w:numPr>
        <w:snapToGrid w:val="0"/>
        <w:spacing w:before="40" w:after="40" w:line="440" w:lineRule="exact"/>
        <w:jc w:val="both"/>
        <w:rPr>
          <w:rFonts w:ascii="Times New Roman" w:eastAsia="標楷體" w:hAnsi="Times New Roman"/>
        </w:rPr>
      </w:pPr>
      <w:r>
        <w:rPr>
          <w:rFonts w:ascii="Times New Roman" w:eastAsia="標楷體" w:hAnsi="Times New Roman"/>
        </w:rPr>
        <w:t>基地建築量體分析</w:t>
      </w:r>
    </w:p>
    <w:p w:rsidR="0018444C" w:rsidRDefault="00980E38">
      <w:pPr>
        <w:pStyle w:val="CCIS10"/>
        <w:numPr>
          <w:ilvl w:val="0"/>
          <w:numId w:val="36"/>
        </w:numPr>
        <w:rPr>
          <w:rFonts w:ascii="Times New Roman" w:hAnsi="Times New Roman"/>
        </w:rPr>
      </w:pPr>
      <w:r>
        <w:rPr>
          <w:rFonts w:ascii="Times New Roman" w:hAnsi="Times New Roman"/>
        </w:rPr>
        <w:t>建築結構：。</w:t>
      </w:r>
    </w:p>
    <w:p w:rsidR="0018444C" w:rsidRDefault="00980E38">
      <w:pPr>
        <w:pStyle w:val="CCIS10"/>
        <w:numPr>
          <w:ilvl w:val="0"/>
          <w:numId w:val="36"/>
        </w:numPr>
        <w:rPr>
          <w:rFonts w:ascii="Times New Roman" w:hAnsi="Times New Roman"/>
        </w:rPr>
      </w:pPr>
      <w:r>
        <w:rPr>
          <w:rFonts w:ascii="Times New Roman" w:hAnsi="Times New Roman"/>
        </w:rPr>
        <w:t>規劃樓層數：地上</w:t>
      </w:r>
      <w:r>
        <w:rPr>
          <w:rFonts w:ascii="Times New Roman" w:hAnsi="Times New Roman"/>
        </w:rPr>
        <w:t>____</w:t>
      </w:r>
      <w:r>
        <w:rPr>
          <w:rFonts w:ascii="Times New Roman" w:hAnsi="Times New Roman"/>
        </w:rPr>
        <w:t>層、地下</w:t>
      </w:r>
      <w:r>
        <w:rPr>
          <w:rFonts w:ascii="Times New Roman" w:hAnsi="Times New Roman"/>
        </w:rPr>
        <w:t>____</w:t>
      </w:r>
      <w:r>
        <w:rPr>
          <w:rFonts w:ascii="Times New Roman" w:hAnsi="Times New Roman"/>
        </w:rPr>
        <w:t>層。</w:t>
      </w:r>
    </w:p>
    <w:p w:rsidR="0018444C" w:rsidRDefault="00980E38">
      <w:pPr>
        <w:pStyle w:val="CCIS10"/>
        <w:numPr>
          <w:ilvl w:val="0"/>
          <w:numId w:val="36"/>
        </w:numPr>
        <w:rPr>
          <w:rFonts w:ascii="Times New Roman" w:hAnsi="Times New Roman"/>
        </w:rPr>
      </w:pPr>
      <w:r>
        <w:rPr>
          <w:rFonts w:ascii="Times New Roman" w:hAnsi="Times New Roman"/>
        </w:rPr>
        <w:t>各層銷售面積及用途如下表</w:t>
      </w:r>
      <w:r>
        <w:rPr>
          <w:rFonts w:ascii="Times New Roman" w:hAnsi="Times New Roman"/>
        </w:rPr>
        <w:t>(</w:t>
      </w:r>
      <w:r>
        <w:rPr>
          <w:rFonts w:ascii="Times New Roman" w:hAnsi="Times New Roman"/>
        </w:rPr>
        <w:t>請詳列銷售面積計算推估過程，若下表有不足者，請自行增設欄位。</w:t>
      </w:r>
      <w:r>
        <w:rPr>
          <w:rFonts w:ascii="Times New Roman" w:hAnsi="Times New Roman"/>
        </w:rPr>
        <w:t>)</w:t>
      </w:r>
    </w:p>
    <w:tbl>
      <w:tblPr>
        <w:tblW w:w="8746" w:type="dxa"/>
        <w:tblInd w:w="1162" w:type="dxa"/>
        <w:tblLayout w:type="fixed"/>
        <w:tblCellMar>
          <w:left w:w="10" w:type="dxa"/>
          <w:right w:w="10" w:type="dxa"/>
        </w:tblCellMar>
        <w:tblLook w:val="0000" w:firstRow="0" w:lastRow="0" w:firstColumn="0" w:lastColumn="0" w:noHBand="0" w:noVBand="0"/>
      </w:tblPr>
      <w:tblGrid>
        <w:gridCol w:w="1134"/>
        <w:gridCol w:w="950"/>
        <w:gridCol w:w="992"/>
        <w:gridCol w:w="850"/>
        <w:gridCol w:w="851"/>
        <w:gridCol w:w="850"/>
        <w:gridCol w:w="851"/>
        <w:gridCol w:w="1417"/>
        <w:gridCol w:w="851"/>
      </w:tblGrid>
      <w:tr w:rsidR="0018444C">
        <w:trPr>
          <w:trHeight w:val="20"/>
        </w:trPr>
        <w:tc>
          <w:tcPr>
            <w:tcW w:w="1134" w:type="dxa"/>
            <w:vMerge w:val="restart"/>
            <w:tcBorders>
              <w:top w:val="double" w:sz="4"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樓層</w:t>
            </w:r>
          </w:p>
        </w:tc>
        <w:tc>
          <w:tcPr>
            <w:tcW w:w="5344" w:type="dxa"/>
            <w:gridSpan w:val="6"/>
            <w:tcBorders>
              <w:top w:val="doub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規劃面積</w:t>
            </w:r>
          </w:p>
        </w:tc>
        <w:tc>
          <w:tcPr>
            <w:tcW w:w="2268" w:type="dxa"/>
            <w:gridSpan w:val="2"/>
            <w:tcBorders>
              <w:top w:val="double" w:sz="4"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銷售面積</w:t>
            </w:r>
          </w:p>
        </w:tc>
      </w:tr>
      <w:tr w:rsidR="0018444C">
        <w:trPr>
          <w:trHeight w:val="20"/>
        </w:trPr>
        <w:tc>
          <w:tcPr>
            <w:tcW w:w="1134" w:type="dxa"/>
            <w:vMerge/>
            <w:tcBorders>
              <w:top w:val="double" w:sz="4"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樓地板面積</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容積樓地板</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proofErr w:type="gramStart"/>
            <w:r>
              <w:rPr>
                <w:rFonts w:ascii="Times New Roman" w:eastAsia="標楷體" w:hAnsi="Times New Roman"/>
              </w:rPr>
              <w:t>梯廳</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機電</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陽台</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其他共有</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推估銷售面積及車位數量</w:t>
            </w:r>
          </w:p>
        </w:tc>
        <w:tc>
          <w:tcPr>
            <w:tcW w:w="851" w:type="dxa"/>
            <w:vMerge w:val="restart"/>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用途</w:t>
            </w:r>
          </w:p>
        </w:tc>
      </w:tr>
      <w:tr w:rsidR="0018444C">
        <w:trPr>
          <w:trHeight w:val="20"/>
        </w:trPr>
        <w:tc>
          <w:tcPr>
            <w:tcW w:w="1134" w:type="dxa"/>
            <w:vMerge/>
            <w:tcBorders>
              <w:top w:val="double" w:sz="4"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pPr>
            <w:r>
              <w:rPr>
                <w:rFonts w:ascii="Times New Roman" w:eastAsia="標楷體" w:hAnsi="Times New Roman"/>
              </w:rPr>
              <w:t>M</w:t>
            </w:r>
            <w:r>
              <w:rPr>
                <w:rFonts w:ascii="Times New Roman" w:eastAsia="標楷體" w:hAnsi="Times New Roman"/>
                <w:vertAlign w:val="superscript"/>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tcPr>
          <w:p w:rsidR="0018444C" w:rsidRDefault="00980E38">
            <w:pPr>
              <w:jc w:val="center"/>
            </w:pPr>
            <w:r>
              <w:rPr>
                <w:rFonts w:ascii="Times New Roman" w:eastAsia="標楷體" w:hAnsi="Times New Roman"/>
              </w:rPr>
              <w:t>M</w:t>
            </w:r>
            <w:r>
              <w:rPr>
                <w:rFonts w:ascii="Times New Roman" w:eastAsia="標楷體" w:hAnsi="Times New Roman"/>
                <w:vertAlign w:val="superscript"/>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tcPr>
          <w:p w:rsidR="0018444C" w:rsidRDefault="00980E38">
            <w:pPr>
              <w:jc w:val="center"/>
            </w:pPr>
            <w:r>
              <w:rPr>
                <w:rFonts w:ascii="Times New Roman" w:eastAsia="標楷體" w:hAnsi="Times New Roman"/>
              </w:rPr>
              <w:t>M</w:t>
            </w:r>
            <w:r>
              <w:rPr>
                <w:rFonts w:ascii="Times New Roman" w:eastAsia="標楷體" w:hAnsi="Times New Roman"/>
                <w:vertAlign w:val="superscript"/>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tcPr>
          <w:p w:rsidR="0018444C" w:rsidRDefault="00980E38">
            <w:pPr>
              <w:jc w:val="center"/>
            </w:pPr>
            <w:r>
              <w:rPr>
                <w:rFonts w:ascii="Times New Roman" w:eastAsia="標楷體" w:hAnsi="Times New Roman"/>
              </w:rPr>
              <w:t>M</w:t>
            </w:r>
            <w:r>
              <w:rPr>
                <w:rFonts w:ascii="Times New Roman" w:eastAsia="標楷體" w:hAnsi="Times New Roman"/>
                <w:vertAlign w:val="superscript"/>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tcPr>
          <w:p w:rsidR="0018444C" w:rsidRDefault="00980E38">
            <w:pPr>
              <w:jc w:val="center"/>
            </w:pPr>
            <w:r>
              <w:rPr>
                <w:rFonts w:ascii="Times New Roman" w:eastAsia="標楷體" w:hAnsi="Times New Roman"/>
              </w:rPr>
              <w:t>M</w:t>
            </w:r>
            <w:r>
              <w:rPr>
                <w:rFonts w:ascii="Times New Roman" w:eastAsia="標楷體" w:hAnsi="Times New Roman"/>
                <w:vertAlign w:val="superscript"/>
              </w:rPr>
              <w:t>2</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tcPr>
          <w:p w:rsidR="0018444C" w:rsidRDefault="00980E38">
            <w:pPr>
              <w:jc w:val="center"/>
            </w:pPr>
            <w:r>
              <w:rPr>
                <w:rFonts w:ascii="Times New Roman" w:eastAsia="標楷體" w:hAnsi="Times New Roman"/>
              </w:rPr>
              <w:t>M</w:t>
            </w:r>
            <w:r>
              <w:rPr>
                <w:rFonts w:ascii="Times New Roman" w:eastAsia="標楷體" w:hAnsi="Times New Roman"/>
                <w:vertAlign w:val="superscript"/>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坪</w:t>
            </w:r>
            <w:r>
              <w:rPr>
                <w:rFonts w:ascii="Times New Roman" w:eastAsia="標楷體" w:hAnsi="Times New Roman"/>
              </w:rPr>
              <w:t>/</w:t>
            </w:r>
            <w:proofErr w:type="gramStart"/>
            <w:r>
              <w:rPr>
                <w:rFonts w:ascii="Times New Roman" w:eastAsia="標楷體" w:hAnsi="Times New Roman"/>
              </w:rPr>
              <w:t>個</w:t>
            </w:r>
            <w:proofErr w:type="gramEnd"/>
          </w:p>
        </w:tc>
        <w:tc>
          <w:tcPr>
            <w:tcW w:w="851" w:type="dxa"/>
            <w:vMerge/>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u w:val="single"/>
              </w:rPr>
            </w:pP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屋頂突出物</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6F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5F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4F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3F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2F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1F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地上層小計</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B1</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B2</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B3</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B4</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地下層小計</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r>
      <w:tr w:rsidR="0018444C">
        <w:trPr>
          <w:trHeight w:val="20"/>
        </w:trPr>
        <w:tc>
          <w:tcPr>
            <w:tcW w:w="1134" w:type="dxa"/>
            <w:tcBorders>
              <w:top w:val="single" w:sz="6" w:space="0" w:color="000000"/>
              <w:left w:val="double" w:sz="4"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全棟合計</w:t>
            </w:r>
          </w:p>
        </w:tc>
        <w:tc>
          <w:tcPr>
            <w:tcW w:w="950"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992"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0"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0"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doub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417"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double" w:sz="4"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r>
    </w:tbl>
    <w:p w:rsidR="0018444C" w:rsidRDefault="00980E38">
      <w:pPr>
        <w:pStyle w:val="CCIS10"/>
        <w:numPr>
          <w:ilvl w:val="0"/>
          <w:numId w:val="36"/>
        </w:numPr>
        <w:rPr>
          <w:rFonts w:ascii="Times New Roman" w:hAnsi="Times New Roman"/>
          <w:color w:val="FF0000"/>
        </w:rPr>
      </w:pPr>
      <w:r>
        <w:rPr>
          <w:rFonts w:ascii="Times New Roman" w:hAnsi="Times New Roman"/>
          <w:color w:val="FF0000"/>
        </w:rPr>
        <w:t>各戶銷售面積及用途如下表</w:t>
      </w:r>
    </w:p>
    <w:tbl>
      <w:tblPr>
        <w:tblW w:w="8283" w:type="dxa"/>
        <w:tblInd w:w="1635" w:type="dxa"/>
        <w:tblCellMar>
          <w:left w:w="10" w:type="dxa"/>
          <w:right w:w="10" w:type="dxa"/>
        </w:tblCellMar>
        <w:tblLook w:val="0000" w:firstRow="0" w:lastRow="0" w:firstColumn="0" w:lastColumn="0" w:noHBand="0" w:noVBand="0"/>
      </w:tblPr>
      <w:tblGrid>
        <w:gridCol w:w="779"/>
        <w:gridCol w:w="779"/>
        <w:gridCol w:w="779"/>
        <w:gridCol w:w="812"/>
        <w:gridCol w:w="812"/>
        <w:gridCol w:w="812"/>
        <w:gridCol w:w="812"/>
        <w:gridCol w:w="812"/>
        <w:gridCol w:w="845"/>
        <w:gridCol w:w="1041"/>
      </w:tblGrid>
      <w:tr w:rsidR="0018444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CCIS10"/>
              <w:rPr>
                <w:rFonts w:ascii="Times New Roman" w:hAnsi="Times New Roman"/>
                <w:color w:val="FF0000"/>
              </w:rPr>
            </w:pPr>
            <w:r>
              <w:rPr>
                <w:rFonts w:ascii="Times New Roman" w:hAnsi="Times New Roman"/>
                <w:color w:val="FF0000"/>
              </w:rPr>
              <w:lastRenderedPageBreak/>
              <w:t>樓層</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CCIS10"/>
              <w:rPr>
                <w:rFonts w:ascii="Times New Roman" w:hAnsi="Times New Roman"/>
                <w:color w:val="FF0000"/>
              </w:rPr>
            </w:pPr>
            <w:r>
              <w:rPr>
                <w:rFonts w:ascii="Times New Roman" w:hAnsi="Times New Roman"/>
                <w:color w:val="FF0000"/>
              </w:rPr>
              <w:t>戶號</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CCIS10"/>
            </w:pPr>
            <w:r>
              <w:rPr>
                <w:rFonts w:ascii="Times New Roman" w:hAnsi="Times New Roman"/>
                <w:color w:val="FF0000"/>
              </w:rPr>
              <w:t>用途</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pPr>
            <w:r>
              <w:rPr>
                <w:rFonts w:ascii="Times New Roman" w:eastAsia="標楷體" w:hAnsi="Times New Roman"/>
                <w:color w:val="FF0000"/>
              </w:rPr>
              <w:t>主建物</w:t>
            </w:r>
            <w:r>
              <w:rPr>
                <w:rFonts w:ascii="Times New Roman" w:eastAsia="標楷體" w:hAnsi="Times New Roman"/>
                <w:color w:val="FF0000"/>
              </w:rPr>
              <w:t xml:space="preserve"> (</w:t>
            </w:r>
            <w:proofErr w:type="gramStart"/>
            <w:r>
              <w:rPr>
                <w:rFonts w:ascii="Times New Roman" w:eastAsia="標楷體" w:hAnsi="Times New Roman"/>
                <w:color w:val="FF0000"/>
              </w:rPr>
              <w:t>ｍ</w:t>
            </w:r>
            <w:proofErr w:type="gramEnd"/>
            <w:r>
              <w:rPr>
                <w:rFonts w:ascii="Times New Roman" w:eastAsia="標楷體" w:hAnsi="Times New Roman"/>
                <w:color w:val="FF0000"/>
                <w:vertAlign w:val="superscript"/>
              </w:rPr>
              <w:t>２</w:t>
            </w:r>
            <w:r>
              <w:rPr>
                <w:rFonts w:ascii="Times New Roman" w:eastAsia="標楷體" w:hAnsi="Times New Roman"/>
                <w:color w:val="FF0000"/>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pPr>
            <w:r>
              <w:rPr>
                <w:rFonts w:ascii="Times New Roman" w:eastAsia="標楷體" w:hAnsi="Times New Roman"/>
                <w:color w:val="FF0000"/>
              </w:rPr>
              <w:t>陽台</w:t>
            </w:r>
            <w:r>
              <w:rPr>
                <w:rFonts w:ascii="Times New Roman" w:eastAsia="標楷體" w:hAnsi="Times New Roman"/>
                <w:color w:val="FF0000"/>
              </w:rPr>
              <w:t>(</w:t>
            </w:r>
            <w:proofErr w:type="gramStart"/>
            <w:r>
              <w:rPr>
                <w:rFonts w:ascii="Times New Roman" w:eastAsia="標楷體" w:hAnsi="Times New Roman"/>
                <w:color w:val="FF0000"/>
              </w:rPr>
              <w:t>ｍ</w:t>
            </w:r>
            <w:proofErr w:type="gramEnd"/>
            <w:r>
              <w:rPr>
                <w:rFonts w:ascii="Times New Roman" w:eastAsia="標楷體" w:hAnsi="Times New Roman"/>
                <w:color w:val="FF0000"/>
                <w:vertAlign w:val="superscript"/>
              </w:rPr>
              <w:t>２</w:t>
            </w:r>
            <w:r>
              <w:rPr>
                <w:rFonts w:ascii="Times New Roman" w:eastAsia="標楷體" w:hAnsi="Times New Roman"/>
                <w:color w:val="FF0000"/>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pPr>
            <w:r>
              <w:rPr>
                <w:rFonts w:ascii="Times New Roman" w:eastAsia="標楷體" w:hAnsi="Times New Roman"/>
                <w:color w:val="FF0000"/>
              </w:rPr>
              <w:t>大公</w:t>
            </w:r>
            <w:r>
              <w:rPr>
                <w:rFonts w:ascii="Times New Roman" w:eastAsia="標楷體" w:hAnsi="Times New Roman"/>
                <w:color w:val="FF0000"/>
              </w:rPr>
              <w:t>(</w:t>
            </w:r>
            <w:proofErr w:type="gramStart"/>
            <w:r>
              <w:rPr>
                <w:rFonts w:ascii="Times New Roman" w:eastAsia="標楷體" w:hAnsi="Times New Roman"/>
                <w:color w:val="FF0000"/>
              </w:rPr>
              <w:t>ｍ</w:t>
            </w:r>
            <w:proofErr w:type="gramEnd"/>
            <w:r>
              <w:rPr>
                <w:rFonts w:ascii="Times New Roman" w:eastAsia="標楷體" w:hAnsi="Times New Roman"/>
                <w:color w:val="FF0000"/>
                <w:vertAlign w:val="superscript"/>
              </w:rPr>
              <w:t>２</w:t>
            </w:r>
            <w:r>
              <w:rPr>
                <w:rFonts w:ascii="Times New Roman" w:eastAsia="標楷體" w:hAnsi="Times New Roman"/>
                <w:color w:val="FF0000"/>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pPr>
            <w:r>
              <w:rPr>
                <w:rFonts w:ascii="Times New Roman" w:eastAsia="標楷體" w:hAnsi="Times New Roman"/>
                <w:color w:val="FF0000"/>
              </w:rPr>
              <w:t>小台</w:t>
            </w:r>
            <w:r>
              <w:rPr>
                <w:rFonts w:ascii="Times New Roman" w:eastAsia="標楷體" w:hAnsi="Times New Roman"/>
                <w:color w:val="FF0000"/>
              </w:rPr>
              <w:t>(</w:t>
            </w:r>
            <w:proofErr w:type="gramStart"/>
            <w:r>
              <w:rPr>
                <w:rFonts w:ascii="Times New Roman" w:eastAsia="標楷體" w:hAnsi="Times New Roman"/>
                <w:color w:val="FF0000"/>
              </w:rPr>
              <w:t>ｍ</w:t>
            </w:r>
            <w:proofErr w:type="gramEnd"/>
            <w:r>
              <w:rPr>
                <w:rFonts w:ascii="Times New Roman" w:eastAsia="標楷體" w:hAnsi="Times New Roman"/>
                <w:color w:val="FF0000"/>
                <w:vertAlign w:val="superscript"/>
              </w:rPr>
              <w:t>２</w:t>
            </w:r>
            <w:r>
              <w:rPr>
                <w:rFonts w:ascii="Times New Roman" w:eastAsia="標楷體" w:hAnsi="Times New Roman"/>
                <w:color w:val="FF0000"/>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pPr>
            <w:r>
              <w:rPr>
                <w:rFonts w:ascii="Times New Roman" w:eastAsia="標楷體" w:hAnsi="Times New Roman"/>
                <w:color w:val="FF0000"/>
              </w:rPr>
              <w:t>面積合計</w:t>
            </w:r>
            <w:r>
              <w:rPr>
                <w:rFonts w:ascii="Times New Roman" w:eastAsia="標楷體" w:hAnsi="Times New Roman"/>
                <w:color w:val="FF0000"/>
              </w:rPr>
              <w:t>(</w:t>
            </w:r>
            <w:proofErr w:type="gramStart"/>
            <w:r>
              <w:rPr>
                <w:rFonts w:ascii="Times New Roman" w:eastAsia="標楷體" w:hAnsi="Times New Roman"/>
                <w:color w:val="FF0000"/>
              </w:rPr>
              <w:t>ｍ</w:t>
            </w:r>
            <w:proofErr w:type="gramEnd"/>
            <w:r>
              <w:rPr>
                <w:rFonts w:ascii="Times New Roman" w:eastAsia="標楷體" w:hAnsi="Times New Roman"/>
                <w:color w:val="FF0000"/>
                <w:vertAlign w:val="superscript"/>
              </w:rPr>
              <w:t>２</w:t>
            </w:r>
            <w:r>
              <w:rPr>
                <w:rFonts w:ascii="Times New Roman" w:eastAsia="標楷體" w:hAnsi="Times New Roman"/>
                <w:color w:val="FF0000"/>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rPr>
                <w:rFonts w:ascii="Times New Roman" w:eastAsia="標楷體" w:hAnsi="Times New Roman"/>
                <w:color w:val="FF0000"/>
              </w:rPr>
            </w:pPr>
            <w:r>
              <w:rPr>
                <w:rFonts w:ascii="Times New Roman" w:eastAsia="標楷體" w:hAnsi="Times New Roman"/>
                <w:color w:val="FF0000"/>
              </w:rPr>
              <w:t>面積合計</w:t>
            </w:r>
            <w:r>
              <w:rPr>
                <w:rFonts w:ascii="Times New Roman" w:eastAsia="標楷體" w:hAnsi="Times New Roman"/>
                <w:color w:val="FF0000"/>
              </w:rPr>
              <w:t>(</w:t>
            </w:r>
            <w:r>
              <w:rPr>
                <w:rFonts w:ascii="Times New Roman" w:eastAsia="標楷體" w:hAnsi="Times New Roman"/>
                <w:color w:val="FF0000"/>
              </w:rPr>
              <w:t>坪</w:t>
            </w:r>
            <w:r>
              <w:rPr>
                <w:rFonts w:ascii="Times New Roman" w:eastAsia="標楷體" w:hAnsi="Times New Roman"/>
                <w:color w:val="FF0000"/>
              </w:rPr>
              <w: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rPr>
                <w:rFonts w:ascii="Times New Roman" w:eastAsia="標楷體" w:hAnsi="Times New Roman"/>
                <w:color w:val="FF0000"/>
              </w:rPr>
            </w:pPr>
            <w:r>
              <w:rPr>
                <w:rFonts w:ascii="Times New Roman" w:eastAsia="標楷體" w:hAnsi="Times New Roman"/>
                <w:color w:val="FF0000"/>
              </w:rPr>
              <w:t>公設比</w:t>
            </w:r>
          </w:p>
        </w:tc>
      </w:tr>
      <w:tr w:rsidR="0018444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r>
    </w:tbl>
    <w:p w:rsidR="0018444C" w:rsidRDefault="00980E38">
      <w:pPr>
        <w:pStyle w:val="CCIS10"/>
        <w:numPr>
          <w:ilvl w:val="0"/>
          <w:numId w:val="36"/>
        </w:numPr>
        <w:rPr>
          <w:rFonts w:ascii="Times New Roman" w:hAnsi="Times New Roman"/>
          <w:color w:val="FF0000"/>
        </w:rPr>
      </w:pPr>
      <w:r>
        <w:rPr>
          <w:rFonts w:ascii="Times New Roman" w:hAnsi="Times New Roman"/>
          <w:color w:val="FF0000"/>
        </w:rPr>
        <w:t>可銷售車位數量如下表</w:t>
      </w:r>
    </w:p>
    <w:tbl>
      <w:tblPr>
        <w:tblW w:w="4456" w:type="dxa"/>
        <w:tblInd w:w="2060" w:type="dxa"/>
        <w:tblCellMar>
          <w:left w:w="10" w:type="dxa"/>
          <w:right w:w="10" w:type="dxa"/>
        </w:tblCellMar>
        <w:tblLook w:val="0000" w:firstRow="0" w:lastRow="0" w:firstColumn="0" w:lastColumn="0" w:noHBand="0" w:noVBand="0"/>
      </w:tblPr>
      <w:tblGrid>
        <w:gridCol w:w="1196"/>
        <w:gridCol w:w="1701"/>
        <w:gridCol w:w="1559"/>
      </w:tblGrid>
      <w:tr w:rsidR="0018444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CCIS10"/>
              <w:rPr>
                <w:rFonts w:ascii="Times New Roman" w:hAnsi="Times New Roman"/>
                <w:color w:val="FF0000"/>
              </w:rPr>
            </w:pPr>
            <w:r>
              <w:rPr>
                <w:rFonts w:ascii="Times New Roman" w:hAnsi="Times New Roman"/>
                <w:color w:val="FF0000"/>
              </w:rPr>
              <w:t>樓層</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CCIS10"/>
              <w:rPr>
                <w:rFonts w:ascii="Times New Roman" w:hAnsi="Times New Roman"/>
                <w:color w:val="FF0000"/>
              </w:rPr>
            </w:pPr>
            <w:r>
              <w:rPr>
                <w:rFonts w:ascii="Times New Roman" w:hAnsi="Times New Roman"/>
                <w:color w:val="FF0000"/>
              </w:rPr>
              <w:t>車位規格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CCIS10"/>
              <w:rPr>
                <w:rFonts w:ascii="Times New Roman" w:hAnsi="Times New Roman"/>
                <w:color w:val="FF0000"/>
              </w:rPr>
            </w:pPr>
            <w:r>
              <w:rPr>
                <w:rFonts w:ascii="Times New Roman" w:hAnsi="Times New Roman"/>
                <w:color w:val="FF0000"/>
              </w:rPr>
              <w:t>數量</w:t>
            </w:r>
          </w:p>
        </w:tc>
      </w:tr>
      <w:tr w:rsidR="0018444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r>
    </w:tbl>
    <w:p w:rsidR="0018444C" w:rsidRDefault="0018444C">
      <w:pPr>
        <w:pStyle w:val="CCIS10"/>
        <w:ind w:left="2060"/>
        <w:rPr>
          <w:rFonts w:ascii="Times New Roman" w:hAnsi="Times New Roman"/>
        </w:rPr>
      </w:pPr>
    </w:p>
    <w:p w:rsidR="0018444C" w:rsidRDefault="00980E38">
      <w:pPr>
        <w:pStyle w:val="CCIS10"/>
        <w:numPr>
          <w:ilvl w:val="0"/>
          <w:numId w:val="36"/>
        </w:numPr>
        <w:rPr>
          <w:rFonts w:ascii="Times New Roman" w:hAnsi="Times New Roman"/>
        </w:rPr>
      </w:pPr>
      <w:r>
        <w:rPr>
          <w:rFonts w:ascii="Times New Roman" w:hAnsi="Times New Roman"/>
        </w:rPr>
        <w:t>建材配備：詳見附件建材設備表或特殊建材、特殊建築工法說明。</w:t>
      </w:r>
    </w:p>
    <w:p w:rsidR="0018444C" w:rsidRDefault="00980E38">
      <w:pPr>
        <w:pStyle w:val="CCIS10"/>
        <w:numPr>
          <w:ilvl w:val="0"/>
          <w:numId w:val="36"/>
        </w:numPr>
        <w:rPr>
          <w:rFonts w:ascii="Times New Roman" w:hAnsi="Times New Roman"/>
        </w:rPr>
      </w:pPr>
      <w:r>
        <w:rPr>
          <w:rFonts w:ascii="Times New Roman" w:hAnsi="Times New Roman"/>
        </w:rPr>
        <w:t>建物其他個別條件：</w:t>
      </w:r>
    </w:p>
    <w:p w:rsidR="0018444C" w:rsidRDefault="00980E38">
      <w:pPr>
        <w:pStyle w:val="CCISa"/>
        <w:numPr>
          <w:ilvl w:val="0"/>
          <w:numId w:val="37"/>
        </w:numPr>
        <w:tabs>
          <w:tab w:val="left" w:pos="46"/>
          <w:tab w:val="left" w:pos="2410"/>
        </w:tabs>
        <w:spacing w:line="400" w:lineRule="exact"/>
        <w:ind w:left="2694" w:hanging="426"/>
        <w:rPr>
          <w:rFonts w:ascii="Times New Roman" w:eastAsia="標楷體" w:hAnsi="Times New Roman"/>
          <w:sz w:val="24"/>
        </w:rPr>
      </w:pPr>
      <w:r>
        <w:rPr>
          <w:rFonts w:ascii="Times New Roman" w:eastAsia="標楷體" w:hAnsi="Times New Roman"/>
          <w:sz w:val="24"/>
        </w:rPr>
        <w:t>使用型態：</w:t>
      </w:r>
      <w:r>
        <w:rPr>
          <w:rFonts w:ascii="Times New Roman" w:eastAsia="標楷體" w:hAnsi="Times New Roman"/>
          <w:sz w:val="24"/>
        </w:rPr>
        <w:t>_________________</w:t>
      </w:r>
      <w:r>
        <w:rPr>
          <w:rFonts w:ascii="Times New Roman" w:eastAsia="標楷體" w:hAnsi="Times New Roman"/>
          <w:sz w:val="24"/>
        </w:rPr>
        <w:t>。</w:t>
      </w:r>
    </w:p>
    <w:p w:rsidR="0018444C" w:rsidRDefault="00980E38">
      <w:pPr>
        <w:pStyle w:val="CCISa"/>
        <w:numPr>
          <w:ilvl w:val="0"/>
          <w:numId w:val="37"/>
        </w:numPr>
        <w:tabs>
          <w:tab w:val="left" w:pos="46"/>
        </w:tabs>
        <w:spacing w:line="400" w:lineRule="exact"/>
        <w:ind w:left="2694" w:hanging="426"/>
        <w:rPr>
          <w:rFonts w:ascii="Times New Roman" w:eastAsia="標楷體" w:hAnsi="Times New Roman"/>
          <w:sz w:val="24"/>
        </w:rPr>
      </w:pPr>
      <w:r>
        <w:rPr>
          <w:rFonts w:ascii="Times New Roman" w:eastAsia="標楷體" w:hAnsi="Times New Roman"/>
          <w:sz w:val="24"/>
        </w:rPr>
        <w:t>建築型態：</w:t>
      </w:r>
      <w:r>
        <w:rPr>
          <w:rFonts w:ascii="Times New Roman" w:eastAsia="標楷體" w:hAnsi="Times New Roman"/>
          <w:sz w:val="24"/>
        </w:rPr>
        <w:t>_________________</w:t>
      </w:r>
      <w:r>
        <w:rPr>
          <w:rFonts w:ascii="Times New Roman" w:eastAsia="標楷體" w:hAnsi="Times New Roman"/>
          <w:sz w:val="24"/>
        </w:rPr>
        <w:t>。</w:t>
      </w:r>
    </w:p>
    <w:p w:rsidR="0018444C" w:rsidRDefault="00980E38">
      <w:pPr>
        <w:pStyle w:val="CCISa"/>
        <w:numPr>
          <w:ilvl w:val="0"/>
          <w:numId w:val="37"/>
        </w:numPr>
        <w:tabs>
          <w:tab w:val="left" w:pos="46"/>
        </w:tabs>
        <w:spacing w:line="400" w:lineRule="exact"/>
        <w:ind w:left="2694" w:hanging="426"/>
        <w:rPr>
          <w:rFonts w:ascii="Times New Roman" w:eastAsia="標楷體" w:hAnsi="Times New Roman"/>
          <w:sz w:val="24"/>
        </w:rPr>
      </w:pPr>
      <w:r>
        <w:rPr>
          <w:rFonts w:ascii="Times New Roman" w:eastAsia="標楷體" w:hAnsi="Times New Roman"/>
          <w:sz w:val="24"/>
        </w:rPr>
        <w:t>格</w:t>
      </w:r>
      <w:r>
        <w:rPr>
          <w:rFonts w:ascii="Times New Roman" w:eastAsia="標楷體" w:hAnsi="Times New Roman"/>
          <w:sz w:val="24"/>
        </w:rPr>
        <w:t xml:space="preserve">    </w:t>
      </w:r>
      <w:r>
        <w:rPr>
          <w:rFonts w:ascii="Times New Roman" w:eastAsia="標楷體" w:hAnsi="Times New Roman"/>
          <w:sz w:val="24"/>
        </w:rPr>
        <w:t>局：</w:t>
      </w:r>
      <w:r>
        <w:rPr>
          <w:rFonts w:ascii="Times New Roman" w:eastAsia="標楷體" w:hAnsi="Times New Roman"/>
          <w:sz w:val="24"/>
        </w:rPr>
        <w:t>_________________</w:t>
      </w:r>
      <w:r>
        <w:rPr>
          <w:rFonts w:ascii="Times New Roman" w:eastAsia="標楷體" w:hAnsi="Times New Roman"/>
          <w:sz w:val="24"/>
        </w:rPr>
        <w:t>。</w:t>
      </w:r>
    </w:p>
    <w:p w:rsidR="0018444C" w:rsidRDefault="00980E38">
      <w:pPr>
        <w:pStyle w:val="CCISa"/>
        <w:numPr>
          <w:ilvl w:val="0"/>
          <w:numId w:val="37"/>
        </w:numPr>
        <w:tabs>
          <w:tab w:val="left" w:pos="46"/>
        </w:tabs>
        <w:spacing w:line="400" w:lineRule="exact"/>
        <w:ind w:left="2694" w:hanging="426"/>
        <w:rPr>
          <w:rFonts w:ascii="Times New Roman" w:eastAsia="標楷體" w:hAnsi="Times New Roman"/>
          <w:sz w:val="24"/>
        </w:rPr>
      </w:pPr>
      <w:r>
        <w:rPr>
          <w:rFonts w:ascii="Times New Roman" w:eastAsia="標楷體" w:hAnsi="Times New Roman"/>
          <w:sz w:val="24"/>
        </w:rPr>
        <w:t>座</w:t>
      </w:r>
      <w:r>
        <w:rPr>
          <w:rFonts w:ascii="Times New Roman" w:eastAsia="標楷體" w:hAnsi="Times New Roman"/>
          <w:sz w:val="24"/>
        </w:rPr>
        <w:t xml:space="preserve">    </w:t>
      </w:r>
      <w:r>
        <w:rPr>
          <w:rFonts w:ascii="Times New Roman" w:eastAsia="標楷體" w:hAnsi="Times New Roman"/>
          <w:sz w:val="24"/>
        </w:rPr>
        <w:t>向：</w:t>
      </w:r>
      <w:r>
        <w:rPr>
          <w:rFonts w:ascii="Times New Roman" w:eastAsia="標楷體" w:hAnsi="Times New Roman"/>
          <w:sz w:val="24"/>
        </w:rPr>
        <w:t>_________________</w:t>
      </w:r>
      <w:r>
        <w:rPr>
          <w:rFonts w:ascii="Times New Roman" w:eastAsia="標楷體" w:hAnsi="Times New Roman"/>
          <w:sz w:val="24"/>
        </w:rPr>
        <w:t>。</w:t>
      </w:r>
    </w:p>
    <w:p w:rsidR="0018444C" w:rsidRDefault="00980E38">
      <w:pPr>
        <w:pStyle w:val="CCISa"/>
        <w:numPr>
          <w:ilvl w:val="0"/>
          <w:numId w:val="37"/>
        </w:numPr>
        <w:tabs>
          <w:tab w:val="left" w:pos="46"/>
        </w:tabs>
        <w:spacing w:line="400" w:lineRule="exact"/>
        <w:ind w:left="2694" w:hanging="426"/>
        <w:rPr>
          <w:rFonts w:ascii="Times New Roman" w:eastAsia="標楷體" w:hAnsi="Times New Roman"/>
          <w:sz w:val="24"/>
        </w:rPr>
      </w:pPr>
      <w:r>
        <w:rPr>
          <w:rFonts w:ascii="Times New Roman" w:eastAsia="標楷體" w:hAnsi="Times New Roman"/>
          <w:sz w:val="24"/>
        </w:rPr>
        <w:t>通風採光：</w:t>
      </w:r>
      <w:r>
        <w:rPr>
          <w:rFonts w:ascii="Times New Roman" w:eastAsia="標楷體" w:hAnsi="Times New Roman"/>
          <w:sz w:val="24"/>
        </w:rPr>
        <w:t>_________________</w:t>
      </w:r>
      <w:r>
        <w:rPr>
          <w:rFonts w:ascii="Times New Roman" w:eastAsia="標楷體" w:hAnsi="Times New Roman"/>
          <w:sz w:val="24"/>
        </w:rPr>
        <w:t>。</w:t>
      </w:r>
    </w:p>
    <w:p w:rsidR="0018444C" w:rsidRDefault="00980E38">
      <w:pPr>
        <w:pStyle w:val="CCISa"/>
        <w:numPr>
          <w:ilvl w:val="0"/>
          <w:numId w:val="37"/>
        </w:numPr>
        <w:tabs>
          <w:tab w:val="left" w:pos="46"/>
        </w:tabs>
        <w:spacing w:line="400" w:lineRule="exact"/>
        <w:ind w:left="2694" w:hanging="426"/>
        <w:rPr>
          <w:rFonts w:ascii="Times New Roman" w:eastAsia="標楷體" w:hAnsi="Times New Roman"/>
          <w:sz w:val="24"/>
        </w:rPr>
      </w:pPr>
      <w:r>
        <w:rPr>
          <w:rFonts w:ascii="Times New Roman" w:eastAsia="標楷體" w:hAnsi="Times New Roman"/>
          <w:sz w:val="24"/>
        </w:rPr>
        <w:t>公</w:t>
      </w:r>
      <w:r>
        <w:rPr>
          <w:rFonts w:ascii="Times New Roman" w:eastAsia="標楷體" w:hAnsi="Times New Roman"/>
          <w:sz w:val="24"/>
        </w:rPr>
        <w:t xml:space="preserve"> </w:t>
      </w:r>
      <w:r>
        <w:rPr>
          <w:rFonts w:ascii="Times New Roman" w:eastAsia="標楷體" w:hAnsi="Times New Roman"/>
          <w:sz w:val="24"/>
        </w:rPr>
        <w:t>設</w:t>
      </w:r>
      <w:r>
        <w:rPr>
          <w:rFonts w:ascii="Times New Roman" w:eastAsia="標楷體" w:hAnsi="Times New Roman"/>
          <w:sz w:val="24"/>
        </w:rPr>
        <w:t xml:space="preserve"> </w:t>
      </w:r>
      <w:r>
        <w:rPr>
          <w:rFonts w:ascii="Times New Roman" w:eastAsia="標楷體" w:hAnsi="Times New Roman"/>
          <w:sz w:val="24"/>
        </w:rPr>
        <w:t>比：</w:t>
      </w:r>
      <w:r>
        <w:rPr>
          <w:rFonts w:ascii="Times New Roman" w:eastAsia="標楷體" w:hAnsi="Times New Roman"/>
          <w:sz w:val="24"/>
        </w:rPr>
        <w:t>_________________</w:t>
      </w:r>
      <w:r>
        <w:rPr>
          <w:rFonts w:ascii="Times New Roman" w:eastAsia="標楷體" w:hAnsi="Times New Roman"/>
          <w:sz w:val="24"/>
        </w:rPr>
        <w:t>。</w:t>
      </w:r>
    </w:p>
    <w:p w:rsidR="0018444C" w:rsidRDefault="00980E38">
      <w:pPr>
        <w:pStyle w:val="CCISa"/>
        <w:numPr>
          <w:ilvl w:val="0"/>
          <w:numId w:val="37"/>
        </w:numPr>
        <w:tabs>
          <w:tab w:val="left" w:pos="46"/>
        </w:tabs>
        <w:spacing w:line="400" w:lineRule="exact"/>
        <w:ind w:left="2694" w:hanging="426"/>
        <w:rPr>
          <w:rFonts w:ascii="Times New Roman" w:eastAsia="標楷體" w:hAnsi="Times New Roman"/>
          <w:sz w:val="24"/>
        </w:rPr>
      </w:pPr>
      <w:r>
        <w:rPr>
          <w:rFonts w:ascii="Times New Roman" w:eastAsia="標楷體" w:hAnsi="Times New Roman"/>
          <w:sz w:val="24"/>
        </w:rPr>
        <w:t>其他（根據實際情形自行增加說明）。</w:t>
      </w:r>
    </w:p>
    <w:p w:rsidR="0018444C" w:rsidRDefault="00980E38">
      <w:pPr>
        <w:pStyle w:val="affff"/>
        <w:ind w:left="3542" w:hanging="1610"/>
      </w:pPr>
      <w:r>
        <w:rPr>
          <w:rFonts w:ascii="Times New Roman" w:hAnsi="Times New Roman"/>
          <w:szCs w:val="24"/>
        </w:rPr>
        <w:t>《注意須知》：依</w:t>
      </w:r>
      <w:proofErr w:type="gramStart"/>
      <w:r>
        <w:rPr>
          <w:rFonts w:ascii="Times New Roman" w:hAnsi="Times New Roman"/>
          <w:szCs w:val="24"/>
        </w:rPr>
        <w:t>勘估標</w:t>
      </w:r>
      <w:proofErr w:type="gramEnd"/>
      <w:r>
        <w:rPr>
          <w:rFonts w:ascii="Times New Roman" w:hAnsi="Times New Roman"/>
          <w:szCs w:val="24"/>
        </w:rPr>
        <w:t>的</w:t>
      </w:r>
      <w:r>
        <w:rPr>
          <w:rFonts w:ascii="Times New Roman" w:hAnsi="Times New Roman"/>
          <w:color w:val="FF0000"/>
          <w:szCs w:val="24"/>
        </w:rPr>
        <w:t>容積移轉折</w:t>
      </w:r>
      <w:proofErr w:type="gramStart"/>
      <w:r>
        <w:rPr>
          <w:rFonts w:ascii="Times New Roman" w:hAnsi="Times New Roman"/>
          <w:color w:val="FF0000"/>
          <w:szCs w:val="24"/>
        </w:rPr>
        <w:t>繳</w:t>
      </w:r>
      <w:proofErr w:type="gramEnd"/>
      <w:r>
        <w:rPr>
          <w:rFonts w:ascii="Times New Roman" w:hAnsi="Times New Roman"/>
          <w:color w:val="FF0000"/>
          <w:szCs w:val="24"/>
        </w:rPr>
        <w:t>代金估價說明書</w:t>
      </w:r>
      <w:r>
        <w:rPr>
          <w:rFonts w:ascii="Times New Roman" w:hAnsi="Times New Roman"/>
          <w:szCs w:val="24"/>
        </w:rPr>
        <w:t>所載之規劃方案分析規劃量體、建材設備、開發後建物用途、個別條件等進而推算開發後銷售面積及車位數量。</w:t>
      </w:r>
    </w:p>
    <w:p w:rsidR="0018444C" w:rsidRDefault="00980E38">
      <w:pPr>
        <w:pStyle w:val="DefaultText"/>
        <w:numPr>
          <w:ilvl w:val="0"/>
          <w:numId w:val="35"/>
        </w:numPr>
        <w:snapToGrid w:val="0"/>
        <w:spacing w:before="40" w:after="40" w:line="440" w:lineRule="exact"/>
        <w:jc w:val="both"/>
        <w:rPr>
          <w:rFonts w:ascii="Times New Roman" w:eastAsia="標楷體" w:hAnsi="Times New Roman"/>
        </w:rPr>
      </w:pPr>
      <w:r>
        <w:rPr>
          <w:rFonts w:ascii="Times New Roman" w:eastAsia="標楷體" w:hAnsi="Times New Roman"/>
        </w:rPr>
        <w:t>開發後總銷售金額評估</w:t>
      </w:r>
    </w:p>
    <w:p w:rsidR="0018444C" w:rsidRDefault="00980E38">
      <w:pPr>
        <w:pStyle w:val="CCIS10"/>
        <w:numPr>
          <w:ilvl w:val="0"/>
          <w:numId w:val="38"/>
        </w:numPr>
        <w:tabs>
          <w:tab w:val="left" w:pos="-14212"/>
        </w:tabs>
        <w:rPr>
          <w:rFonts w:ascii="Times New Roman" w:hAnsi="Times New Roman"/>
          <w:szCs w:val="24"/>
        </w:rPr>
      </w:pPr>
      <w:r>
        <w:rPr>
          <w:rFonts w:ascii="Times New Roman" w:hAnsi="Times New Roman"/>
          <w:szCs w:val="24"/>
        </w:rPr>
        <w:t>比</w:t>
      </w:r>
      <w:proofErr w:type="gramStart"/>
      <w:r>
        <w:rPr>
          <w:rFonts w:ascii="Times New Roman" w:hAnsi="Times New Roman"/>
          <w:szCs w:val="24"/>
        </w:rPr>
        <w:t>準</w:t>
      </w:r>
      <w:proofErr w:type="gramEnd"/>
      <w:r>
        <w:rPr>
          <w:rFonts w:ascii="Times New Roman" w:hAnsi="Times New Roman"/>
          <w:szCs w:val="24"/>
        </w:rPr>
        <w:t>戶選定與分析</w:t>
      </w:r>
    </w:p>
    <w:p w:rsidR="0018444C" w:rsidRDefault="00980E38">
      <w:pPr>
        <w:pStyle w:val="affff"/>
        <w:ind w:left="1644" w:firstLine="240"/>
        <w:rPr>
          <w:rFonts w:ascii="Times New Roman" w:hAnsi="Times New Roman"/>
          <w:szCs w:val="24"/>
        </w:rPr>
      </w:pPr>
      <w:r>
        <w:rPr>
          <w:rFonts w:ascii="Times New Roman" w:hAnsi="Times New Roman"/>
          <w:szCs w:val="24"/>
        </w:rPr>
        <w:t>《注意須知》</w:t>
      </w:r>
    </w:p>
    <w:p w:rsidR="0018444C" w:rsidRDefault="00980E38">
      <w:pPr>
        <w:pStyle w:val="DefaultText"/>
        <w:numPr>
          <w:ilvl w:val="0"/>
          <w:numId w:val="39"/>
        </w:numPr>
        <w:spacing w:before="40" w:after="40" w:line="440" w:lineRule="exact"/>
        <w:ind w:hanging="280"/>
        <w:jc w:val="both"/>
      </w:pPr>
      <w:r>
        <w:rPr>
          <w:rFonts w:ascii="Times New Roman" w:eastAsia="標楷體" w:hAnsi="Times New Roman"/>
          <w:sz w:val="24"/>
          <w:szCs w:val="24"/>
        </w:rPr>
        <w:t>以</w:t>
      </w:r>
      <w:r>
        <w:rPr>
          <w:rFonts w:ascii="Times New Roman" w:eastAsia="標楷體" w:hAnsi="Times New Roman"/>
          <w:color w:val="FF0000"/>
          <w:sz w:val="24"/>
          <w:szCs w:val="24"/>
        </w:rPr>
        <w:t>容積移轉折</w:t>
      </w:r>
      <w:proofErr w:type="gramStart"/>
      <w:r>
        <w:rPr>
          <w:rFonts w:ascii="Times New Roman" w:eastAsia="標楷體" w:hAnsi="Times New Roman"/>
          <w:color w:val="FF0000"/>
          <w:sz w:val="24"/>
          <w:szCs w:val="24"/>
        </w:rPr>
        <w:t>繳</w:t>
      </w:r>
      <w:proofErr w:type="gramEnd"/>
      <w:r>
        <w:rPr>
          <w:rFonts w:ascii="Times New Roman" w:eastAsia="標楷體" w:hAnsi="Times New Roman"/>
          <w:color w:val="FF0000"/>
          <w:sz w:val="24"/>
          <w:szCs w:val="24"/>
        </w:rPr>
        <w:t>代金估價說明書</w:t>
      </w:r>
      <w:r>
        <w:rPr>
          <w:rFonts w:ascii="Times New Roman" w:eastAsia="標楷體" w:hAnsi="Times New Roman"/>
          <w:sz w:val="24"/>
          <w:szCs w:val="24"/>
        </w:rPr>
        <w:t>，選擇建物條件中等樓層為比</w:t>
      </w:r>
      <w:proofErr w:type="gramStart"/>
      <w:r>
        <w:rPr>
          <w:rFonts w:ascii="Times New Roman" w:eastAsia="標楷體" w:hAnsi="Times New Roman"/>
          <w:sz w:val="24"/>
          <w:szCs w:val="24"/>
        </w:rPr>
        <w:t>準</w:t>
      </w:r>
      <w:proofErr w:type="gramEnd"/>
      <w:r>
        <w:rPr>
          <w:rFonts w:ascii="Times New Roman" w:eastAsia="標楷體" w:hAnsi="Times New Roman"/>
          <w:sz w:val="24"/>
          <w:szCs w:val="24"/>
        </w:rPr>
        <w:t>層，並自該層中選擇條件中等</w:t>
      </w:r>
      <w:proofErr w:type="gramStart"/>
      <w:r>
        <w:rPr>
          <w:rFonts w:ascii="Times New Roman" w:eastAsia="標楷體" w:hAnsi="Times New Roman"/>
          <w:sz w:val="24"/>
          <w:szCs w:val="24"/>
        </w:rPr>
        <w:t>之戶別</w:t>
      </w:r>
      <w:proofErr w:type="gramEnd"/>
      <w:r>
        <w:rPr>
          <w:rFonts w:ascii="Times New Roman" w:eastAsia="標楷體" w:hAnsi="Times New Roman"/>
          <w:sz w:val="24"/>
          <w:szCs w:val="24"/>
        </w:rPr>
        <w:t>做為預定新建物之比</w:t>
      </w:r>
      <w:proofErr w:type="gramStart"/>
      <w:r>
        <w:rPr>
          <w:rFonts w:ascii="Times New Roman" w:eastAsia="標楷體" w:hAnsi="Times New Roman"/>
          <w:sz w:val="24"/>
          <w:szCs w:val="24"/>
        </w:rPr>
        <w:t>準</w:t>
      </w:r>
      <w:proofErr w:type="gramEnd"/>
      <w:r>
        <w:rPr>
          <w:rFonts w:ascii="Times New Roman" w:eastAsia="標楷體" w:hAnsi="Times New Roman"/>
          <w:sz w:val="24"/>
          <w:szCs w:val="24"/>
        </w:rPr>
        <w:t>戶。估價師並應就如何決定之比</w:t>
      </w:r>
      <w:proofErr w:type="gramStart"/>
      <w:r>
        <w:rPr>
          <w:rFonts w:ascii="Times New Roman" w:eastAsia="標楷體" w:hAnsi="Times New Roman"/>
          <w:sz w:val="24"/>
          <w:szCs w:val="24"/>
        </w:rPr>
        <w:t>準</w:t>
      </w:r>
      <w:proofErr w:type="gramEnd"/>
      <w:r>
        <w:rPr>
          <w:rFonts w:ascii="Times New Roman" w:eastAsia="標楷體" w:hAnsi="Times New Roman"/>
          <w:sz w:val="24"/>
          <w:szCs w:val="24"/>
        </w:rPr>
        <w:t>樓層與比</w:t>
      </w:r>
      <w:proofErr w:type="gramStart"/>
      <w:r>
        <w:rPr>
          <w:rFonts w:ascii="Times New Roman" w:eastAsia="標楷體" w:hAnsi="Times New Roman"/>
          <w:sz w:val="24"/>
          <w:szCs w:val="24"/>
        </w:rPr>
        <w:t>準</w:t>
      </w:r>
      <w:proofErr w:type="gramEnd"/>
      <w:r>
        <w:rPr>
          <w:rFonts w:ascii="Times New Roman" w:eastAsia="標楷體" w:hAnsi="Times New Roman"/>
          <w:sz w:val="24"/>
          <w:szCs w:val="24"/>
        </w:rPr>
        <w:t>戶之理由進行說明。</w:t>
      </w:r>
    </w:p>
    <w:p w:rsidR="0018444C" w:rsidRDefault="00980E38">
      <w:pPr>
        <w:pStyle w:val="DefaultText"/>
        <w:numPr>
          <w:ilvl w:val="0"/>
          <w:numId w:val="39"/>
        </w:numPr>
        <w:spacing w:before="40" w:after="40" w:line="440" w:lineRule="exact"/>
        <w:ind w:hanging="280"/>
        <w:jc w:val="both"/>
      </w:pPr>
      <w:r>
        <w:rPr>
          <w:rFonts w:ascii="Times New Roman" w:eastAsia="標楷體" w:hAnsi="Times New Roman"/>
          <w:sz w:val="24"/>
          <w:szCs w:val="24"/>
        </w:rPr>
        <w:t>以</w:t>
      </w:r>
      <w:r>
        <w:rPr>
          <w:rFonts w:ascii="Times New Roman" w:eastAsia="標楷體" w:hAnsi="Times New Roman"/>
          <w:color w:val="FF0000"/>
          <w:sz w:val="24"/>
          <w:szCs w:val="24"/>
        </w:rPr>
        <w:t>容積移轉折</w:t>
      </w:r>
      <w:proofErr w:type="gramStart"/>
      <w:r>
        <w:rPr>
          <w:rFonts w:ascii="Times New Roman" w:eastAsia="標楷體" w:hAnsi="Times New Roman"/>
          <w:color w:val="FF0000"/>
          <w:sz w:val="24"/>
          <w:szCs w:val="24"/>
        </w:rPr>
        <w:t>繳</w:t>
      </w:r>
      <w:proofErr w:type="gramEnd"/>
      <w:r>
        <w:rPr>
          <w:rFonts w:ascii="Times New Roman" w:eastAsia="標楷體" w:hAnsi="Times New Roman"/>
          <w:color w:val="FF0000"/>
          <w:sz w:val="24"/>
          <w:szCs w:val="24"/>
        </w:rPr>
        <w:t>代金估價說明書</w:t>
      </w:r>
      <w:r>
        <w:rPr>
          <w:rFonts w:ascii="Times New Roman" w:eastAsia="標楷體" w:hAnsi="Times New Roman"/>
          <w:sz w:val="24"/>
          <w:szCs w:val="24"/>
        </w:rPr>
        <w:t>之規劃用途種類選定不同用途之比</w:t>
      </w:r>
      <w:proofErr w:type="gramStart"/>
      <w:r>
        <w:rPr>
          <w:rFonts w:ascii="Times New Roman" w:eastAsia="標楷體" w:hAnsi="Times New Roman"/>
          <w:sz w:val="24"/>
          <w:szCs w:val="24"/>
        </w:rPr>
        <w:t>準</w:t>
      </w:r>
      <w:proofErr w:type="gramEnd"/>
      <w:r>
        <w:rPr>
          <w:rFonts w:ascii="Times New Roman" w:eastAsia="標楷體" w:hAnsi="Times New Roman"/>
          <w:sz w:val="24"/>
          <w:szCs w:val="24"/>
        </w:rPr>
        <w:t>戶。</w:t>
      </w:r>
    </w:p>
    <w:p w:rsidR="0018444C" w:rsidRDefault="00980E38">
      <w:pPr>
        <w:pStyle w:val="CCIS10"/>
        <w:numPr>
          <w:ilvl w:val="0"/>
          <w:numId w:val="38"/>
        </w:numPr>
        <w:tabs>
          <w:tab w:val="left" w:pos="-14212"/>
        </w:tabs>
        <w:rPr>
          <w:rFonts w:ascii="Times New Roman" w:hAnsi="Times New Roman"/>
          <w:szCs w:val="24"/>
        </w:rPr>
      </w:pPr>
      <w:r>
        <w:rPr>
          <w:rFonts w:ascii="Times New Roman" w:hAnsi="Times New Roman"/>
          <w:szCs w:val="24"/>
        </w:rPr>
        <w:t>比較法評估過程</w:t>
      </w:r>
    </w:p>
    <w:p w:rsidR="0018444C" w:rsidRDefault="00980E38">
      <w:pPr>
        <w:pStyle w:val="CCISa"/>
        <w:numPr>
          <w:ilvl w:val="0"/>
          <w:numId w:val="40"/>
        </w:numPr>
        <w:tabs>
          <w:tab w:val="left" w:pos="46"/>
        </w:tabs>
        <w:spacing w:line="400" w:lineRule="exact"/>
        <w:ind w:left="2410"/>
        <w:rPr>
          <w:rFonts w:ascii="Times New Roman" w:eastAsia="標楷體" w:hAnsi="Times New Roman"/>
          <w:sz w:val="24"/>
          <w:szCs w:val="24"/>
        </w:rPr>
      </w:pPr>
      <w:r>
        <w:rPr>
          <w:rFonts w:ascii="Times New Roman" w:eastAsia="標楷體" w:hAnsi="Times New Roman"/>
          <w:sz w:val="24"/>
          <w:szCs w:val="24"/>
        </w:rPr>
        <w:t>有關比較法評估過程，本事務所</w:t>
      </w:r>
      <w:proofErr w:type="gramStart"/>
      <w:r>
        <w:rPr>
          <w:rFonts w:ascii="Times New Roman" w:eastAsia="標楷體" w:hAnsi="Times New Roman"/>
          <w:sz w:val="24"/>
          <w:szCs w:val="24"/>
        </w:rPr>
        <w:t>採</w:t>
      </w:r>
      <w:proofErr w:type="gramEnd"/>
      <w:r>
        <w:rPr>
          <w:rFonts w:ascii="Times New Roman" w:eastAsia="標楷體" w:hAnsi="Times New Roman"/>
          <w:sz w:val="24"/>
          <w:szCs w:val="24"/>
        </w:rPr>
        <w:t>百分率調整法評估之。</w:t>
      </w:r>
    </w:p>
    <w:p w:rsidR="0018444C" w:rsidRDefault="00980E38">
      <w:pPr>
        <w:pStyle w:val="CCISa"/>
        <w:numPr>
          <w:ilvl w:val="0"/>
          <w:numId w:val="40"/>
        </w:numPr>
        <w:tabs>
          <w:tab w:val="left" w:pos="46"/>
        </w:tabs>
        <w:spacing w:line="400" w:lineRule="exact"/>
        <w:ind w:left="2410"/>
        <w:rPr>
          <w:rFonts w:ascii="Times New Roman" w:eastAsia="標楷體" w:hAnsi="Times New Roman"/>
          <w:sz w:val="24"/>
          <w:szCs w:val="24"/>
        </w:rPr>
      </w:pPr>
      <w:r>
        <w:rPr>
          <w:rFonts w:ascii="Times New Roman" w:eastAsia="標楷體" w:hAnsi="Times New Roman"/>
          <w:sz w:val="24"/>
          <w:szCs w:val="24"/>
        </w:rPr>
        <w:t>百分率調整法係經比較標的與</w:t>
      </w:r>
      <w:proofErr w:type="gramStart"/>
      <w:r>
        <w:rPr>
          <w:rFonts w:ascii="Times New Roman" w:eastAsia="標楷體" w:hAnsi="Times New Roman"/>
          <w:sz w:val="24"/>
          <w:szCs w:val="24"/>
        </w:rPr>
        <w:t>勘</w:t>
      </w:r>
      <w:proofErr w:type="gramEnd"/>
      <w:r>
        <w:rPr>
          <w:rFonts w:ascii="Times New Roman" w:eastAsia="標楷體" w:hAnsi="Times New Roman"/>
          <w:sz w:val="24"/>
          <w:szCs w:val="24"/>
        </w:rPr>
        <w:t>估建物各項個別因素及區域因素條件進行分析，並判定各項因素之差異百分比率（</w:t>
      </w:r>
      <w:proofErr w:type="gramStart"/>
      <w:r>
        <w:rPr>
          <w:rFonts w:ascii="Times New Roman" w:eastAsia="標楷體" w:hAnsi="Times New Roman"/>
          <w:sz w:val="24"/>
          <w:szCs w:val="24"/>
        </w:rPr>
        <w:t>超極</w:t>
      </w:r>
      <w:proofErr w:type="gramEnd"/>
      <w:r>
        <w:rPr>
          <w:rFonts w:ascii="Times New Roman" w:eastAsia="標楷體" w:hAnsi="Times New Roman"/>
          <w:sz w:val="24"/>
          <w:szCs w:val="24"/>
        </w:rPr>
        <w:t>優＞極優＞優＞稍優＞普通＞</w:t>
      </w:r>
      <w:proofErr w:type="gramStart"/>
      <w:r>
        <w:rPr>
          <w:rFonts w:ascii="Times New Roman" w:eastAsia="標楷體" w:hAnsi="Times New Roman"/>
          <w:sz w:val="24"/>
          <w:szCs w:val="24"/>
        </w:rPr>
        <w:t>稍劣＞劣＞極</w:t>
      </w:r>
      <w:proofErr w:type="gramEnd"/>
      <w:r>
        <w:rPr>
          <w:rFonts w:ascii="Times New Roman" w:eastAsia="標楷體" w:hAnsi="Times New Roman"/>
          <w:sz w:val="24"/>
          <w:szCs w:val="24"/>
        </w:rPr>
        <w:t>劣＞</w:t>
      </w:r>
      <w:proofErr w:type="gramStart"/>
      <w:r>
        <w:rPr>
          <w:rFonts w:ascii="Times New Roman" w:eastAsia="標楷體" w:hAnsi="Times New Roman"/>
          <w:sz w:val="24"/>
          <w:szCs w:val="24"/>
        </w:rPr>
        <w:t>超極</w:t>
      </w:r>
      <w:proofErr w:type="gramEnd"/>
      <w:r>
        <w:rPr>
          <w:rFonts w:ascii="Times New Roman" w:eastAsia="標楷體" w:hAnsi="Times New Roman"/>
          <w:sz w:val="24"/>
          <w:szCs w:val="24"/>
        </w:rPr>
        <w:t>劣），計算出</w:t>
      </w:r>
      <w:proofErr w:type="gramStart"/>
      <w:r>
        <w:rPr>
          <w:rFonts w:ascii="Times New Roman" w:eastAsia="標楷體" w:hAnsi="Times New Roman"/>
          <w:sz w:val="24"/>
          <w:szCs w:val="24"/>
        </w:rPr>
        <w:t>勘</w:t>
      </w:r>
      <w:proofErr w:type="gramEnd"/>
      <w:r>
        <w:rPr>
          <w:rFonts w:ascii="Times New Roman" w:eastAsia="標楷體" w:hAnsi="Times New Roman"/>
          <w:sz w:val="24"/>
          <w:szCs w:val="24"/>
        </w:rPr>
        <w:t>估建物比較價格之方法。</w:t>
      </w:r>
    </w:p>
    <w:p w:rsidR="0018444C" w:rsidRDefault="00980E38">
      <w:pPr>
        <w:pStyle w:val="CCISa"/>
        <w:numPr>
          <w:ilvl w:val="0"/>
          <w:numId w:val="40"/>
        </w:numPr>
        <w:tabs>
          <w:tab w:val="left" w:pos="46"/>
        </w:tabs>
        <w:spacing w:line="400" w:lineRule="exact"/>
        <w:ind w:left="2410"/>
        <w:rPr>
          <w:rFonts w:ascii="Times New Roman" w:eastAsia="標楷體" w:hAnsi="Times New Roman"/>
          <w:sz w:val="24"/>
          <w:szCs w:val="24"/>
        </w:rPr>
      </w:pPr>
      <w:r>
        <w:rPr>
          <w:rFonts w:ascii="Times New Roman" w:eastAsia="標楷體" w:hAnsi="Times New Roman"/>
          <w:sz w:val="24"/>
          <w:szCs w:val="24"/>
        </w:rPr>
        <w:t>各項因素條件等級</w:t>
      </w:r>
      <w:r>
        <w:rPr>
          <w:rFonts w:ascii="Times New Roman" w:eastAsia="標楷體" w:hAnsi="Times New Roman"/>
          <w:sz w:val="24"/>
          <w:szCs w:val="24"/>
        </w:rPr>
        <w:t>:</w:t>
      </w:r>
      <w:proofErr w:type="gramStart"/>
      <w:r>
        <w:rPr>
          <w:rFonts w:ascii="Times New Roman" w:eastAsia="標楷體" w:hAnsi="Times New Roman"/>
          <w:sz w:val="24"/>
          <w:szCs w:val="24"/>
        </w:rPr>
        <w:t>超極</w:t>
      </w:r>
      <w:proofErr w:type="gramEnd"/>
      <w:r>
        <w:rPr>
          <w:rFonts w:ascii="Times New Roman" w:eastAsia="標楷體" w:hAnsi="Times New Roman"/>
          <w:sz w:val="24"/>
          <w:szCs w:val="24"/>
        </w:rPr>
        <w:t>優＞極優＞優＞</w:t>
      </w:r>
      <w:proofErr w:type="gramStart"/>
      <w:r>
        <w:rPr>
          <w:rFonts w:ascii="Times New Roman" w:eastAsia="標楷體" w:hAnsi="Times New Roman"/>
          <w:sz w:val="24"/>
          <w:szCs w:val="24"/>
        </w:rPr>
        <w:t>稍優</w:t>
      </w:r>
      <w:proofErr w:type="gramEnd"/>
      <w:r>
        <w:rPr>
          <w:rFonts w:ascii="Times New Roman" w:eastAsia="標楷體" w:hAnsi="Times New Roman"/>
          <w:sz w:val="24"/>
          <w:szCs w:val="24"/>
        </w:rPr>
        <w:t>＞普通＞</w:t>
      </w:r>
      <w:proofErr w:type="gramStart"/>
      <w:r>
        <w:rPr>
          <w:rFonts w:ascii="Times New Roman" w:eastAsia="標楷體" w:hAnsi="Times New Roman"/>
          <w:sz w:val="24"/>
          <w:szCs w:val="24"/>
        </w:rPr>
        <w:t>稍劣＞劣＞極</w:t>
      </w:r>
      <w:proofErr w:type="gramEnd"/>
      <w:r>
        <w:rPr>
          <w:rFonts w:ascii="Times New Roman" w:eastAsia="標楷體" w:hAnsi="Times New Roman"/>
          <w:sz w:val="24"/>
          <w:szCs w:val="24"/>
        </w:rPr>
        <w:t>劣＞</w:t>
      </w:r>
      <w:proofErr w:type="gramStart"/>
      <w:r>
        <w:rPr>
          <w:rFonts w:ascii="Times New Roman" w:eastAsia="標楷體" w:hAnsi="Times New Roman"/>
          <w:sz w:val="24"/>
          <w:szCs w:val="24"/>
        </w:rPr>
        <w:lastRenderedPageBreak/>
        <w:t>超極</w:t>
      </w:r>
      <w:proofErr w:type="gramEnd"/>
      <w:r>
        <w:rPr>
          <w:rFonts w:ascii="Times New Roman" w:eastAsia="標楷體" w:hAnsi="Times New Roman"/>
          <w:sz w:val="24"/>
          <w:szCs w:val="24"/>
        </w:rPr>
        <w:t>劣，各等級係以比較標的與</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的各項條件之客觀比較而來。</w:t>
      </w:r>
    </w:p>
    <w:p w:rsidR="0018444C" w:rsidRDefault="00980E38">
      <w:pPr>
        <w:pStyle w:val="CCISa"/>
        <w:numPr>
          <w:ilvl w:val="0"/>
          <w:numId w:val="40"/>
        </w:numPr>
        <w:tabs>
          <w:tab w:val="left" w:pos="46"/>
        </w:tabs>
        <w:spacing w:line="400" w:lineRule="exact"/>
        <w:ind w:left="2410"/>
        <w:rPr>
          <w:rFonts w:ascii="Times New Roman" w:eastAsia="標楷體" w:hAnsi="Times New Roman"/>
          <w:sz w:val="24"/>
          <w:szCs w:val="24"/>
        </w:rPr>
      </w:pPr>
      <w:r>
        <w:rPr>
          <w:rFonts w:ascii="Times New Roman" w:eastAsia="標楷體" w:hAnsi="Times New Roman"/>
          <w:sz w:val="24"/>
          <w:szCs w:val="24"/>
        </w:rPr>
        <w:t>對於比較案例之相關資料，本事務所已</w:t>
      </w:r>
      <w:proofErr w:type="gramStart"/>
      <w:r>
        <w:rPr>
          <w:rFonts w:ascii="Times New Roman" w:eastAsia="標楷體" w:hAnsi="Times New Roman"/>
          <w:sz w:val="24"/>
          <w:szCs w:val="24"/>
        </w:rPr>
        <w:t>儘</w:t>
      </w:r>
      <w:proofErr w:type="gramEnd"/>
      <w:r>
        <w:rPr>
          <w:rFonts w:ascii="Times New Roman" w:eastAsia="標楷體" w:hAnsi="Times New Roman"/>
          <w:sz w:val="24"/>
          <w:szCs w:val="24"/>
        </w:rPr>
        <w:t>可能向資料提供者進行查證，如有不足係屬無法查證或查證有困難。</w:t>
      </w:r>
    </w:p>
    <w:p w:rsidR="0018444C" w:rsidRDefault="00980E38">
      <w:pPr>
        <w:pStyle w:val="affff"/>
        <w:ind w:left="1644" w:firstLine="240"/>
        <w:rPr>
          <w:rFonts w:ascii="Times New Roman" w:hAnsi="Times New Roman"/>
          <w:szCs w:val="24"/>
        </w:rPr>
      </w:pPr>
      <w:r>
        <w:rPr>
          <w:rFonts w:ascii="Times New Roman" w:hAnsi="Times New Roman"/>
          <w:szCs w:val="24"/>
        </w:rPr>
        <w:t>《注意須知》</w:t>
      </w:r>
    </w:p>
    <w:p w:rsidR="0018444C" w:rsidRDefault="00980E38">
      <w:pPr>
        <w:pStyle w:val="DefaultText"/>
        <w:numPr>
          <w:ilvl w:val="0"/>
          <w:numId w:val="39"/>
        </w:numPr>
        <w:spacing w:before="40" w:after="40" w:line="440" w:lineRule="exact"/>
        <w:ind w:hanging="280"/>
        <w:jc w:val="both"/>
      </w:pPr>
      <w:r>
        <w:rPr>
          <w:rFonts w:ascii="Times New Roman" w:eastAsia="標楷體" w:hAnsi="Times New Roman"/>
          <w:sz w:val="24"/>
          <w:szCs w:val="24"/>
        </w:rPr>
        <w:t>應至少有兩個以上成交案例，且使用用途類似。但若情況特殊，無法取得上述案例時，應敘明理由。</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成交日期應以價格日期往前、後推算</w:t>
      </w:r>
      <w:proofErr w:type="gramStart"/>
      <w:r>
        <w:rPr>
          <w:rFonts w:ascii="Times New Roman" w:eastAsia="標楷體" w:hAnsi="Times New Roman"/>
          <w:sz w:val="24"/>
          <w:szCs w:val="24"/>
        </w:rPr>
        <w:t>一</w:t>
      </w:r>
      <w:proofErr w:type="gramEnd"/>
      <w:r>
        <w:rPr>
          <w:rFonts w:ascii="Times New Roman" w:eastAsia="標楷體" w:hAnsi="Times New Roman"/>
          <w:sz w:val="24"/>
          <w:szCs w:val="24"/>
        </w:rPr>
        <w:t>年內為原則。但若無成交日期距價格日期</w:t>
      </w:r>
      <w:proofErr w:type="gramStart"/>
      <w:r>
        <w:rPr>
          <w:rFonts w:ascii="Times New Roman" w:eastAsia="標楷體" w:hAnsi="Times New Roman"/>
          <w:sz w:val="24"/>
          <w:szCs w:val="24"/>
        </w:rPr>
        <w:t>一</w:t>
      </w:r>
      <w:proofErr w:type="gramEnd"/>
      <w:r>
        <w:rPr>
          <w:rFonts w:ascii="Times New Roman" w:eastAsia="標楷體" w:hAnsi="Times New Roman"/>
          <w:sz w:val="24"/>
          <w:szCs w:val="24"/>
        </w:rPr>
        <w:t>年內之比較案例，得放寬至一年以上，但應敘明理由。</w:t>
      </w:r>
    </w:p>
    <w:p w:rsidR="0018444C" w:rsidRDefault="00980E38">
      <w:pPr>
        <w:pStyle w:val="DefaultText"/>
        <w:numPr>
          <w:ilvl w:val="0"/>
          <w:numId w:val="39"/>
        </w:numPr>
        <w:spacing w:before="40" w:after="40" w:line="440" w:lineRule="exact"/>
        <w:ind w:hanging="280"/>
        <w:jc w:val="both"/>
      </w:pPr>
      <w:r>
        <w:rPr>
          <w:rFonts w:ascii="Times New Roman" w:eastAsia="標楷體" w:hAnsi="Times New Roman"/>
          <w:sz w:val="24"/>
          <w:szCs w:val="24"/>
        </w:rPr>
        <w:t>比較案例中應選取一個或一個以上交易案例為同一供需圈內，屬性類似之案例為比較標的。但若情況特殊，無法取得上述案例時，應敘明理由。</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比較案例</w:t>
      </w:r>
      <w:proofErr w:type="gramStart"/>
      <w:r>
        <w:rPr>
          <w:rFonts w:ascii="Times New Roman" w:eastAsia="標楷體" w:hAnsi="Times New Roman"/>
          <w:sz w:val="24"/>
          <w:szCs w:val="24"/>
        </w:rPr>
        <w:t>屋齡應以</w:t>
      </w:r>
      <w:proofErr w:type="gramEnd"/>
      <w:r>
        <w:rPr>
          <w:rFonts w:ascii="Times New Roman" w:eastAsia="標楷體" w:hAnsi="Times New Roman"/>
          <w:sz w:val="24"/>
          <w:szCs w:val="24"/>
        </w:rPr>
        <w:t>五年內新成屋為原則，若無屋齡五年以內之比較案例，得放寬至五年以上，但應敘明理由。</w:t>
      </w:r>
    </w:p>
    <w:p w:rsidR="0018444C" w:rsidRDefault="00980E38">
      <w:pPr>
        <w:pStyle w:val="CCISa"/>
        <w:pageBreakBefore/>
        <w:numPr>
          <w:ilvl w:val="0"/>
          <w:numId w:val="41"/>
        </w:numPr>
        <w:tabs>
          <w:tab w:val="left" w:pos="1997"/>
        </w:tabs>
        <w:spacing w:line="400" w:lineRule="exact"/>
        <w:ind w:left="2410"/>
      </w:pPr>
      <w:r>
        <w:rPr>
          <w:rFonts w:ascii="Times New Roman" w:eastAsia="標楷體" w:hAnsi="Times New Roman"/>
          <w:sz w:val="28"/>
          <w:szCs w:val="24"/>
        </w:rPr>
        <w:lastRenderedPageBreak/>
        <w:t>比較標的條件分析表</w:t>
      </w:r>
    </w:p>
    <w:tbl>
      <w:tblPr>
        <w:tblW w:w="8362" w:type="dxa"/>
        <w:jc w:val="center"/>
        <w:tblCellMar>
          <w:left w:w="10" w:type="dxa"/>
          <w:right w:w="10" w:type="dxa"/>
        </w:tblCellMar>
        <w:tblLook w:val="0000" w:firstRow="0" w:lastRow="0" w:firstColumn="0" w:lastColumn="0" w:noHBand="0" w:noVBand="0"/>
      </w:tblPr>
      <w:tblGrid>
        <w:gridCol w:w="1809"/>
        <w:gridCol w:w="1638"/>
        <w:gridCol w:w="1638"/>
        <w:gridCol w:w="1638"/>
        <w:gridCol w:w="1639"/>
      </w:tblGrid>
      <w:tr w:rsidR="0018444C">
        <w:trPr>
          <w:trHeight w:val="458"/>
          <w:jc w:val="center"/>
        </w:trPr>
        <w:tc>
          <w:tcPr>
            <w:tcW w:w="1809" w:type="dxa"/>
            <w:tcBorders>
              <w:top w:val="doub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項目</w:t>
            </w:r>
          </w:p>
        </w:tc>
        <w:tc>
          <w:tcPr>
            <w:tcW w:w="1638"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center"/>
              <w:rPr>
                <w:rFonts w:ascii="Times New Roman" w:eastAsia="標楷體" w:hAnsi="Times New Roman"/>
                <w:bCs/>
                <w:sz w:val="22"/>
                <w:szCs w:val="22"/>
              </w:rPr>
            </w:pPr>
            <w:proofErr w:type="gramStart"/>
            <w:r>
              <w:rPr>
                <w:rFonts w:ascii="Times New Roman" w:eastAsia="標楷體" w:hAnsi="Times New Roman"/>
                <w:bCs/>
                <w:sz w:val="22"/>
                <w:szCs w:val="22"/>
              </w:rPr>
              <w:t>勘</w:t>
            </w:r>
            <w:proofErr w:type="gramEnd"/>
            <w:r>
              <w:rPr>
                <w:rFonts w:ascii="Times New Roman" w:eastAsia="標楷體" w:hAnsi="Times New Roman"/>
                <w:bCs/>
                <w:sz w:val="22"/>
                <w:szCs w:val="22"/>
              </w:rPr>
              <w:t>估建物</w:t>
            </w:r>
          </w:p>
        </w:tc>
        <w:tc>
          <w:tcPr>
            <w:tcW w:w="1638"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center"/>
              <w:rPr>
                <w:rFonts w:ascii="Times New Roman" w:eastAsia="標楷體" w:hAnsi="Times New Roman"/>
                <w:bCs/>
                <w:sz w:val="22"/>
                <w:szCs w:val="22"/>
              </w:rPr>
            </w:pPr>
            <w:r>
              <w:rPr>
                <w:rFonts w:ascii="Times New Roman" w:eastAsia="標楷體" w:hAnsi="Times New Roman"/>
                <w:bCs/>
                <w:sz w:val="22"/>
                <w:szCs w:val="22"/>
              </w:rPr>
              <w:t>比較標的</w:t>
            </w:r>
            <w:proofErr w:type="gramStart"/>
            <w:r>
              <w:rPr>
                <w:rFonts w:ascii="Times New Roman" w:eastAsia="標楷體" w:hAnsi="Times New Roman"/>
                <w:bCs/>
                <w:sz w:val="22"/>
                <w:szCs w:val="22"/>
              </w:rPr>
              <w:t>一</w:t>
            </w:r>
            <w:proofErr w:type="gramEnd"/>
          </w:p>
        </w:tc>
        <w:tc>
          <w:tcPr>
            <w:tcW w:w="1638"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center"/>
              <w:rPr>
                <w:rFonts w:ascii="Times New Roman" w:eastAsia="標楷體" w:hAnsi="Times New Roman"/>
                <w:bCs/>
                <w:sz w:val="22"/>
                <w:szCs w:val="22"/>
              </w:rPr>
            </w:pPr>
            <w:r>
              <w:rPr>
                <w:rFonts w:ascii="Times New Roman" w:eastAsia="標楷體" w:hAnsi="Times New Roman"/>
                <w:bCs/>
                <w:sz w:val="22"/>
                <w:szCs w:val="22"/>
              </w:rPr>
              <w:t>比較標的二</w:t>
            </w:r>
          </w:p>
        </w:tc>
        <w:tc>
          <w:tcPr>
            <w:tcW w:w="163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980E38">
            <w:pPr>
              <w:pStyle w:val="r0"/>
              <w:snapToGrid w:val="0"/>
              <w:jc w:val="center"/>
              <w:rPr>
                <w:rFonts w:ascii="Times New Roman" w:eastAsia="標楷體" w:hAnsi="Times New Roman"/>
                <w:bCs/>
                <w:sz w:val="22"/>
                <w:szCs w:val="22"/>
              </w:rPr>
            </w:pPr>
            <w:r>
              <w:rPr>
                <w:rFonts w:ascii="Times New Roman" w:eastAsia="標楷體" w:hAnsi="Times New Roman"/>
                <w:bCs/>
                <w:sz w:val="22"/>
                <w:szCs w:val="22"/>
              </w:rPr>
              <w:t>比較標的三</w:t>
            </w:r>
          </w:p>
        </w:tc>
      </w:tr>
      <w:tr w:rsidR="0018444C">
        <w:trPr>
          <w:trHeight w:val="65"/>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地址</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價格型態</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交易價格</w:t>
            </w:r>
            <w:r>
              <w:rPr>
                <w:rFonts w:ascii="Times New Roman" w:eastAsia="標楷體" w:hAnsi="Times New Roman"/>
                <w:bCs/>
                <w:sz w:val="22"/>
                <w:szCs w:val="22"/>
              </w:rPr>
              <w:t>(</w:t>
            </w:r>
            <w:r>
              <w:rPr>
                <w:rFonts w:ascii="Times New Roman" w:eastAsia="標楷體" w:hAnsi="Times New Roman"/>
                <w:bCs/>
                <w:sz w:val="22"/>
                <w:szCs w:val="22"/>
              </w:rPr>
              <w:t>元</w:t>
            </w:r>
            <w:r>
              <w:rPr>
                <w:rFonts w:ascii="Times New Roman" w:eastAsia="標楷體" w:hAnsi="Times New Roman"/>
                <w:bCs/>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color w:val="FF0000"/>
                <w:sz w:val="22"/>
                <w:szCs w:val="22"/>
              </w:rPr>
            </w:pPr>
            <w:r>
              <w:rPr>
                <w:rFonts w:ascii="Times New Roman" w:eastAsia="標楷體" w:hAnsi="Times New Roman"/>
                <w:bCs/>
                <w:color w:val="FF0000"/>
                <w:sz w:val="22"/>
                <w:szCs w:val="22"/>
              </w:rPr>
              <w:t>車位價格</w:t>
            </w:r>
            <w:r>
              <w:rPr>
                <w:rFonts w:ascii="Times New Roman" w:eastAsia="標楷體" w:hAnsi="Times New Roman"/>
                <w:bCs/>
                <w:color w:val="FF0000"/>
                <w:sz w:val="22"/>
                <w:szCs w:val="22"/>
              </w:rPr>
              <w:t>(</w:t>
            </w:r>
            <w:r>
              <w:rPr>
                <w:rFonts w:ascii="Times New Roman" w:eastAsia="標楷體" w:hAnsi="Times New Roman"/>
                <w:bCs/>
                <w:color w:val="FF0000"/>
                <w:sz w:val="22"/>
                <w:szCs w:val="22"/>
              </w:rPr>
              <w:t>元</w:t>
            </w:r>
            <w:r>
              <w:rPr>
                <w:rFonts w:ascii="Times New Roman" w:eastAsia="標楷體" w:hAnsi="Times New Roman"/>
                <w:bCs/>
                <w:color w:val="FF0000"/>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color w:val="FF0000"/>
                <w:sz w:val="22"/>
                <w:szCs w:val="22"/>
              </w:rPr>
            </w:pPr>
            <w:r>
              <w:rPr>
                <w:rFonts w:ascii="Times New Roman" w:eastAsia="標楷體" w:hAnsi="Times New Roman"/>
                <w:bCs/>
                <w:color w:val="FF0000"/>
                <w:sz w:val="22"/>
                <w:szCs w:val="22"/>
              </w:rPr>
              <w:t>其他價格</w:t>
            </w:r>
            <w:r>
              <w:rPr>
                <w:rFonts w:ascii="Times New Roman" w:eastAsia="標楷體" w:hAnsi="Times New Roman"/>
                <w:bCs/>
                <w:color w:val="FF0000"/>
                <w:sz w:val="22"/>
                <w:szCs w:val="22"/>
              </w:rPr>
              <w:t>(</w:t>
            </w:r>
            <w:r>
              <w:rPr>
                <w:rFonts w:ascii="Times New Roman" w:eastAsia="標楷體" w:hAnsi="Times New Roman"/>
                <w:bCs/>
                <w:color w:val="FF0000"/>
                <w:sz w:val="22"/>
                <w:szCs w:val="22"/>
              </w:rPr>
              <w:t>元</w:t>
            </w:r>
            <w:r>
              <w:rPr>
                <w:rFonts w:ascii="Times New Roman" w:eastAsia="標楷體" w:hAnsi="Times New Roman"/>
                <w:bCs/>
                <w:color w:val="FF0000"/>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color w:val="FF0000"/>
                <w:sz w:val="22"/>
                <w:szCs w:val="22"/>
              </w:rPr>
            </w:pPr>
            <w:r>
              <w:rPr>
                <w:rFonts w:ascii="Times New Roman" w:eastAsia="標楷體" w:hAnsi="Times New Roman"/>
                <w:bCs/>
                <w:color w:val="FF0000"/>
                <w:sz w:val="22"/>
                <w:szCs w:val="22"/>
              </w:rPr>
              <w:t>交易總面積</w:t>
            </w:r>
            <w:r>
              <w:rPr>
                <w:rFonts w:ascii="Times New Roman" w:eastAsia="標楷體" w:hAnsi="Times New Roman"/>
                <w:bCs/>
                <w:color w:val="FF0000"/>
                <w:sz w:val="22"/>
                <w:szCs w:val="22"/>
              </w:rPr>
              <w:t>(</w:t>
            </w:r>
            <w:r>
              <w:rPr>
                <w:rFonts w:ascii="Times New Roman" w:eastAsia="標楷體" w:hAnsi="Times New Roman"/>
                <w:bCs/>
                <w:color w:val="FF0000"/>
                <w:sz w:val="22"/>
                <w:szCs w:val="22"/>
              </w:rPr>
              <w:t>坪</w:t>
            </w:r>
            <w:r>
              <w:rPr>
                <w:rFonts w:ascii="Times New Roman" w:eastAsia="標楷體" w:hAnsi="Times New Roman"/>
                <w:bCs/>
                <w:color w:val="FF0000"/>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color w:val="FF0000"/>
                <w:sz w:val="22"/>
                <w:szCs w:val="22"/>
              </w:rPr>
            </w:pPr>
            <w:r>
              <w:rPr>
                <w:rFonts w:ascii="Times New Roman" w:eastAsia="標楷體" w:hAnsi="Times New Roman"/>
                <w:bCs/>
                <w:color w:val="FF0000"/>
                <w:sz w:val="22"/>
                <w:szCs w:val="22"/>
              </w:rPr>
              <w:t>建物面積</w:t>
            </w:r>
            <w:r>
              <w:rPr>
                <w:rFonts w:ascii="Times New Roman" w:eastAsia="標楷體" w:hAnsi="Times New Roman"/>
                <w:bCs/>
                <w:color w:val="FF0000"/>
                <w:sz w:val="22"/>
                <w:szCs w:val="22"/>
              </w:rPr>
              <w:t>(</w:t>
            </w:r>
            <w:r>
              <w:rPr>
                <w:rFonts w:ascii="Times New Roman" w:eastAsia="標楷體" w:hAnsi="Times New Roman"/>
                <w:bCs/>
                <w:color w:val="FF0000"/>
                <w:sz w:val="22"/>
                <w:szCs w:val="22"/>
              </w:rPr>
              <w:t>坪</w:t>
            </w:r>
            <w:r>
              <w:rPr>
                <w:rFonts w:ascii="Times New Roman" w:eastAsia="標楷體" w:hAnsi="Times New Roman"/>
                <w:bCs/>
                <w:color w:val="FF0000"/>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color w:val="FF0000"/>
                <w:sz w:val="22"/>
                <w:szCs w:val="22"/>
              </w:rPr>
            </w:pPr>
            <w:r>
              <w:rPr>
                <w:rFonts w:ascii="Times New Roman" w:eastAsia="標楷體" w:hAnsi="Times New Roman"/>
                <w:bCs/>
                <w:color w:val="FF0000"/>
                <w:sz w:val="22"/>
                <w:szCs w:val="22"/>
              </w:rPr>
              <w:t>車位面積</w:t>
            </w:r>
            <w:r>
              <w:rPr>
                <w:rFonts w:ascii="Times New Roman" w:eastAsia="標楷體" w:hAnsi="Times New Roman"/>
                <w:bCs/>
                <w:color w:val="FF0000"/>
                <w:sz w:val="22"/>
                <w:szCs w:val="22"/>
              </w:rPr>
              <w:t>(</w:t>
            </w:r>
            <w:r>
              <w:rPr>
                <w:rFonts w:ascii="Times New Roman" w:eastAsia="標楷體" w:hAnsi="Times New Roman"/>
                <w:bCs/>
                <w:color w:val="FF0000"/>
                <w:sz w:val="22"/>
                <w:szCs w:val="22"/>
              </w:rPr>
              <w:t>坪</w:t>
            </w:r>
            <w:r>
              <w:rPr>
                <w:rFonts w:ascii="Times New Roman" w:eastAsia="標楷體" w:hAnsi="Times New Roman"/>
                <w:bCs/>
                <w:color w:val="FF0000"/>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color w:val="FF0000"/>
                <w:sz w:val="22"/>
                <w:szCs w:val="22"/>
              </w:rPr>
            </w:pPr>
            <w:r>
              <w:rPr>
                <w:rFonts w:ascii="Times New Roman" w:eastAsia="標楷體" w:hAnsi="Times New Roman"/>
                <w:bCs/>
                <w:color w:val="FF0000"/>
                <w:sz w:val="22"/>
                <w:szCs w:val="22"/>
              </w:rPr>
              <w:t>其他面積</w:t>
            </w:r>
            <w:r>
              <w:rPr>
                <w:rFonts w:ascii="Times New Roman" w:eastAsia="標楷體" w:hAnsi="Times New Roman"/>
                <w:bCs/>
                <w:color w:val="FF0000"/>
                <w:sz w:val="22"/>
                <w:szCs w:val="22"/>
              </w:rPr>
              <w:t>(</w:t>
            </w:r>
            <w:r>
              <w:rPr>
                <w:rFonts w:ascii="Times New Roman" w:eastAsia="標楷體" w:hAnsi="Times New Roman"/>
                <w:bCs/>
                <w:color w:val="FF0000"/>
                <w:sz w:val="22"/>
                <w:szCs w:val="22"/>
              </w:rPr>
              <w:t>坪</w:t>
            </w:r>
            <w:r>
              <w:rPr>
                <w:rFonts w:ascii="Times New Roman" w:eastAsia="標楷體" w:hAnsi="Times New Roman"/>
                <w:bCs/>
                <w:color w:val="FF0000"/>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color w:val="FF0000"/>
                <w:sz w:val="22"/>
                <w:szCs w:val="22"/>
              </w:rPr>
            </w:pPr>
            <w:r>
              <w:rPr>
                <w:rFonts w:ascii="Times New Roman" w:eastAsia="標楷體" w:hAnsi="Times New Roman"/>
                <w:bCs/>
                <w:color w:val="FF0000"/>
                <w:sz w:val="22"/>
                <w:szCs w:val="22"/>
              </w:rPr>
              <w:t>建物面積</w:t>
            </w:r>
            <w:r>
              <w:rPr>
                <w:rFonts w:ascii="Times New Roman" w:eastAsia="標楷體" w:hAnsi="Times New Roman"/>
                <w:bCs/>
                <w:color w:val="FF0000"/>
                <w:sz w:val="22"/>
                <w:szCs w:val="22"/>
              </w:rPr>
              <w:t>(</w:t>
            </w:r>
            <w:r>
              <w:rPr>
                <w:rFonts w:ascii="Times New Roman" w:eastAsia="標楷體" w:hAnsi="Times New Roman"/>
                <w:bCs/>
                <w:color w:val="FF0000"/>
                <w:sz w:val="22"/>
                <w:szCs w:val="22"/>
              </w:rPr>
              <w:t>坪</w:t>
            </w:r>
            <w:r>
              <w:rPr>
                <w:rFonts w:ascii="Times New Roman" w:eastAsia="標楷體" w:hAnsi="Times New Roman"/>
                <w:bCs/>
                <w:color w:val="FF0000"/>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color w:val="FF0000"/>
                <w:sz w:val="22"/>
                <w:szCs w:val="22"/>
              </w:rPr>
            </w:pPr>
            <w:r>
              <w:rPr>
                <w:rFonts w:ascii="Times New Roman" w:eastAsia="標楷體" w:hAnsi="Times New Roman"/>
                <w:bCs/>
                <w:color w:val="FF0000"/>
                <w:sz w:val="22"/>
                <w:szCs w:val="22"/>
              </w:rPr>
              <w:t>交易單價</w:t>
            </w:r>
            <w:r>
              <w:rPr>
                <w:rFonts w:ascii="Times New Roman" w:eastAsia="標楷體" w:hAnsi="Times New Roman"/>
                <w:bCs/>
                <w:color w:val="FF0000"/>
                <w:sz w:val="22"/>
                <w:szCs w:val="22"/>
              </w:rPr>
              <w:t>(</w:t>
            </w:r>
            <w:r>
              <w:rPr>
                <w:rFonts w:ascii="Times New Roman" w:eastAsia="標楷體" w:hAnsi="Times New Roman"/>
                <w:bCs/>
                <w:color w:val="FF0000"/>
                <w:sz w:val="22"/>
                <w:szCs w:val="22"/>
              </w:rPr>
              <w:t>元</w:t>
            </w:r>
            <w:r>
              <w:rPr>
                <w:rFonts w:ascii="Times New Roman" w:eastAsia="標楷體" w:hAnsi="Times New Roman"/>
                <w:bCs/>
                <w:color w:val="FF0000"/>
                <w:sz w:val="22"/>
                <w:szCs w:val="22"/>
              </w:rPr>
              <w:t>/</w:t>
            </w:r>
            <w:r>
              <w:rPr>
                <w:rFonts w:ascii="Times New Roman" w:eastAsia="標楷體" w:hAnsi="Times New Roman"/>
                <w:bCs/>
                <w:color w:val="FF0000"/>
                <w:sz w:val="22"/>
                <w:szCs w:val="22"/>
              </w:rPr>
              <w:t>坪</w:t>
            </w:r>
            <w:r>
              <w:rPr>
                <w:rFonts w:ascii="Times New Roman" w:eastAsia="標楷體" w:hAnsi="Times New Roman"/>
                <w:bCs/>
                <w:color w:val="FF0000"/>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勘察日期</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價格日期</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使用分區</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建築總樓層</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比較標的樓層</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屋齡</w:t>
            </w:r>
            <w:r>
              <w:rPr>
                <w:rFonts w:ascii="Times New Roman" w:eastAsia="標楷體" w:hAnsi="Times New Roman"/>
                <w:bCs/>
                <w:sz w:val="22"/>
                <w:szCs w:val="22"/>
              </w:rPr>
              <w:t>(</w:t>
            </w:r>
            <w:r>
              <w:rPr>
                <w:rFonts w:ascii="Times New Roman" w:eastAsia="標楷體" w:hAnsi="Times New Roman"/>
                <w:bCs/>
                <w:sz w:val="22"/>
                <w:szCs w:val="22"/>
              </w:rPr>
              <w:t>年</w:t>
            </w:r>
            <w:r>
              <w:rPr>
                <w:rFonts w:ascii="Times New Roman" w:eastAsia="標楷體" w:hAnsi="Times New Roman"/>
                <w:bCs/>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建築結構</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公設比</w:t>
            </w:r>
            <w:r>
              <w:rPr>
                <w:rFonts w:ascii="Times New Roman" w:eastAsia="標楷體" w:hAnsi="Times New Roman"/>
                <w:bCs/>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proofErr w:type="gramStart"/>
            <w:r>
              <w:rPr>
                <w:rFonts w:ascii="Times New Roman" w:eastAsia="標楷體" w:hAnsi="Times New Roman"/>
                <w:bCs/>
                <w:sz w:val="22"/>
                <w:szCs w:val="22"/>
              </w:rPr>
              <w:t>雨遮或騎樓</w:t>
            </w:r>
            <w:proofErr w:type="gramEnd"/>
            <w:r>
              <w:rPr>
                <w:rFonts w:ascii="Times New Roman" w:eastAsia="標楷體" w:hAnsi="Times New Roman"/>
                <w:bCs/>
                <w:sz w:val="22"/>
                <w:szCs w:val="22"/>
              </w:rPr>
              <w:t>比</w:t>
            </w:r>
            <w:r>
              <w:rPr>
                <w:rFonts w:ascii="Times New Roman" w:eastAsia="標楷體" w:hAnsi="Times New Roman"/>
                <w:bCs/>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proofErr w:type="gramStart"/>
            <w:r>
              <w:rPr>
                <w:rFonts w:ascii="Times New Roman" w:eastAsia="標楷體" w:hAnsi="Times New Roman"/>
                <w:bCs/>
                <w:sz w:val="22"/>
                <w:szCs w:val="22"/>
              </w:rPr>
              <w:t>臨路寬度</w:t>
            </w:r>
            <w:proofErr w:type="gramEnd"/>
            <w:r>
              <w:rPr>
                <w:rFonts w:ascii="Times New Roman" w:eastAsia="標楷體" w:hAnsi="Times New Roman"/>
                <w:bCs/>
                <w:sz w:val="22"/>
                <w:szCs w:val="22"/>
              </w:rPr>
              <w:t>(M)</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道路種別</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shd w:val="clear" w:color="auto" w:fill="00FF00"/>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shd w:val="clear" w:color="auto" w:fill="00FF00"/>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shd w:val="clear" w:color="auto" w:fill="00FF00"/>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shd w:val="clear" w:color="auto" w:fill="00FF00"/>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交通條件</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公共設施</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整體條件</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議價空間</w:t>
            </w:r>
            <w:r>
              <w:rPr>
                <w:rFonts w:ascii="Times New Roman" w:eastAsia="標楷體" w:hAnsi="Times New Roman"/>
                <w:bCs/>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預估可能成交價格</w:t>
            </w:r>
            <w:r>
              <w:rPr>
                <w:rFonts w:ascii="Times New Roman" w:eastAsia="標楷體" w:hAnsi="Times New Roman"/>
                <w:bCs/>
                <w:sz w:val="22"/>
                <w:szCs w:val="22"/>
              </w:rPr>
              <w:t>(</w:t>
            </w:r>
            <w:r>
              <w:rPr>
                <w:rFonts w:ascii="Times New Roman" w:eastAsia="標楷體" w:hAnsi="Times New Roman"/>
                <w:bCs/>
                <w:sz w:val="22"/>
                <w:szCs w:val="22"/>
              </w:rPr>
              <w:t>元</w:t>
            </w:r>
            <w:r>
              <w:rPr>
                <w:rFonts w:ascii="Times New Roman" w:eastAsia="標楷體" w:hAnsi="Times New Roman"/>
                <w:bCs/>
                <w:sz w:val="22"/>
                <w:szCs w:val="22"/>
              </w:rPr>
              <w:t>/</w:t>
            </w:r>
            <w:r>
              <w:rPr>
                <w:rFonts w:ascii="Times New Roman" w:eastAsia="標楷體" w:hAnsi="Times New Roman"/>
                <w:bCs/>
                <w:sz w:val="22"/>
                <w:szCs w:val="22"/>
              </w:rPr>
              <w:t>坪</w:t>
            </w:r>
            <w:r>
              <w:rPr>
                <w:rFonts w:ascii="Times New Roman" w:eastAsia="標楷體" w:hAnsi="Times New Roman"/>
                <w:bCs/>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WZ0"/>
              <w:snapToGrid w:val="0"/>
              <w:spacing w:line="240" w:lineRule="auto"/>
              <w:jc w:val="both"/>
            </w:pPr>
            <w:r>
              <w:rPr>
                <w:rFonts w:ascii="Times New Roman" w:eastAsia="標楷體" w:hAnsi="Times New Roman"/>
                <w:bCs/>
                <w:sz w:val="22"/>
                <w:szCs w:val="22"/>
              </w:rPr>
              <w:t>資料來源</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809"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WZ0"/>
              <w:snapToGrid w:val="0"/>
              <w:spacing w:line="240" w:lineRule="auto"/>
              <w:jc w:val="both"/>
              <w:rPr>
                <w:rFonts w:ascii="Times New Roman" w:eastAsia="標楷體" w:hAnsi="Times New Roman"/>
                <w:bCs/>
                <w:sz w:val="22"/>
                <w:szCs w:val="22"/>
              </w:rPr>
            </w:pPr>
            <w:r>
              <w:rPr>
                <w:rFonts w:ascii="Times New Roman" w:eastAsia="標楷體" w:hAnsi="Times New Roman"/>
                <w:bCs/>
                <w:sz w:val="22"/>
                <w:szCs w:val="22"/>
              </w:rPr>
              <w:t>備註</w:t>
            </w:r>
          </w:p>
        </w:tc>
        <w:tc>
          <w:tcPr>
            <w:tcW w:w="1638"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bl>
    <w:p w:rsidR="0018444C" w:rsidRDefault="00980E38">
      <w:pPr>
        <w:pStyle w:val="affff"/>
        <w:ind w:left="1644" w:hanging="226"/>
        <w:rPr>
          <w:rFonts w:ascii="Times New Roman" w:hAnsi="Times New Roman"/>
          <w:szCs w:val="24"/>
        </w:rPr>
      </w:pPr>
      <w:r>
        <w:rPr>
          <w:rFonts w:ascii="Times New Roman" w:hAnsi="Times New Roman"/>
          <w:szCs w:val="24"/>
        </w:rPr>
        <w:t>《注意須知》：</w:t>
      </w:r>
    </w:p>
    <w:p w:rsidR="0018444C" w:rsidRDefault="00980E38">
      <w:pPr>
        <w:pStyle w:val="affff"/>
        <w:numPr>
          <w:ilvl w:val="3"/>
          <w:numId w:val="42"/>
        </w:numPr>
      </w:pPr>
      <w:r>
        <w:rPr>
          <w:rFonts w:ascii="Times New Roman" w:hAnsi="Times New Roman"/>
          <w:szCs w:val="24"/>
        </w:rPr>
        <w:t>上表填載項目可視實際需要增加調整</w:t>
      </w:r>
      <w:r>
        <w:rPr>
          <w:rFonts w:ascii="Times New Roman" w:hAnsi="Times New Roman"/>
          <w:bCs/>
          <w:szCs w:val="24"/>
        </w:rPr>
        <w:t>，無特殊原因必須刪除者皆應填載。</w:t>
      </w:r>
    </w:p>
    <w:p w:rsidR="0018444C" w:rsidRDefault="00980E38">
      <w:pPr>
        <w:pStyle w:val="affff"/>
        <w:numPr>
          <w:ilvl w:val="3"/>
          <w:numId w:val="42"/>
        </w:numPr>
        <w:rPr>
          <w:rFonts w:ascii="Times New Roman" w:hAnsi="Times New Roman"/>
          <w:szCs w:val="24"/>
        </w:rPr>
      </w:pPr>
      <w:r>
        <w:rPr>
          <w:rFonts w:ascii="Times New Roman" w:hAnsi="Times New Roman"/>
          <w:szCs w:val="24"/>
        </w:rPr>
        <w:t>其他價格乃其他面積請於備註說明，如夾層、</w:t>
      </w:r>
      <w:r>
        <w:rPr>
          <w:rFonts w:ascii="Times New Roman" w:hAnsi="Times New Roman"/>
          <w:szCs w:val="24"/>
        </w:rPr>
        <w:t>2</w:t>
      </w:r>
      <w:r>
        <w:rPr>
          <w:rFonts w:ascii="Times New Roman" w:hAnsi="Times New Roman"/>
          <w:szCs w:val="24"/>
        </w:rPr>
        <w:t>樓、地下室</w:t>
      </w:r>
      <w:proofErr w:type="gramStart"/>
      <w:r>
        <w:rPr>
          <w:rFonts w:ascii="Times New Roman" w:hAnsi="Times New Roman"/>
          <w:szCs w:val="24"/>
        </w:rPr>
        <w:t>拆算</w:t>
      </w:r>
      <w:proofErr w:type="gramEnd"/>
      <w:r>
        <w:rPr>
          <w:rFonts w:ascii="Times New Roman" w:hAnsi="Times New Roman"/>
          <w:szCs w:val="24"/>
        </w:rPr>
        <w:t>或其他，並說明</w:t>
      </w:r>
      <w:proofErr w:type="gramStart"/>
      <w:r>
        <w:rPr>
          <w:rFonts w:ascii="Times New Roman" w:hAnsi="Times New Roman"/>
          <w:szCs w:val="24"/>
        </w:rPr>
        <w:t>拆算</w:t>
      </w:r>
      <w:proofErr w:type="gramEnd"/>
      <w:r>
        <w:rPr>
          <w:rFonts w:ascii="Times New Roman" w:hAnsi="Times New Roman"/>
          <w:szCs w:val="24"/>
        </w:rPr>
        <w:t>依據及方式。</w:t>
      </w:r>
    </w:p>
    <w:p w:rsidR="0018444C" w:rsidRDefault="00980E38">
      <w:pPr>
        <w:pStyle w:val="affff"/>
        <w:numPr>
          <w:ilvl w:val="3"/>
          <w:numId w:val="42"/>
        </w:numPr>
        <w:rPr>
          <w:rFonts w:ascii="Times New Roman" w:hAnsi="Times New Roman"/>
          <w:szCs w:val="24"/>
        </w:rPr>
      </w:pPr>
      <w:r>
        <w:rPr>
          <w:rFonts w:ascii="Times New Roman" w:hAnsi="Times New Roman"/>
          <w:szCs w:val="24"/>
        </w:rPr>
        <w:t>比較案例之選擇，應以區域因素及個別因素相近者優先選取為原則，其次為期日因素相近者。價格日期調整應敘明調整之理由及依據。</w:t>
      </w:r>
    </w:p>
    <w:p w:rsidR="0018444C" w:rsidRDefault="00980E38">
      <w:pPr>
        <w:pStyle w:val="affff"/>
        <w:numPr>
          <w:ilvl w:val="3"/>
          <w:numId w:val="42"/>
        </w:numPr>
        <w:rPr>
          <w:rFonts w:ascii="Times New Roman" w:hAnsi="Times New Roman"/>
          <w:szCs w:val="24"/>
        </w:rPr>
      </w:pPr>
      <w:r>
        <w:rPr>
          <w:rFonts w:ascii="Times New Roman" w:hAnsi="Times New Roman"/>
          <w:szCs w:val="24"/>
        </w:rPr>
        <w:t>比較案例之資料來源應敘明於條件分析表。</w:t>
      </w:r>
    </w:p>
    <w:p w:rsidR="0018444C" w:rsidRDefault="00980E38">
      <w:pPr>
        <w:pStyle w:val="affff"/>
        <w:numPr>
          <w:ilvl w:val="3"/>
          <w:numId w:val="42"/>
        </w:numPr>
        <w:rPr>
          <w:rFonts w:ascii="Times New Roman" w:hAnsi="Times New Roman"/>
          <w:szCs w:val="24"/>
        </w:rPr>
      </w:pPr>
      <w:r>
        <w:rPr>
          <w:rFonts w:ascii="Times New Roman" w:hAnsi="Times New Roman"/>
          <w:szCs w:val="24"/>
        </w:rPr>
        <w:t>比較案例不得為工業住宅或其他違規使用之案例。</w:t>
      </w:r>
      <w:r>
        <w:rPr>
          <w:rFonts w:ascii="Times New Roman" w:hAnsi="Times New Roman"/>
          <w:szCs w:val="24"/>
        </w:rPr>
        <w:t xml:space="preserve"> </w:t>
      </w:r>
    </w:p>
    <w:p w:rsidR="0018444C" w:rsidRDefault="00980E38">
      <w:pPr>
        <w:pStyle w:val="CCISa"/>
        <w:pageBreakBefore/>
        <w:numPr>
          <w:ilvl w:val="0"/>
          <w:numId w:val="41"/>
        </w:numPr>
        <w:tabs>
          <w:tab w:val="left" w:pos="1997"/>
        </w:tabs>
        <w:spacing w:line="400" w:lineRule="exact"/>
        <w:ind w:left="2410"/>
      </w:pPr>
      <w:proofErr w:type="gramStart"/>
      <w:r>
        <w:rPr>
          <w:rFonts w:ascii="Times New Roman" w:eastAsia="標楷體" w:hAnsi="Times New Roman"/>
          <w:sz w:val="28"/>
          <w:szCs w:val="24"/>
        </w:rPr>
        <w:lastRenderedPageBreak/>
        <w:t>勘</w:t>
      </w:r>
      <w:proofErr w:type="gramEnd"/>
      <w:r>
        <w:rPr>
          <w:rFonts w:ascii="Times New Roman" w:eastAsia="標楷體" w:hAnsi="Times New Roman"/>
          <w:sz w:val="28"/>
          <w:szCs w:val="24"/>
        </w:rPr>
        <w:t>估建物</w:t>
      </w:r>
      <w:r>
        <w:rPr>
          <w:rFonts w:ascii="Times New Roman" w:eastAsia="標楷體" w:hAnsi="Times New Roman"/>
          <w:sz w:val="28"/>
          <w:szCs w:val="24"/>
        </w:rPr>
        <w:t>(</w:t>
      </w:r>
      <w:r>
        <w:rPr>
          <w:rFonts w:ascii="Times New Roman" w:eastAsia="標楷體" w:hAnsi="Times New Roman"/>
          <w:sz w:val="28"/>
          <w:szCs w:val="24"/>
        </w:rPr>
        <w:t>比</w:t>
      </w:r>
      <w:proofErr w:type="gramStart"/>
      <w:r>
        <w:rPr>
          <w:rFonts w:ascii="Times New Roman" w:eastAsia="標楷體" w:hAnsi="Times New Roman"/>
          <w:sz w:val="28"/>
          <w:szCs w:val="24"/>
        </w:rPr>
        <w:t>準</w:t>
      </w:r>
      <w:proofErr w:type="gramEnd"/>
      <w:r>
        <w:rPr>
          <w:rFonts w:ascii="Times New Roman" w:eastAsia="標楷體" w:hAnsi="Times New Roman"/>
          <w:sz w:val="28"/>
          <w:szCs w:val="24"/>
        </w:rPr>
        <w:t>單元</w:t>
      </w:r>
      <w:r>
        <w:rPr>
          <w:rFonts w:ascii="Times New Roman" w:eastAsia="標楷體" w:hAnsi="Times New Roman"/>
          <w:sz w:val="28"/>
          <w:szCs w:val="24"/>
        </w:rPr>
        <w:t>)</w:t>
      </w:r>
      <w:r>
        <w:rPr>
          <w:rFonts w:ascii="Times New Roman" w:eastAsia="標楷體" w:hAnsi="Times New Roman"/>
          <w:sz w:val="28"/>
          <w:szCs w:val="24"/>
        </w:rPr>
        <w:t>與比較標的區域因素比較調整分析表</w:t>
      </w:r>
    </w:p>
    <w:tbl>
      <w:tblPr>
        <w:tblW w:w="9939" w:type="dxa"/>
        <w:jc w:val="center"/>
        <w:tblCellMar>
          <w:left w:w="10" w:type="dxa"/>
          <w:right w:w="10" w:type="dxa"/>
        </w:tblCellMar>
        <w:tblLook w:val="0000" w:firstRow="0" w:lastRow="0" w:firstColumn="0" w:lastColumn="0" w:noHBand="0" w:noVBand="0"/>
      </w:tblPr>
      <w:tblGrid>
        <w:gridCol w:w="661"/>
        <w:gridCol w:w="2488"/>
        <w:gridCol w:w="1262"/>
        <w:gridCol w:w="1134"/>
        <w:gridCol w:w="709"/>
        <w:gridCol w:w="1134"/>
        <w:gridCol w:w="708"/>
        <w:gridCol w:w="1134"/>
        <w:gridCol w:w="709"/>
      </w:tblGrid>
      <w:tr w:rsidR="0018444C">
        <w:trPr>
          <w:cantSplit/>
          <w:trHeight w:val="452"/>
          <w:jc w:val="center"/>
        </w:trPr>
        <w:tc>
          <w:tcPr>
            <w:tcW w:w="661"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主要項目</w:t>
            </w:r>
          </w:p>
        </w:tc>
        <w:tc>
          <w:tcPr>
            <w:tcW w:w="248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次要項目</w:t>
            </w:r>
          </w:p>
        </w:tc>
        <w:tc>
          <w:tcPr>
            <w:tcW w:w="126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proofErr w:type="gramStart"/>
            <w:r>
              <w:rPr>
                <w:rFonts w:ascii="Times New Roman" w:eastAsia="標楷體" w:hAnsi="Times New Roman"/>
                <w:sz w:val="22"/>
              </w:rPr>
              <w:t>勘</w:t>
            </w:r>
            <w:proofErr w:type="gramEnd"/>
            <w:r>
              <w:rPr>
                <w:rFonts w:ascii="Times New Roman" w:eastAsia="標楷體" w:hAnsi="Times New Roman"/>
                <w:sz w:val="22"/>
              </w:rPr>
              <w:t>估建物</w:t>
            </w:r>
          </w:p>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比</w:t>
            </w:r>
            <w:proofErr w:type="gramStart"/>
            <w:r>
              <w:rPr>
                <w:rFonts w:ascii="Times New Roman" w:eastAsia="標楷體" w:hAnsi="Times New Roman"/>
                <w:sz w:val="22"/>
              </w:rPr>
              <w:t>準</w:t>
            </w:r>
            <w:proofErr w:type="gramEnd"/>
            <w:r>
              <w:rPr>
                <w:rFonts w:ascii="Times New Roman" w:eastAsia="標楷體" w:hAnsi="Times New Roman"/>
                <w:sz w:val="22"/>
              </w:rPr>
              <w:t>單元</w:t>
            </w:r>
            <w:r>
              <w:rPr>
                <w:rFonts w:ascii="Times New Roman" w:eastAsia="標楷體" w:hAnsi="Times New Roman"/>
                <w:sz w:val="22"/>
              </w:rPr>
              <w:t>)</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w:t>
            </w:r>
            <w:proofErr w:type="gramStart"/>
            <w:r>
              <w:rPr>
                <w:rFonts w:ascii="Times New Roman" w:eastAsia="標楷體" w:hAnsi="Times New Roman"/>
                <w:sz w:val="22"/>
              </w:rPr>
              <w:t>一</w:t>
            </w:r>
            <w:proofErr w:type="gramEnd"/>
          </w:p>
        </w:tc>
        <w:tc>
          <w:tcPr>
            <w:tcW w:w="70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比較標的二</w:t>
            </w:r>
          </w:p>
        </w:tc>
        <w:tc>
          <w:tcPr>
            <w:tcW w:w="70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比較標的三</w:t>
            </w:r>
          </w:p>
        </w:tc>
        <w:tc>
          <w:tcPr>
            <w:tcW w:w="709"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r>
      <w:tr w:rsidR="0018444C">
        <w:trPr>
          <w:cantSplit/>
          <w:trHeight w:val="289"/>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道路條件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pPr>
            <w:r>
              <w:rPr>
                <w:rFonts w:ascii="Times New Roman" w:eastAsia="標楷體" w:hAnsi="Times New Roman"/>
                <w:sz w:val="22"/>
              </w:rPr>
              <w:t>區域主要道路寬度</w:t>
            </w:r>
            <w:r>
              <w:rPr>
                <w:rFonts w:ascii="Times New Roman" w:eastAsia="標楷體" w:hAnsi="Times New Roman"/>
                <w:bCs/>
                <w:sz w:val="22"/>
              </w:rPr>
              <w:t>(M)</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道路系統及連續性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人車動線規畫及道路配置</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交通運輸條件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客運、公車便利性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鐵路運輸便利性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國道或快速道路便利性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65"/>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停車便利性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環境條件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商業活動強度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ind w:left="113" w:right="113"/>
              <w:jc w:val="cente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土地利用成熟度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古蹟、觀光遊憩設施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服務性設施</w:t>
            </w:r>
            <w:r>
              <w:rPr>
                <w:rFonts w:ascii="Times New Roman" w:eastAsia="標楷體" w:hAnsi="Times New Roman"/>
                <w:sz w:val="22"/>
              </w:rPr>
              <w:t>(</w:t>
            </w:r>
            <w:r>
              <w:rPr>
                <w:rFonts w:ascii="Times New Roman" w:eastAsia="標楷體" w:hAnsi="Times New Roman"/>
                <w:sz w:val="22"/>
              </w:rPr>
              <w:t>郵局</w:t>
            </w:r>
            <w:r>
              <w:rPr>
                <w:rFonts w:ascii="Times New Roman" w:eastAsia="標楷體" w:hAnsi="Times New Roman"/>
                <w:sz w:val="22"/>
              </w:rPr>
              <w:t>.</w:t>
            </w:r>
            <w:r>
              <w:rPr>
                <w:rFonts w:ascii="Times New Roman" w:eastAsia="標楷體" w:hAnsi="Times New Roman"/>
                <w:sz w:val="22"/>
              </w:rPr>
              <w:t>銀行</w:t>
            </w:r>
            <w:r>
              <w:rPr>
                <w:rFonts w:ascii="Times New Roman" w:eastAsia="標楷體" w:hAnsi="Times New Roman"/>
                <w:sz w:val="22"/>
              </w:rPr>
              <w:t>.</w:t>
            </w:r>
            <w:r>
              <w:rPr>
                <w:rFonts w:ascii="Times New Roman" w:eastAsia="標楷體" w:hAnsi="Times New Roman"/>
                <w:sz w:val="22"/>
              </w:rPr>
              <w:t>醫院</w:t>
            </w:r>
            <w:r>
              <w:rPr>
                <w:rFonts w:ascii="Times New Roman" w:eastAsia="標楷體" w:hAnsi="Times New Roman"/>
                <w:sz w:val="22"/>
              </w:rPr>
              <w:t>.</w:t>
            </w:r>
            <w:r>
              <w:rPr>
                <w:rFonts w:ascii="Times New Roman" w:eastAsia="標楷體" w:hAnsi="Times New Roman"/>
                <w:sz w:val="22"/>
              </w:rPr>
              <w:t>機關等設施</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學校</w:t>
            </w:r>
            <w:r>
              <w:rPr>
                <w:rFonts w:ascii="Times New Roman" w:eastAsia="標楷體" w:hAnsi="Times New Roman"/>
                <w:sz w:val="22"/>
              </w:rPr>
              <w:t>(</w:t>
            </w:r>
            <w:r>
              <w:rPr>
                <w:rFonts w:ascii="Times New Roman" w:eastAsia="標楷體" w:hAnsi="Times New Roman"/>
                <w:sz w:val="22"/>
              </w:rPr>
              <w:t>國小、國中、高中、大專院校</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w:t>
            </w:r>
            <w:r>
              <w:rPr>
                <w:rFonts w:ascii="Times New Roman" w:eastAsia="標楷體" w:hAnsi="Times New Roman"/>
                <w:sz w:val="22"/>
              </w:rPr>
              <w:t>(</w:t>
            </w:r>
            <w:r>
              <w:rPr>
                <w:rFonts w:ascii="Times New Roman" w:eastAsia="標楷體" w:hAnsi="Times New Roman"/>
                <w:sz w:val="22"/>
              </w:rPr>
              <w:t>傳統市場、超級市場、超大型購物中心</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廣場、公園、綠地</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嫌惡設施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排水之良否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自然條件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地勢坡度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災害影響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使用分區</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rPr>
            </w:pPr>
            <w:r>
              <w:rPr>
                <w:rFonts w:ascii="Times New Roman" w:eastAsia="標楷體" w:hAnsi="Times New Roman"/>
              </w:rPr>
              <w:t>行政條件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建築或用途管制</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其他</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市場供需情況</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其他</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重大建設影響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未來發展趨勢</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3149"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26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bl>
    <w:p w:rsidR="0018444C" w:rsidRDefault="00980E38">
      <w:pPr>
        <w:pStyle w:val="affff"/>
        <w:ind w:left="1644" w:firstLine="240"/>
        <w:rPr>
          <w:rFonts w:ascii="Times New Roman" w:hAnsi="Times New Roman"/>
          <w:szCs w:val="24"/>
        </w:rPr>
      </w:pPr>
      <w:r>
        <w:rPr>
          <w:rFonts w:ascii="Times New Roman" w:hAnsi="Times New Roman"/>
          <w:szCs w:val="24"/>
        </w:rPr>
        <w:t>《注意須知》</w:t>
      </w:r>
    </w:p>
    <w:p w:rsidR="0018444C" w:rsidRDefault="00980E38">
      <w:pPr>
        <w:pStyle w:val="DefaultText"/>
        <w:numPr>
          <w:ilvl w:val="0"/>
          <w:numId w:val="39"/>
        </w:numPr>
        <w:spacing w:before="40" w:after="40" w:line="440" w:lineRule="exact"/>
        <w:jc w:val="both"/>
        <w:rPr>
          <w:rFonts w:ascii="Times New Roman" w:eastAsia="標楷體" w:hAnsi="Times New Roman"/>
          <w:bCs/>
          <w:sz w:val="24"/>
          <w:szCs w:val="24"/>
        </w:rPr>
      </w:pPr>
      <w:r>
        <w:rPr>
          <w:rFonts w:ascii="Times New Roman" w:eastAsia="標楷體" w:hAnsi="Times New Roman"/>
          <w:bCs/>
          <w:sz w:val="24"/>
          <w:szCs w:val="24"/>
        </w:rPr>
        <w:t>比較標的在近鄰地區以外者，應檢討區域因素修正，而近鄰地區範圍由</w:t>
      </w:r>
      <w:proofErr w:type="gramStart"/>
      <w:r>
        <w:rPr>
          <w:rFonts w:ascii="Times New Roman" w:eastAsia="標楷體" w:hAnsi="Times New Roman"/>
          <w:bCs/>
          <w:sz w:val="24"/>
          <w:szCs w:val="24"/>
        </w:rPr>
        <w:t>估價師視該</w:t>
      </w:r>
      <w:proofErr w:type="gramEnd"/>
      <w:r>
        <w:rPr>
          <w:rFonts w:ascii="Times New Roman" w:eastAsia="標楷體" w:hAnsi="Times New Roman"/>
          <w:bCs/>
          <w:sz w:val="24"/>
          <w:szCs w:val="24"/>
        </w:rPr>
        <w:t>地區實際發展程度調整之。</w:t>
      </w:r>
    </w:p>
    <w:p w:rsidR="0018444C" w:rsidRDefault="00980E38">
      <w:pPr>
        <w:pStyle w:val="DefaultText"/>
        <w:numPr>
          <w:ilvl w:val="0"/>
          <w:numId w:val="39"/>
        </w:numPr>
        <w:spacing w:before="40" w:after="40" w:line="440" w:lineRule="exact"/>
        <w:jc w:val="both"/>
      </w:pPr>
      <w:r>
        <w:rPr>
          <w:rFonts w:ascii="Times New Roman" w:eastAsia="標楷體" w:hAnsi="Times New Roman"/>
          <w:bCs/>
          <w:sz w:val="24"/>
          <w:szCs w:val="24"/>
        </w:rPr>
        <w:t>上表填載項目可視實際需要調整，無特殊原因必須刪除者皆應填載。</w:t>
      </w:r>
    </w:p>
    <w:p w:rsidR="0018444C" w:rsidRDefault="00980E38">
      <w:pPr>
        <w:pStyle w:val="DefaultText"/>
        <w:numPr>
          <w:ilvl w:val="0"/>
          <w:numId w:val="39"/>
        </w:numPr>
        <w:spacing w:before="40" w:after="40" w:line="440" w:lineRule="exact"/>
        <w:jc w:val="both"/>
        <w:rPr>
          <w:rFonts w:ascii="Times New Roman" w:eastAsia="標楷體" w:hAnsi="Times New Roman"/>
          <w:bCs/>
          <w:sz w:val="24"/>
          <w:szCs w:val="24"/>
        </w:rPr>
      </w:pPr>
      <w:r>
        <w:rPr>
          <w:rFonts w:ascii="Times New Roman" w:eastAsia="標楷體" w:hAnsi="Times New Roman"/>
          <w:bCs/>
          <w:sz w:val="24"/>
          <w:szCs w:val="24"/>
        </w:rPr>
        <w:t>上表除區域主要道路寬度</w:t>
      </w:r>
      <w:r>
        <w:rPr>
          <w:rFonts w:ascii="Times New Roman" w:eastAsia="標楷體" w:hAnsi="Times New Roman"/>
          <w:bCs/>
          <w:sz w:val="24"/>
          <w:szCs w:val="24"/>
        </w:rPr>
        <w:t>(</w:t>
      </w:r>
      <w:proofErr w:type="gramStart"/>
      <w:r>
        <w:rPr>
          <w:rFonts w:ascii="Times New Roman" w:eastAsia="標楷體" w:hAnsi="Times New Roman"/>
          <w:bCs/>
          <w:sz w:val="24"/>
          <w:szCs w:val="24"/>
        </w:rPr>
        <w:t>Ｍ</w:t>
      </w:r>
      <w:proofErr w:type="gramEnd"/>
      <w:r>
        <w:rPr>
          <w:rFonts w:ascii="Times New Roman" w:eastAsia="標楷體" w:hAnsi="Times New Roman"/>
          <w:bCs/>
          <w:sz w:val="24"/>
          <w:szCs w:val="24"/>
        </w:rPr>
        <w:t>)</w:t>
      </w:r>
      <w:r>
        <w:rPr>
          <w:rFonts w:ascii="Times New Roman" w:eastAsia="標楷體" w:hAnsi="Times New Roman"/>
          <w:bCs/>
          <w:sz w:val="24"/>
          <w:szCs w:val="24"/>
        </w:rPr>
        <w:t>以量化方式呈現外，其餘得以優劣等級進行填載。</w:t>
      </w:r>
    </w:p>
    <w:p w:rsidR="0018444C" w:rsidRDefault="00980E38">
      <w:pPr>
        <w:pStyle w:val="CCISa"/>
        <w:pageBreakBefore/>
        <w:numPr>
          <w:ilvl w:val="0"/>
          <w:numId w:val="41"/>
        </w:numPr>
        <w:tabs>
          <w:tab w:val="left" w:pos="1997"/>
        </w:tabs>
        <w:spacing w:line="400" w:lineRule="exact"/>
        <w:ind w:left="2410"/>
      </w:pPr>
      <w:proofErr w:type="gramStart"/>
      <w:r>
        <w:rPr>
          <w:rFonts w:ascii="Times New Roman" w:eastAsia="標楷體" w:hAnsi="Times New Roman"/>
          <w:sz w:val="28"/>
          <w:szCs w:val="24"/>
        </w:rPr>
        <w:lastRenderedPageBreak/>
        <w:t>勘</w:t>
      </w:r>
      <w:proofErr w:type="gramEnd"/>
      <w:r>
        <w:rPr>
          <w:rFonts w:ascii="Times New Roman" w:eastAsia="標楷體" w:hAnsi="Times New Roman"/>
          <w:sz w:val="28"/>
          <w:szCs w:val="24"/>
        </w:rPr>
        <w:t>估建物</w:t>
      </w:r>
      <w:r>
        <w:rPr>
          <w:rFonts w:ascii="Times New Roman" w:eastAsia="標楷體" w:hAnsi="Times New Roman"/>
          <w:sz w:val="28"/>
          <w:szCs w:val="24"/>
        </w:rPr>
        <w:t>(</w:t>
      </w:r>
      <w:r>
        <w:rPr>
          <w:rFonts w:ascii="Times New Roman" w:eastAsia="標楷體" w:hAnsi="Times New Roman"/>
          <w:sz w:val="28"/>
          <w:szCs w:val="24"/>
        </w:rPr>
        <w:t>比</w:t>
      </w:r>
      <w:proofErr w:type="gramStart"/>
      <w:r>
        <w:rPr>
          <w:rFonts w:ascii="Times New Roman" w:eastAsia="標楷體" w:hAnsi="Times New Roman"/>
          <w:sz w:val="28"/>
          <w:szCs w:val="24"/>
        </w:rPr>
        <w:t>準</w:t>
      </w:r>
      <w:proofErr w:type="gramEnd"/>
      <w:r>
        <w:rPr>
          <w:rFonts w:ascii="Times New Roman" w:eastAsia="標楷體" w:hAnsi="Times New Roman"/>
          <w:sz w:val="28"/>
          <w:szCs w:val="24"/>
        </w:rPr>
        <w:t>單元</w:t>
      </w:r>
      <w:r>
        <w:rPr>
          <w:rFonts w:ascii="Times New Roman" w:eastAsia="標楷體" w:hAnsi="Times New Roman"/>
          <w:sz w:val="28"/>
          <w:szCs w:val="24"/>
        </w:rPr>
        <w:t>)</w:t>
      </w:r>
      <w:r>
        <w:rPr>
          <w:rFonts w:ascii="Times New Roman" w:eastAsia="標楷體" w:hAnsi="Times New Roman"/>
          <w:sz w:val="28"/>
          <w:szCs w:val="24"/>
        </w:rPr>
        <w:t>與比較標的個別因素比較調整分析表</w:t>
      </w:r>
    </w:p>
    <w:tbl>
      <w:tblPr>
        <w:tblW w:w="9731" w:type="dxa"/>
        <w:jc w:val="center"/>
        <w:tblCellMar>
          <w:left w:w="10" w:type="dxa"/>
          <w:right w:w="10" w:type="dxa"/>
        </w:tblCellMar>
        <w:tblLook w:val="0000" w:firstRow="0" w:lastRow="0" w:firstColumn="0" w:lastColumn="0" w:noHBand="0" w:noVBand="0"/>
      </w:tblPr>
      <w:tblGrid>
        <w:gridCol w:w="544"/>
        <w:gridCol w:w="2820"/>
        <w:gridCol w:w="992"/>
        <w:gridCol w:w="981"/>
        <w:gridCol w:w="709"/>
        <w:gridCol w:w="1134"/>
        <w:gridCol w:w="708"/>
        <w:gridCol w:w="1134"/>
        <w:gridCol w:w="709"/>
      </w:tblGrid>
      <w:tr w:rsidR="0018444C">
        <w:trPr>
          <w:jc w:val="center"/>
        </w:trPr>
        <w:tc>
          <w:tcPr>
            <w:tcW w:w="544"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lang w:val="zh-TW"/>
              </w:rPr>
            </w:pPr>
            <w:r>
              <w:rPr>
                <w:rFonts w:ascii="Times New Roman" w:eastAsia="標楷體" w:hAnsi="Times New Roman"/>
                <w:sz w:val="22"/>
                <w:lang w:val="zh-TW"/>
              </w:rPr>
              <w:t>主要項目</w:t>
            </w:r>
          </w:p>
        </w:tc>
        <w:tc>
          <w:tcPr>
            <w:tcW w:w="28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lang w:val="zh-TW"/>
              </w:rPr>
            </w:pPr>
            <w:r>
              <w:rPr>
                <w:rFonts w:ascii="Times New Roman" w:eastAsia="標楷體" w:hAnsi="Times New Roman"/>
                <w:sz w:val="22"/>
                <w:lang w:val="zh-TW"/>
              </w:rPr>
              <w:t>次要項目</w:t>
            </w:r>
          </w:p>
        </w:tc>
        <w:tc>
          <w:tcPr>
            <w:tcW w:w="99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proofErr w:type="gramStart"/>
            <w:r>
              <w:rPr>
                <w:rFonts w:ascii="Times New Roman" w:eastAsia="標楷體" w:hAnsi="Times New Roman"/>
                <w:sz w:val="22"/>
              </w:rPr>
              <w:t>勘</w:t>
            </w:r>
            <w:proofErr w:type="gramEnd"/>
            <w:r>
              <w:rPr>
                <w:rFonts w:ascii="Times New Roman" w:eastAsia="標楷體" w:hAnsi="Times New Roman"/>
                <w:sz w:val="22"/>
              </w:rPr>
              <w:t>估建物</w:t>
            </w:r>
            <w:r>
              <w:rPr>
                <w:rFonts w:ascii="Times New Roman" w:eastAsia="標楷體" w:hAnsi="Times New Roman"/>
                <w:sz w:val="22"/>
              </w:rPr>
              <w:t>(</w:t>
            </w:r>
            <w:r>
              <w:rPr>
                <w:rFonts w:ascii="Times New Roman" w:eastAsia="標楷體" w:hAnsi="Times New Roman"/>
                <w:sz w:val="22"/>
              </w:rPr>
              <w:t>比</w:t>
            </w:r>
            <w:proofErr w:type="gramStart"/>
            <w:r>
              <w:rPr>
                <w:rFonts w:ascii="Times New Roman" w:eastAsia="標楷體" w:hAnsi="Times New Roman"/>
                <w:sz w:val="22"/>
              </w:rPr>
              <w:t>準</w:t>
            </w:r>
            <w:proofErr w:type="gramEnd"/>
            <w:r>
              <w:rPr>
                <w:rFonts w:ascii="Times New Roman" w:eastAsia="標楷體" w:hAnsi="Times New Roman"/>
                <w:sz w:val="22"/>
              </w:rPr>
              <w:t>單元</w:t>
            </w:r>
            <w:r>
              <w:rPr>
                <w:rFonts w:ascii="Times New Roman" w:eastAsia="標楷體" w:hAnsi="Times New Roman"/>
                <w:sz w:val="22"/>
              </w:rPr>
              <w:t>)</w:t>
            </w:r>
          </w:p>
        </w:tc>
        <w:tc>
          <w:tcPr>
            <w:tcW w:w="98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w:t>
            </w:r>
            <w:proofErr w:type="gramStart"/>
            <w:r>
              <w:rPr>
                <w:rFonts w:ascii="Times New Roman" w:eastAsia="標楷體" w:hAnsi="Times New Roman"/>
                <w:sz w:val="22"/>
              </w:rPr>
              <w:t>一</w:t>
            </w:r>
            <w:proofErr w:type="gramEnd"/>
          </w:p>
        </w:tc>
        <w:tc>
          <w:tcPr>
            <w:tcW w:w="70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比較標的二</w:t>
            </w:r>
          </w:p>
        </w:tc>
        <w:tc>
          <w:tcPr>
            <w:tcW w:w="70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比較標的三</w:t>
            </w:r>
          </w:p>
        </w:tc>
        <w:tc>
          <w:tcPr>
            <w:tcW w:w="709"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調整百分率</w:t>
            </w:r>
          </w:p>
        </w:tc>
      </w:tr>
      <w:tr w:rsidR="0018444C">
        <w:trPr>
          <w:cantSplit/>
          <w:trHeight w:hRule="exact" w:val="312"/>
          <w:jc w:val="center"/>
        </w:trPr>
        <w:tc>
          <w:tcPr>
            <w:tcW w:w="544"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both"/>
            </w:pPr>
            <w:r>
              <w:rPr>
                <w:rFonts w:ascii="Times New Roman" w:eastAsia="標楷體" w:hAnsi="Times New Roman"/>
                <w:lang w:val="zh-TW"/>
              </w:rPr>
              <w:t>道路交通條件</w:t>
            </w: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pPr>
            <w:proofErr w:type="gramStart"/>
            <w:r>
              <w:rPr>
                <w:rFonts w:ascii="Times New Roman" w:eastAsia="標楷體" w:hAnsi="Times New Roman"/>
                <w:sz w:val="22"/>
              </w:rPr>
              <w:t>臨路寬度</w:t>
            </w:r>
            <w:proofErr w:type="gramEnd"/>
            <w:r>
              <w:rPr>
                <w:rFonts w:ascii="Times New Roman" w:eastAsia="標楷體" w:hAnsi="Times New Roman"/>
                <w:bCs/>
                <w:sz w:val="22"/>
              </w:rPr>
              <w:t>(M)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道路種類</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道路系統及連續性</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人車動線規畫及道路配置</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980E38">
            <w:pPr>
              <w:spacing w:line="260" w:lineRule="exact"/>
              <w:jc w:val="both"/>
              <w:rPr>
                <w:rFonts w:ascii="Times New Roman" w:eastAsia="標楷體" w:hAnsi="Times New Roman"/>
                <w:sz w:val="22"/>
                <w:lang w:val="zh-TW"/>
              </w:rPr>
            </w:pPr>
            <w:r>
              <w:rPr>
                <w:rFonts w:ascii="Times New Roman" w:eastAsia="標楷體" w:hAnsi="Times New Roman"/>
                <w:sz w:val="22"/>
                <w:lang w:val="zh-TW"/>
              </w:rPr>
              <w:t>調整率小計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lang w:val="zh-TW"/>
              </w:rPr>
            </w:pPr>
            <w:r>
              <w:rPr>
                <w:rFonts w:ascii="Times New Roman" w:eastAsia="標楷體" w:hAnsi="Times New Roman"/>
                <w:sz w:val="22"/>
                <w:lang w:val="zh-TW"/>
              </w:rPr>
              <w:t>公共設施接近條件</w:t>
            </w: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pPr>
            <w:r>
              <w:rPr>
                <w:rFonts w:ascii="Times New Roman" w:eastAsia="標楷體" w:hAnsi="Times New Roman"/>
                <w:sz w:val="22"/>
              </w:rPr>
              <w:t>接近</w:t>
            </w:r>
            <w:r>
              <w:rPr>
                <w:rFonts w:ascii="Times New Roman" w:eastAsia="標楷體" w:hAnsi="Times New Roman"/>
                <w:color w:val="FF0000"/>
                <w:sz w:val="22"/>
              </w:rPr>
              <w:t>○○</w:t>
            </w:r>
            <w:r>
              <w:rPr>
                <w:rFonts w:ascii="Times New Roman" w:eastAsia="標楷體" w:hAnsi="Times New Roman"/>
                <w:color w:val="FF0000"/>
                <w:sz w:val="22"/>
              </w:rPr>
              <w:t>車站</w:t>
            </w:r>
            <w:r>
              <w:rPr>
                <w:rFonts w:ascii="Times New Roman" w:eastAsia="標楷體" w:hAnsi="Times New Roman"/>
                <w:sz w:val="22"/>
              </w:rPr>
              <w:t>程度</w:t>
            </w:r>
            <w:r>
              <w:rPr>
                <w:rFonts w:ascii="Times New Roman" w:eastAsia="標楷體" w:hAnsi="Times New Roman"/>
                <w:bCs/>
                <w:sz w:val="22"/>
              </w:rPr>
              <w:t>(M)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pPr>
            <w:r>
              <w:rPr>
                <w:rFonts w:ascii="Times New Roman" w:eastAsia="標楷體" w:hAnsi="Times New Roman"/>
                <w:sz w:val="22"/>
              </w:rPr>
              <w:t>接近市場程度</w:t>
            </w:r>
            <w:r>
              <w:rPr>
                <w:rFonts w:ascii="Times New Roman" w:eastAsia="標楷體" w:hAnsi="Times New Roman"/>
                <w:bCs/>
                <w:sz w:val="22"/>
              </w:rPr>
              <w:t>(M)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pPr>
            <w:r>
              <w:rPr>
                <w:rFonts w:ascii="Times New Roman" w:eastAsia="標楷體" w:hAnsi="Times New Roman"/>
                <w:sz w:val="22"/>
              </w:rPr>
              <w:t>接近學校程度</w:t>
            </w:r>
            <w:r>
              <w:rPr>
                <w:rFonts w:ascii="Times New Roman" w:eastAsia="標楷體" w:hAnsi="Times New Roman"/>
                <w:bCs/>
                <w:sz w:val="22"/>
              </w:rPr>
              <w:t>(M)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540"/>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pPr>
            <w:r>
              <w:rPr>
                <w:rFonts w:ascii="Times New Roman" w:eastAsia="標楷體" w:hAnsi="Times New Roman"/>
                <w:sz w:val="22"/>
              </w:rPr>
              <w:t>服務性設施</w:t>
            </w:r>
            <w:r>
              <w:rPr>
                <w:rFonts w:ascii="Times New Roman" w:eastAsia="標楷體" w:hAnsi="Times New Roman"/>
                <w:sz w:val="22"/>
              </w:rPr>
              <w:t>(</w:t>
            </w:r>
            <w:r>
              <w:rPr>
                <w:rFonts w:ascii="Times New Roman" w:eastAsia="標楷體" w:hAnsi="Times New Roman"/>
                <w:sz w:val="22"/>
              </w:rPr>
              <w:t>郵局</w:t>
            </w:r>
            <w:r>
              <w:rPr>
                <w:rFonts w:ascii="Times New Roman" w:eastAsia="標楷體" w:hAnsi="Times New Roman"/>
                <w:sz w:val="22"/>
              </w:rPr>
              <w:t>.</w:t>
            </w:r>
            <w:r>
              <w:rPr>
                <w:rFonts w:ascii="Times New Roman" w:eastAsia="標楷體" w:hAnsi="Times New Roman"/>
                <w:sz w:val="22"/>
              </w:rPr>
              <w:t>銀行</w:t>
            </w:r>
            <w:r>
              <w:rPr>
                <w:rFonts w:ascii="Times New Roman" w:eastAsia="標楷體" w:hAnsi="Times New Roman"/>
                <w:sz w:val="22"/>
              </w:rPr>
              <w:t>.</w:t>
            </w:r>
            <w:r>
              <w:rPr>
                <w:rFonts w:ascii="Times New Roman" w:eastAsia="標楷體" w:hAnsi="Times New Roman"/>
                <w:sz w:val="22"/>
              </w:rPr>
              <w:t>醫院</w:t>
            </w:r>
            <w:r>
              <w:rPr>
                <w:rFonts w:ascii="Times New Roman" w:eastAsia="標楷體" w:hAnsi="Times New Roman"/>
                <w:sz w:val="22"/>
              </w:rPr>
              <w:t>.</w:t>
            </w:r>
            <w:r>
              <w:rPr>
                <w:rFonts w:ascii="Times New Roman" w:eastAsia="標楷體" w:hAnsi="Times New Roman"/>
                <w:sz w:val="22"/>
              </w:rPr>
              <w:t>機關等設施</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bCs/>
                <w:sz w:val="22"/>
              </w:rPr>
              <w:t>(M)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476"/>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pPr>
            <w:r>
              <w:rPr>
                <w:rFonts w:ascii="Times New Roman" w:eastAsia="標楷體" w:hAnsi="Times New Roman"/>
                <w:sz w:val="22"/>
              </w:rPr>
              <w:t>廣場、公園綠地接近程度</w:t>
            </w:r>
            <w:r>
              <w:rPr>
                <w:rFonts w:ascii="Times New Roman" w:eastAsia="標楷體" w:hAnsi="Times New Roman"/>
                <w:bCs/>
                <w:sz w:val="22"/>
              </w:rPr>
              <w:t>(M)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980E38">
            <w:pPr>
              <w:spacing w:line="260" w:lineRule="exact"/>
              <w:jc w:val="both"/>
            </w:pPr>
            <w:r>
              <w:rPr>
                <w:rFonts w:ascii="Times New Roman" w:eastAsia="標楷體" w:hAnsi="Times New Roman"/>
                <w:sz w:val="22"/>
              </w:rPr>
              <w:t>接近停車場程度</w:t>
            </w:r>
            <w:r>
              <w:rPr>
                <w:rFonts w:ascii="Times New Roman" w:eastAsia="標楷體" w:hAnsi="Times New Roman"/>
                <w:bCs/>
                <w:sz w:val="22"/>
              </w:rPr>
              <w:t>(M)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980E38">
            <w:pPr>
              <w:spacing w:line="260" w:lineRule="exact"/>
              <w:jc w:val="both"/>
            </w:pPr>
            <w:r>
              <w:rPr>
                <w:rFonts w:ascii="Times New Roman" w:eastAsia="標楷體" w:hAnsi="Times New Roman"/>
                <w:sz w:val="22"/>
                <w:lang w:val="zh-TW"/>
              </w:rPr>
              <w:t>調整率小計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pPr>
            <w:proofErr w:type="gramStart"/>
            <w:r>
              <w:rPr>
                <w:rFonts w:ascii="Times New Roman" w:eastAsia="標楷體" w:hAnsi="Times New Roman"/>
                <w:lang w:val="zh-TW"/>
              </w:rPr>
              <w:t>週</w:t>
            </w:r>
            <w:proofErr w:type="gramEnd"/>
            <w:r>
              <w:rPr>
                <w:rFonts w:ascii="Times New Roman" w:eastAsia="標楷體" w:hAnsi="Times New Roman"/>
                <w:lang w:val="zh-TW"/>
              </w:rPr>
              <w:t>邊環境條件</w:t>
            </w: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商業活動強度</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嫌惡設施</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430"/>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停車方便性</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535"/>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980E38">
            <w:pPr>
              <w:spacing w:line="260" w:lineRule="exact"/>
              <w:jc w:val="both"/>
              <w:rPr>
                <w:rFonts w:ascii="Times New Roman" w:eastAsia="標楷體" w:hAnsi="Times New Roman"/>
                <w:sz w:val="22"/>
                <w:lang w:val="zh-TW"/>
              </w:rPr>
            </w:pPr>
            <w:r>
              <w:rPr>
                <w:rFonts w:ascii="Times New Roman" w:eastAsia="標楷體" w:hAnsi="Times New Roman"/>
                <w:sz w:val="22"/>
                <w:lang w:val="zh-TW"/>
              </w:rPr>
              <w:t>調整率小計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444"/>
          <w:jc w:val="center"/>
        </w:trPr>
        <w:tc>
          <w:tcPr>
            <w:tcW w:w="544"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lang w:val="zh-TW"/>
              </w:rPr>
            </w:pPr>
            <w:r>
              <w:rPr>
                <w:rFonts w:ascii="Times New Roman" w:eastAsia="標楷體" w:hAnsi="Times New Roman"/>
                <w:sz w:val="22"/>
                <w:lang w:val="zh-TW"/>
              </w:rPr>
              <w:t>行政法令條件</w:t>
            </w: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使用分區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437"/>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建築或用途管制</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7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980E38">
            <w:pPr>
              <w:spacing w:line="260" w:lineRule="exact"/>
              <w:jc w:val="both"/>
              <w:rPr>
                <w:rFonts w:ascii="Times New Roman" w:eastAsia="標楷體" w:hAnsi="Times New Roman"/>
                <w:sz w:val="22"/>
                <w:lang w:val="zh-TW"/>
              </w:rPr>
            </w:pPr>
            <w:r>
              <w:rPr>
                <w:rFonts w:ascii="Times New Roman" w:eastAsia="標楷體" w:hAnsi="Times New Roman"/>
                <w:sz w:val="22"/>
                <w:lang w:val="zh-TW"/>
              </w:rPr>
              <w:t>調整率小計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lang w:val="zh-TW"/>
              </w:rPr>
            </w:pPr>
            <w:r>
              <w:rPr>
                <w:rFonts w:ascii="Times New Roman" w:eastAsia="標楷體" w:hAnsi="Times New Roman"/>
                <w:sz w:val="22"/>
                <w:lang w:val="zh-TW"/>
              </w:rPr>
              <w:t>建物個別條件</w:t>
            </w: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總樓層</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比較標的樓層</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屋齡</w:t>
            </w:r>
            <w:r>
              <w:rPr>
                <w:rFonts w:ascii="Times New Roman" w:eastAsia="標楷體" w:hAnsi="Times New Roman"/>
                <w:sz w:val="22"/>
              </w:rPr>
              <w:t>(</w:t>
            </w:r>
            <w:r>
              <w:rPr>
                <w:rFonts w:ascii="Times New Roman" w:eastAsia="標楷體" w:hAnsi="Times New Roman"/>
                <w:sz w:val="22"/>
              </w:rPr>
              <w:t>年</w:t>
            </w:r>
            <w:r>
              <w:rPr>
                <w:rFonts w:ascii="Times New Roman" w:eastAsia="標楷體" w:hAnsi="Times New Roman"/>
                <w:sz w:val="22"/>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建築結構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產品適宜性</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公設比例</w:t>
            </w:r>
            <w:r>
              <w:rPr>
                <w:rFonts w:ascii="Times New Roman" w:eastAsia="標楷體" w:hAnsi="Times New Roman"/>
                <w:sz w:val="22"/>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proofErr w:type="gramStart"/>
            <w:r>
              <w:rPr>
                <w:rFonts w:ascii="Times New Roman" w:eastAsia="標楷體" w:hAnsi="Times New Roman"/>
                <w:sz w:val="22"/>
              </w:rPr>
              <w:t>雨遮或騎樓</w:t>
            </w:r>
            <w:proofErr w:type="gramEnd"/>
            <w:r>
              <w:rPr>
                <w:rFonts w:ascii="Times New Roman" w:eastAsia="標楷體" w:hAnsi="Times New Roman"/>
                <w:sz w:val="22"/>
              </w:rPr>
              <w:t>比</w:t>
            </w:r>
            <w:r>
              <w:rPr>
                <w:rFonts w:ascii="Times New Roman" w:eastAsia="標楷體" w:hAnsi="Times New Roman"/>
                <w:sz w:val="22"/>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樓高</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單價與總價關係</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建材及建築設計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管理狀況</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採光通風</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景觀</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rPr>
                <w:rFonts w:ascii="Times New Roman" w:eastAsia="標楷體" w:hAnsi="Times New Roman"/>
                <w:sz w:val="22"/>
              </w:rPr>
            </w:pPr>
            <w:r>
              <w:rPr>
                <w:rFonts w:ascii="Times New Roman" w:eastAsia="標楷體" w:hAnsi="Times New Roman"/>
                <w:sz w:val="22"/>
              </w:rPr>
              <w:t>商業效益</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lang w:val="zh-TW"/>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both"/>
            </w:pPr>
            <w:r>
              <w:rPr>
                <w:rFonts w:ascii="Times New Roman" w:eastAsia="標楷體" w:hAnsi="Times New Roman"/>
                <w:sz w:val="22"/>
                <w:lang w:val="zh-TW"/>
              </w:rPr>
              <w:t>調整率小計</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5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lang w:val="zh-TW"/>
              </w:rPr>
            </w:pPr>
            <w:r>
              <w:rPr>
                <w:rFonts w:ascii="Times New Roman" w:eastAsia="標楷體" w:hAnsi="Times New Roman"/>
                <w:sz w:val="22"/>
                <w:lang w:val="zh-TW"/>
              </w:rPr>
              <w:t>其他</w:t>
            </w:r>
          </w:p>
        </w:tc>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both"/>
              <w:rPr>
                <w:rFonts w:ascii="Times New Roman" w:eastAsia="標楷體" w:hAnsi="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r w:rsidR="0018444C">
        <w:trPr>
          <w:cantSplit/>
          <w:trHeight w:hRule="exact" w:val="312"/>
          <w:jc w:val="center"/>
        </w:trPr>
        <w:tc>
          <w:tcPr>
            <w:tcW w:w="3364"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bottom"/>
          </w:tcPr>
          <w:p w:rsidR="0018444C" w:rsidRDefault="00980E38">
            <w:pPr>
              <w:spacing w:line="260" w:lineRule="exact"/>
              <w:jc w:val="center"/>
              <w:rPr>
                <w:rFonts w:ascii="Times New Roman" w:eastAsia="標楷體" w:hAnsi="Times New Roman"/>
                <w:sz w:val="22"/>
                <w:lang w:val="zh-TW"/>
              </w:rPr>
            </w:pPr>
            <w:r>
              <w:rPr>
                <w:rFonts w:ascii="Times New Roman" w:eastAsia="標楷體" w:hAnsi="Times New Roman"/>
                <w:sz w:val="22"/>
                <w:lang w:val="zh-TW"/>
              </w:rPr>
              <w:t>個別因素總調整率</w:t>
            </w:r>
          </w:p>
        </w:tc>
        <w:tc>
          <w:tcPr>
            <w:tcW w:w="99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981"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c>
          <w:tcPr>
            <w:tcW w:w="709"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tcPr>
          <w:p w:rsidR="0018444C" w:rsidRDefault="0018444C">
            <w:pPr>
              <w:spacing w:line="260" w:lineRule="exact"/>
              <w:jc w:val="both"/>
              <w:rPr>
                <w:rFonts w:ascii="Times New Roman" w:eastAsia="標楷體" w:hAnsi="Times New Roman"/>
                <w:b/>
                <w:bCs/>
                <w:sz w:val="22"/>
              </w:rPr>
            </w:pPr>
          </w:p>
        </w:tc>
      </w:tr>
    </w:tbl>
    <w:p w:rsidR="0018444C" w:rsidRDefault="0018444C">
      <w:pPr>
        <w:suppressAutoHyphens w:val="0"/>
        <w:textAlignment w:val="auto"/>
        <w:rPr>
          <w:rFonts w:ascii="Times New Roman" w:eastAsia="標楷體" w:hAnsi="Times New Roman"/>
          <w:color w:val="000000"/>
          <w:szCs w:val="24"/>
        </w:rPr>
      </w:pPr>
    </w:p>
    <w:p w:rsidR="0018444C" w:rsidRDefault="0018444C">
      <w:pPr>
        <w:suppressAutoHyphens w:val="0"/>
        <w:textAlignment w:val="auto"/>
        <w:rPr>
          <w:rFonts w:ascii="Times New Roman" w:eastAsia="標楷體" w:hAnsi="Times New Roman"/>
          <w:color w:val="000000"/>
          <w:szCs w:val="24"/>
        </w:rPr>
      </w:pP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上表填載項目可視實際影響價格情形增減調整，如店鋪應考量商業效益之影響，住宅產品則可刪除，無特殊原因必須刪除者皆應填載。</w:t>
      </w:r>
      <w:r>
        <w:rPr>
          <w:rFonts w:ascii="Times New Roman" w:eastAsia="標楷體" w:hAnsi="Times New Roman"/>
          <w:sz w:val="24"/>
          <w:szCs w:val="24"/>
        </w:rPr>
        <w:t xml:space="preserve"> </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接近車站程度</w:t>
      </w:r>
      <w:r>
        <w:rPr>
          <w:rFonts w:ascii="Times New Roman" w:eastAsia="標楷體" w:hAnsi="Times New Roman"/>
          <w:sz w:val="24"/>
          <w:szCs w:val="24"/>
        </w:rPr>
        <w:t>(M)</w:t>
      </w:r>
      <w:r>
        <w:rPr>
          <w:rFonts w:ascii="Times New Roman" w:eastAsia="標楷體" w:hAnsi="Times New Roman"/>
          <w:sz w:val="24"/>
          <w:szCs w:val="24"/>
        </w:rPr>
        <w:t>包括公車站、火車站、高鐵站或客運站，請估價師依專業判斷，選取區域影響價格最顯著之項目填載。</w:t>
      </w:r>
      <w:r>
        <w:rPr>
          <w:rFonts w:ascii="Times New Roman" w:eastAsia="標楷體" w:hAnsi="Times New Roman"/>
          <w:sz w:val="24"/>
          <w:szCs w:val="24"/>
        </w:rPr>
        <w:t xml:space="preserve"> </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土地使用分區不同時，公共設施接近條件得依影響程度較顯著之項目填載，如工業區土地可增列工業區管理中心、物流中心</w:t>
      </w:r>
      <w:r>
        <w:rPr>
          <w:rFonts w:ascii="Times New Roman" w:eastAsia="標楷體" w:hAnsi="Times New Roman"/>
          <w:sz w:val="24"/>
          <w:szCs w:val="24"/>
        </w:rPr>
        <w:t>..</w:t>
      </w:r>
      <w:r>
        <w:rPr>
          <w:rFonts w:ascii="Times New Roman" w:eastAsia="標楷體" w:hAnsi="Times New Roman"/>
          <w:sz w:val="24"/>
          <w:szCs w:val="24"/>
        </w:rPr>
        <w:t>等項目；如認為影響較不顯著者得刪除，如學校、公園</w:t>
      </w:r>
      <w:r>
        <w:rPr>
          <w:rFonts w:ascii="Times New Roman" w:eastAsia="標楷體" w:hAnsi="Times New Roman"/>
          <w:sz w:val="24"/>
          <w:szCs w:val="24"/>
        </w:rPr>
        <w:t>..</w:t>
      </w:r>
      <w:r>
        <w:rPr>
          <w:rFonts w:ascii="Times New Roman" w:eastAsia="標楷體" w:hAnsi="Times New Roman"/>
          <w:sz w:val="24"/>
          <w:szCs w:val="24"/>
        </w:rPr>
        <w:t>等。</w:t>
      </w:r>
      <w:r>
        <w:rPr>
          <w:rFonts w:ascii="Times New Roman" w:eastAsia="標楷體" w:hAnsi="Times New Roman"/>
          <w:sz w:val="24"/>
          <w:szCs w:val="24"/>
        </w:rPr>
        <w:t xml:space="preserve"> </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以上各比較表，請視需要分別比較地面層及樓上比</w:t>
      </w:r>
      <w:proofErr w:type="gramStart"/>
      <w:r>
        <w:rPr>
          <w:rFonts w:ascii="Times New Roman" w:eastAsia="標楷體" w:hAnsi="Times New Roman"/>
          <w:sz w:val="24"/>
          <w:szCs w:val="24"/>
        </w:rPr>
        <w:t>準</w:t>
      </w:r>
      <w:proofErr w:type="gramEnd"/>
      <w:r>
        <w:rPr>
          <w:rFonts w:ascii="Times New Roman" w:eastAsia="標楷體" w:hAnsi="Times New Roman"/>
          <w:sz w:val="24"/>
          <w:szCs w:val="24"/>
        </w:rPr>
        <w:t>樓層之價格。</w:t>
      </w:r>
    </w:p>
    <w:p w:rsidR="0018444C" w:rsidRDefault="0018444C">
      <w:pPr>
        <w:pageBreakBefore/>
        <w:widowControl/>
        <w:suppressAutoHyphens w:val="0"/>
      </w:pPr>
    </w:p>
    <w:p w:rsidR="0018444C" w:rsidRDefault="00980E38">
      <w:pPr>
        <w:pStyle w:val="CCISa"/>
        <w:numPr>
          <w:ilvl w:val="0"/>
          <w:numId w:val="41"/>
        </w:numPr>
        <w:tabs>
          <w:tab w:val="left" w:pos="1997"/>
        </w:tabs>
        <w:spacing w:line="400" w:lineRule="exact"/>
        <w:ind w:left="2410"/>
        <w:rPr>
          <w:rFonts w:ascii="Times New Roman" w:eastAsia="標楷體" w:hAnsi="Times New Roman"/>
          <w:sz w:val="28"/>
          <w:szCs w:val="24"/>
        </w:rPr>
      </w:pPr>
      <w:proofErr w:type="gramStart"/>
      <w:r>
        <w:rPr>
          <w:rFonts w:ascii="Times New Roman" w:eastAsia="標楷體" w:hAnsi="Times New Roman"/>
          <w:sz w:val="28"/>
          <w:szCs w:val="24"/>
        </w:rPr>
        <w:t>勘</w:t>
      </w:r>
      <w:proofErr w:type="gramEnd"/>
      <w:r>
        <w:rPr>
          <w:rFonts w:ascii="Times New Roman" w:eastAsia="標楷體" w:hAnsi="Times New Roman"/>
          <w:sz w:val="28"/>
          <w:szCs w:val="24"/>
        </w:rPr>
        <w:t>估建物</w:t>
      </w:r>
      <w:r>
        <w:rPr>
          <w:rFonts w:ascii="Times New Roman" w:eastAsia="標楷體" w:hAnsi="Times New Roman"/>
          <w:sz w:val="28"/>
          <w:szCs w:val="24"/>
        </w:rPr>
        <w:t>(</w:t>
      </w:r>
      <w:r>
        <w:rPr>
          <w:rFonts w:ascii="Times New Roman" w:eastAsia="標楷體" w:hAnsi="Times New Roman"/>
          <w:sz w:val="28"/>
          <w:szCs w:val="24"/>
        </w:rPr>
        <w:t>比</w:t>
      </w:r>
      <w:proofErr w:type="gramStart"/>
      <w:r>
        <w:rPr>
          <w:rFonts w:ascii="Times New Roman" w:eastAsia="標楷體" w:hAnsi="Times New Roman"/>
          <w:sz w:val="28"/>
          <w:szCs w:val="24"/>
        </w:rPr>
        <w:t>準</w:t>
      </w:r>
      <w:proofErr w:type="gramEnd"/>
      <w:r>
        <w:rPr>
          <w:rFonts w:ascii="Times New Roman" w:eastAsia="標楷體" w:hAnsi="Times New Roman"/>
          <w:sz w:val="28"/>
          <w:szCs w:val="24"/>
        </w:rPr>
        <w:t>單元</w:t>
      </w:r>
      <w:r>
        <w:rPr>
          <w:rFonts w:ascii="Times New Roman" w:eastAsia="標楷體" w:hAnsi="Times New Roman"/>
          <w:sz w:val="28"/>
          <w:szCs w:val="24"/>
        </w:rPr>
        <w:t>)</w:t>
      </w:r>
      <w:r>
        <w:rPr>
          <w:rFonts w:ascii="Times New Roman" w:eastAsia="標楷體" w:hAnsi="Times New Roman"/>
          <w:sz w:val="28"/>
          <w:szCs w:val="24"/>
        </w:rPr>
        <w:t>比較價格推定表</w:t>
      </w:r>
    </w:p>
    <w:tbl>
      <w:tblPr>
        <w:tblW w:w="9072" w:type="dxa"/>
        <w:jc w:val="center"/>
        <w:tblLayout w:type="fixed"/>
        <w:tblCellMar>
          <w:left w:w="10" w:type="dxa"/>
          <w:right w:w="10" w:type="dxa"/>
        </w:tblCellMar>
        <w:tblLook w:val="0000" w:firstRow="0" w:lastRow="0" w:firstColumn="0" w:lastColumn="0" w:noHBand="0" w:noVBand="0"/>
      </w:tblPr>
      <w:tblGrid>
        <w:gridCol w:w="1276"/>
        <w:gridCol w:w="1694"/>
        <w:gridCol w:w="2133"/>
        <w:gridCol w:w="1984"/>
        <w:gridCol w:w="1985"/>
      </w:tblGrid>
      <w:tr w:rsidR="0018444C">
        <w:trPr>
          <w:cantSplit/>
          <w:trHeight w:hRule="exact" w:val="660"/>
          <w:jc w:val="center"/>
        </w:trPr>
        <w:tc>
          <w:tcPr>
            <w:tcW w:w="2970" w:type="dxa"/>
            <w:gridSpan w:val="2"/>
            <w:tcBorders>
              <w:top w:val="double" w:sz="4"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項</w:t>
            </w:r>
            <w:r>
              <w:rPr>
                <w:rFonts w:ascii="Times New Roman" w:eastAsia="標楷體" w:hAnsi="Times New Roman"/>
                <w:sz w:val="22"/>
                <w:szCs w:val="22"/>
              </w:rPr>
              <w:t xml:space="preserve">    </w:t>
            </w:r>
            <w:r>
              <w:rPr>
                <w:rFonts w:ascii="Times New Roman" w:eastAsia="標楷體" w:hAnsi="Times New Roman"/>
                <w:sz w:val="22"/>
                <w:szCs w:val="22"/>
              </w:rPr>
              <w:t>目</w:t>
            </w:r>
          </w:p>
        </w:tc>
        <w:tc>
          <w:tcPr>
            <w:tcW w:w="2133" w:type="dxa"/>
            <w:tcBorders>
              <w:top w:val="double" w:sz="4"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比較標的</w:t>
            </w:r>
            <w:proofErr w:type="gramStart"/>
            <w:r>
              <w:rPr>
                <w:rFonts w:ascii="Times New Roman" w:eastAsia="標楷體" w:hAnsi="Times New Roman"/>
                <w:sz w:val="22"/>
                <w:szCs w:val="22"/>
              </w:rPr>
              <w:t>一</w:t>
            </w:r>
            <w:proofErr w:type="gramEnd"/>
          </w:p>
        </w:tc>
        <w:tc>
          <w:tcPr>
            <w:tcW w:w="1984" w:type="dxa"/>
            <w:tcBorders>
              <w:top w:val="double" w:sz="4"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比較標的二</w:t>
            </w:r>
          </w:p>
        </w:tc>
        <w:tc>
          <w:tcPr>
            <w:tcW w:w="1985" w:type="dxa"/>
            <w:tcBorders>
              <w:top w:val="double" w:sz="4"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比較標的三</w:t>
            </w:r>
          </w:p>
        </w:tc>
      </w:tr>
      <w:tr w:rsidR="0018444C">
        <w:trPr>
          <w:cantSplit/>
          <w:trHeight w:hRule="exact" w:val="66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0"/>
              <w:spacing w:line="300" w:lineRule="exact"/>
              <w:jc w:val="both"/>
            </w:pPr>
            <w:r>
              <w:rPr>
                <w:rFonts w:ascii="Times New Roman" w:eastAsia="標楷體" w:hAnsi="Times New Roman"/>
                <w:sz w:val="22"/>
                <w:szCs w:val="22"/>
              </w:rPr>
              <w:t>交易價格</w:t>
            </w:r>
            <w:r>
              <w:rPr>
                <w:rFonts w:ascii="Times New Roman" w:eastAsia="標楷體" w:hAnsi="Times New Roman"/>
                <w:sz w:val="22"/>
              </w:rPr>
              <w:t>(</w:t>
            </w:r>
            <w:r>
              <w:rPr>
                <w:rFonts w:ascii="Times New Roman" w:eastAsia="標楷體" w:hAnsi="Times New Roman"/>
                <w:sz w:val="22"/>
              </w:rPr>
              <w:t>元</w:t>
            </w:r>
            <w:r>
              <w:rPr>
                <w:rFonts w:ascii="Times New Roman" w:eastAsia="標楷體" w:hAnsi="Times New Roman"/>
                <w:sz w:val="22"/>
              </w:rPr>
              <w:t>/</w:t>
            </w:r>
            <w:r>
              <w:rPr>
                <w:rFonts w:ascii="Times New Roman" w:eastAsia="標楷體" w:hAnsi="Times New Roman"/>
                <w:sz w:val="22"/>
              </w:rPr>
              <w:t>坪</w:t>
            </w:r>
            <w:r>
              <w:rPr>
                <w:rFonts w:ascii="Times New Roman" w:eastAsia="標楷體" w:hAnsi="Times New Roman"/>
                <w:sz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0"/>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價格型態</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情況因素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660"/>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pPr>
            <w:r>
              <w:rPr>
                <w:rFonts w:ascii="Times New Roman" w:eastAsia="標楷體" w:hAnsi="Times New Roman"/>
                <w:sz w:val="22"/>
              </w:rPr>
              <w:t>調整後價格</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價格日期</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660"/>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調整後價格</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區域因素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660"/>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pPr>
            <w:r>
              <w:rPr>
                <w:rFonts w:ascii="Times New Roman" w:eastAsia="標楷體" w:hAnsi="Times New Roman"/>
                <w:sz w:val="22"/>
              </w:rPr>
              <w:t>調整後售價</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jc w:val="center"/>
        </w:trPr>
        <w:tc>
          <w:tcPr>
            <w:tcW w:w="1276" w:type="dxa"/>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個別因素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66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試算價格</w:t>
            </w:r>
            <w:r>
              <w:rPr>
                <w:rFonts w:ascii="Times New Roman" w:eastAsia="標楷體" w:hAnsi="Times New Roman"/>
                <w:sz w:val="22"/>
              </w:rPr>
              <w:t>(</w:t>
            </w:r>
            <w:r>
              <w:rPr>
                <w:rFonts w:ascii="Times New Roman" w:eastAsia="標楷體" w:hAnsi="Times New Roman"/>
                <w:sz w:val="22"/>
              </w:rPr>
              <w:t>元</w:t>
            </w:r>
            <w:r>
              <w:rPr>
                <w:rFonts w:ascii="Times New Roman" w:eastAsia="標楷體" w:hAnsi="Times New Roman"/>
                <w:sz w:val="22"/>
              </w:rPr>
              <w:t>/</w:t>
            </w:r>
            <w:r>
              <w:rPr>
                <w:rFonts w:ascii="Times New Roman" w:eastAsia="標楷體" w:hAnsi="Times New Roman"/>
                <w:sz w:val="22"/>
              </w:rPr>
              <w:t>坪</w:t>
            </w:r>
            <w:r>
              <w:rPr>
                <w:rFonts w:ascii="Times New Roman" w:eastAsia="標楷體" w:hAnsi="Times New Roman"/>
                <w:sz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比較標的加權數</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66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加權數計算後金額</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jc w:val="center"/>
        </w:trPr>
        <w:tc>
          <w:tcPr>
            <w:tcW w:w="2970"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最後推定比較價格</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tc>
        <w:tc>
          <w:tcPr>
            <w:tcW w:w="6102"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r0"/>
              <w:spacing w:line="300" w:lineRule="exact"/>
              <w:jc w:val="both"/>
              <w:rPr>
                <w:rFonts w:ascii="Times New Roman" w:eastAsia="標楷體" w:hAnsi="Times New Roman"/>
                <w:sz w:val="22"/>
                <w:szCs w:val="22"/>
              </w:rPr>
            </w:pPr>
          </w:p>
        </w:tc>
      </w:tr>
    </w:tbl>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試算價格係以比較標的價格就情況因素調整、價格日期調整、區域因素調整及個別因素調整百分比率相乘計算之。</w:t>
      </w:r>
      <w:r>
        <w:rPr>
          <w:rFonts w:ascii="Times New Roman" w:eastAsia="標楷體" w:hAnsi="Times New Roman"/>
          <w:sz w:val="24"/>
          <w:szCs w:val="24"/>
        </w:rPr>
        <w:t xml:space="preserve"> </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比較標的加權數應依不動產估價技術規則第二十七條規定：「不動產估價師應採用三件以上比較標的，就其經</w:t>
      </w:r>
      <w:proofErr w:type="gramStart"/>
      <w:r>
        <w:rPr>
          <w:rFonts w:ascii="Times New Roman" w:eastAsia="標楷體" w:hAnsi="Times New Roman"/>
          <w:sz w:val="24"/>
          <w:szCs w:val="24"/>
        </w:rPr>
        <w:t>前條推估</w:t>
      </w:r>
      <w:proofErr w:type="gramEnd"/>
      <w:r>
        <w:rPr>
          <w:rFonts w:ascii="Times New Roman" w:eastAsia="標楷體" w:hAnsi="Times New Roman"/>
          <w:sz w:val="24"/>
          <w:szCs w:val="24"/>
        </w:rPr>
        <w:t>檢討後之</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的試算價格，考量各比較標的蒐集資料可信度、各比較標的與</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的價格形成因素之相近程度，決定</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的之比較價格，並將比較修正內容敘明之。」</w:t>
      </w:r>
    </w:p>
    <w:p w:rsidR="0018444C" w:rsidRDefault="00980E38">
      <w:pPr>
        <w:pStyle w:val="CCISa"/>
        <w:numPr>
          <w:ilvl w:val="0"/>
          <w:numId w:val="41"/>
        </w:numPr>
        <w:tabs>
          <w:tab w:val="left" w:pos="1997"/>
        </w:tabs>
        <w:spacing w:line="400" w:lineRule="exact"/>
        <w:ind w:left="2410"/>
        <w:rPr>
          <w:rFonts w:ascii="Times New Roman" w:eastAsia="標楷體" w:hAnsi="Times New Roman"/>
          <w:sz w:val="28"/>
          <w:szCs w:val="24"/>
        </w:rPr>
      </w:pPr>
      <w:r>
        <w:rPr>
          <w:rFonts w:ascii="Times New Roman" w:eastAsia="標楷體" w:hAnsi="Times New Roman"/>
          <w:sz w:val="28"/>
          <w:szCs w:val="24"/>
        </w:rPr>
        <w:t>最終比較價格決定</w:t>
      </w:r>
    </w:p>
    <w:p w:rsidR="0018444C" w:rsidRDefault="0018444C">
      <w:pPr>
        <w:pStyle w:val="CCISa"/>
        <w:spacing w:line="400" w:lineRule="exact"/>
        <w:ind w:left="2410"/>
        <w:rPr>
          <w:rFonts w:ascii="Times New Roman" w:eastAsia="標楷體" w:hAnsi="Times New Roman"/>
          <w:sz w:val="28"/>
          <w:szCs w:val="24"/>
        </w:rPr>
      </w:pPr>
    </w:p>
    <w:p w:rsidR="0018444C" w:rsidRDefault="0018444C">
      <w:pPr>
        <w:pStyle w:val="CCISa"/>
        <w:spacing w:line="400" w:lineRule="exact"/>
        <w:ind w:left="2410"/>
        <w:rPr>
          <w:rFonts w:ascii="Times New Roman" w:eastAsia="標楷體" w:hAnsi="Times New Roman"/>
          <w:sz w:val="28"/>
          <w:szCs w:val="24"/>
        </w:rPr>
      </w:pPr>
    </w:p>
    <w:p w:rsidR="0018444C" w:rsidRDefault="00980E38">
      <w:pPr>
        <w:pStyle w:val="CCISa"/>
        <w:numPr>
          <w:ilvl w:val="0"/>
          <w:numId w:val="41"/>
        </w:numPr>
        <w:tabs>
          <w:tab w:val="left" w:pos="1997"/>
        </w:tabs>
        <w:spacing w:line="400" w:lineRule="exact"/>
        <w:ind w:left="2410"/>
        <w:rPr>
          <w:rFonts w:ascii="Times New Roman" w:eastAsia="標楷體" w:hAnsi="Times New Roman"/>
          <w:sz w:val="28"/>
          <w:szCs w:val="24"/>
        </w:rPr>
      </w:pPr>
      <w:r>
        <w:rPr>
          <w:rFonts w:ascii="Times New Roman" w:eastAsia="標楷體" w:hAnsi="Times New Roman"/>
          <w:sz w:val="28"/>
          <w:szCs w:val="24"/>
        </w:rPr>
        <w:t>停車位比較標的條件分析表</w:t>
      </w:r>
    </w:p>
    <w:tbl>
      <w:tblPr>
        <w:tblW w:w="8489" w:type="dxa"/>
        <w:jc w:val="center"/>
        <w:tblCellMar>
          <w:left w:w="10" w:type="dxa"/>
          <w:right w:w="10" w:type="dxa"/>
        </w:tblCellMar>
        <w:tblLook w:val="0000" w:firstRow="0" w:lastRow="0" w:firstColumn="0" w:lastColumn="0" w:noHBand="0" w:noVBand="0"/>
      </w:tblPr>
      <w:tblGrid>
        <w:gridCol w:w="1936"/>
        <w:gridCol w:w="1638"/>
        <w:gridCol w:w="1638"/>
        <w:gridCol w:w="1638"/>
        <w:gridCol w:w="1639"/>
      </w:tblGrid>
      <w:tr w:rsidR="0018444C">
        <w:trPr>
          <w:trHeight w:val="458"/>
          <w:jc w:val="center"/>
        </w:trPr>
        <w:tc>
          <w:tcPr>
            <w:tcW w:w="1936" w:type="dxa"/>
            <w:tcBorders>
              <w:top w:val="doub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項目</w:t>
            </w:r>
          </w:p>
        </w:tc>
        <w:tc>
          <w:tcPr>
            <w:tcW w:w="1638"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center"/>
              <w:rPr>
                <w:rFonts w:ascii="Times New Roman" w:eastAsia="標楷體" w:hAnsi="Times New Roman"/>
                <w:bCs/>
                <w:sz w:val="22"/>
                <w:szCs w:val="22"/>
              </w:rPr>
            </w:pPr>
            <w:proofErr w:type="gramStart"/>
            <w:r>
              <w:rPr>
                <w:rFonts w:ascii="Times New Roman" w:eastAsia="標楷體" w:hAnsi="Times New Roman"/>
                <w:bCs/>
                <w:sz w:val="22"/>
                <w:szCs w:val="22"/>
              </w:rPr>
              <w:t>勘</w:t>
            </w:r>
            <w:proofErr w:type="gramEnd"/>
            <w:r>
              <w:rPr>
                <w:rFonts w:ascii="Times New Roman" w:eastAsia="標楷體" w:hAnsi="Times New Roman"/>
                <w:bCs/>
                <w:sz w:val="22"/>
                <w:szCs w:val="22"/>
              </w:rPr>
              <w:t>估建物</w:t>
            </w:r>
          </w:p>
          <w:p w:rsidR="0018444C" w:rsidRDefault="00980E38">
            <w:pPr>
              <w:pStyle w:val="r0"/>
              <w:snapToGrid w:val="0"/>
              <w:jc w:val="center"/>
            </w:pPr>
            <w:r>
              <w:rPr>
                <w:rFonts w:ascii="Times New Roman" w:eastAsia="標楷體" w:hAnsi="Times New Roman"/>
                <w:sz w:val="22"/>
                <w:szCs w:val="22"/>
              </w:rPr>
              <w:t>(</w:t>
            </w:r>
            <w:r>
              <w:rPr>
                <w:rFonts w:ascii="Times New Roman" w:eastAsia="標楷體" w:hAnsi="Times New Roman"/>
                <w:sz w:val="22"/>
                <w:szCs w:val="22"/>
              </w:rPr>
              <w:t>比</w:t>
            </w:r>
            <w:proofErr w:type="gramStart"/>
            <w:r>
              <w:rPr>
                <w:rFonts w:ascii="Times New Roman" w:eastAsia="標楷體" w:hAnsi="Times New Roman"/>
                <w:sz w:val="22"/>
                <w:szCs w:val="22"/>
              </w:rPr>
              <w:t>準</w:t>
            </w:r>
            <w:proofErr w:type="gramEnd"/>
            <w:r>
              <w:rPr>
                <w:rFonts w:ascii="Times New Roman" w:eastAsia="標楷體" w:hAnsi="Times New Roman"/>
                <w:sz w:val="22"/>
                <w:szCs w:val="22"/>
              </w:rPr>
              <w:t>單元</w:t>
            </w:r>
            <w:r>
              <w:rPr>
                <w:rFonts w:ascii="Times New Roman" w:eastAsia="標楷體" w:hAnsi="Times New Roman"/>
                <w:sz w:val="22"/>
                <w:szCs w:val="22"/>
              </w:rPr>
              <w:t>)</w:t>
            </w:r>
          </w:p>
        </w:tc>
        <w:tc>
          <w:tcPr>
            <w:tcW w:w="1638"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比較標的</w:t>
            </w:r>
            <w:proofErr w:type="gramStart"/>
            <w:r>
              <w:rPr>
                <w:rFonts w:ascii="Times New Roman" w:eastAsia="標楷體" w:hAnsi="Times New Roman"/>
                <w:bCs/>
                <w:sz w:val="22"/>
                <w:szCs w:val="22"/>
              </w:rPr>
              <w:t>一</w:t>
            </w:r>
            <w:proofErr w:type="gramEnd"/>
          </w:p>
        </w:tc>
        <w:tc>
          <w:tcPr>
            <w:tcW w:w="1638"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比較標的二</w:t>
            </w:r>
          </w:p>
        </w:tc>
        <w:tc>
          <w:tcPr>
            <w:tcW w:w="163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比較標的三</w:t>
            </w:r>
          </w:p>
        </w:tc>
      </w:tr>
      <w:tr w:rsidR="0018444C">
        <w:trPr>
          <w:trHeight w:val="65"/>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地址</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價格型態</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交易價格</w:t>
            </w:r>
            <w:r>
              <w:rPr>
                <w:rFonts w:ascii="Times New Roman" w:eastAsia="標楷體" w:hAnsi="Times New Roman"/>
                <w:bCs/>
                <w:sz w:val="22"/>
                <w:szCs w:val="22"/>
              </w:rPr>
              <w:t>(</w:t>
            </w:r>
            <w:r>
              <w:rPr>
                <w:rFonts w:ascii="Times New Roman" w:eastAsia="標楷體" w:hAnsi="Times New Roman"/>
                <w:bCs/>
                <w:sz w:val="22"/>
                <w:szCs w:val="22"/>
              </w:rPr>
              <w:t>元</w:t>
            </w:r>
            <w:r>
              <w:rPr>
                <w:rFonts w:ascii="Times New Roman" w:eastAsia="標楷體" w:hAnsi="Times New Roman"/>
                <w:bCs/>
                <w:sz w:val="22"/>
                <w:szCs w:val="22"/>
              </w:rPr>
              <w:t>/</w:t>
            </w:r>
            <w:proofErr w:type="gramStart"/>
            <w:r>
              <w:rPr>
                <w:rFonts w:ascii="Times New Roman" w:eastAsia="標楷體" w:hAnsi="Times New Roman"/>
                <w:bCs/>
                <w:sz w:val="22"/>
                <w:szCs w:val="22"/>
              </w:rPr>
              <w:t>個</w:t>
            </w:r>
            <w:proofErr w:type="gramEnd"/>
            <w:r>
              <w:rPr>
                <w:rFonts w:ascii="Times New Roman" w:eastAsia="標楷體" w:hAnsi="Times New Roman"/>
                <w:bCs/>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勘察日期</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價格日期</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使用分區</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建築樓層</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比較標的樓層</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屋齡</w:t>
            </w:r>
            <w:r>
              <w:rPr>
                <w:rFonts w:ascii="Times New Roman" w:eastAsia="標楷體" w:hAnsi="Times New Roman"/>
                <w:bCs/>
                <w:sz w:val="22"/>
                <w:szCs w:val="22"/>
              </w:rPr>
              <w:t>(</w:t>
            </w:r>
            <w:r>
              <w:rPr>
                <w:rFonts w:ascii="Times New Roman" w:eastAsia="標楷體" w:hAnsi="Times New Roman"/>
                <w:bCs/>
                <w:sz w:val="22"/>
                <w:szCs w:val="22"/>
              </w:rPr>
              <w:t>年</w:t>
            </w:r>
            <w:r>
              <w:rPr>
                <w:rFonts w:ascii="Times New Roman" w:eastAsia="標楷體" w:hAnsi="Times New Roman"/>
                <w:bCs/>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車位面積</w:t>
            </w:r>
            <w:r>
              <w:rPr>
                <w:rFonts w:ascii="Times New Roman" w:eastAsia="標楷體" w:hAnsi="Times New Roman"/>
                <w:bCs/>
                <w:sz w:val="22"/>
                <w:szCs w:val="22"/>
              </w:rPr>
              <w:t>(</w:t>
            </w:r>
            <w:r>
              <w:rPr>
                <w:rFonts w:ascii="Times New Roman" w:eastAsia="標楷體" w:hAnsi="Times New Roman"/>
                <w:bCs/>
                <w:sz w:val="22"/>
                <w:szCs w:val="22"/>
              </w:rPr>
              <w:t>坪</w:t>
            </w:r>
            <w:r>
              <w:rPr>
                <w:rFonts w:ascii="Times New Roman" w:eastAsia="標楷體" w:hAnsi="Times New Roman"/>
                <w:bCs/>
                <w:sz w:val="22"/>
                <w:szCs w:val="22"/>
              </w:rPr>
              <w:t>/</w:t>
            </w:r>
            <w:proofErr w:type="gramStart"/>
            <w:r>
              <w:rPr>
                <w:rFonts w:ascii="Times New Roman" w:eastAsia="標楷體" w:hAnsi="Times New Roman"/>
                <w:bCs/>
                <w:sz w:val="22"/>
                <w:szCs w:val="22"/>
              </w:rPr>
              <w:t>個</w:t>
            </w:r>
            <w:proofErr w:type="gramEnd"/>
            <w:r>
              <w:rPr>
                <w:rFonts w:ascii="Times New Roman" w:eastAsia="標楷體" w:hAnsi="Times New Roman"/>
                <w:bCs/>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建物結構</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車道種類</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車道</w:t>
            </w:r>
            <w:proofErr w:type="gramStart"/>
            <w:r>
              <w:rPr>
                <w:rFonts w:ascii="Times New Roman" w:eastAsia="標楷體" w:hAnsi="Times New Roman"/>
                <w:bCs/>
                <w:sz w:val="22"/>
                <w:szCs w:val="22"/>
              </w:rPr>
              <w:t>出入口臨路寬度</w:t>
            </w:r>
            <w:proofErr w:type="gramEnd"/>
            <w:r>
              <w:rPr>
                <w:rFonts w:ascii="Times New Roman" w:eastAsia="標楷體" w:hAnsi="Times New Roman"/>
                <w:bCs/>
                <w:sz w:val="22"/>
                <w:szCs w:val="22"/>
              </w:rPr>
              <w:t>(M)</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車位型式</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車位大小</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color w:val="FF0000"/>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color w:val="FF0000"/>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color w:val="FF0000"/>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color w:val="FF0000"/>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交通條件</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color w:val="FF0000"/>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color w:val="FF0000"/>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color w:val="FF0000"/>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color w:val="FF0000"/>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整體條件</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議價空間</w:t>
            </w:r>
            <w:r>
              <w:rPr>
                <w:rFonts w:ascii="Times New Roman" w:eastAsia="標楷體" w:hAnsi="Times New Roman"/>
                <w:bCs/>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r0"/>
              <w:snapToGrid w:val="0"/>
              <w:jc w:val="both"/>
              <w:rPr>
                <w:rFonts w:ascii="Times New Roman" w:eastAsia="標楷體" w:hAnsi="Times New Roman"/>
                <w:bCs/>
                <w:sz w:val="22"/>
                <w:szCs w:val="22"/>
              </w:rPr>
            </w:pPr>
            <w:r>
              <w:rPr>
                <w:rFonts w:ascii="Times New Roman" w:eastAsia="標楷體" w:hAnsi="Times New Roman"/>
                <w:bCs/>
                <w:sz w:val="22"/>
                <w:szCs w:val="22"/>
              </w:rPr>
              <w:t>預估可能成交價格</w:t>
            </w:r>
            <w:r>
              <w:rPr>
                <w:rFonts w:ascii="Times New Roman" w:eastAsia="標楷體" w:hAnsi="Times New Roman"/>
                <w:bCs/>
                <w:sz w:val="22"/>
                <w:szCs w:val="22"/>
              </w:rPr>
              <w:t>(</w:t>
            </w:r>
            <w:r>
              <w:rPr>
                <w:rFonts w:ascii="Times New Roman" w:eastAsia="標楷體" w:hAnsi="Times New Roman"/>
                <w:bCs/>
                <w:sz w:val="22"/>
                <w:szCs w:val="22"/>
              </w:rPr>
              <w:t>元</w:t>
            </w:r>
            <w:r>
              <w:rPr>
                <w:rFonts w:ascii="Times New Roman" w:eastAsia="標楷體" w:hAnsi="Times New Roman"/>
                <w:bCs/>
                <w:sz w:val="22"/>
                <w:szCs w:val="22"/>
              </w:rPr>
              <w:t>/</w:t>
            </w:r>
            <w:proofErr w:type="gramStart"/>
            <w:r>
              <w:rPr>
                <w:rFonts w:ascii="Times New Roman" w:eastAsia="標楷體" w:hAnsi="Times New Roman"/>
                <w:bCs/>
                <w:sz w:val="22"/>
                <w:szCs w:val="22"/>
              </w:rPr>
              <w:t>個</w:t>
            </w:r>
            <w:proofErr w:type="gramEnd"/>
            <w:r>
              <w:rPr>
                <w:rFonts w:ascii="Times New Roman" w:eastAsia="標楷體" w:hAnsi="Times New Roman"/>
                <w:bCs/>
                <w:sz w:val="22"/>
                <w:szCs w:val="22"/>
              </w:rPr>
              <w:t>)</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WZ0"/>
              <w:snapToGrid w:val="0"/>
              <w:spacing w:line="240" w:lineRule="auto"/>
              <w:jc w:val="both"/>
            </w:pPr>
            <w:r>
              <w:rPr>
                <w:rFonts w:ascii="Times New Roman" w:eastAsia="標楷體" w:hAnsi="Times New Roman"/>
                <w:bCs/>
                <w:sz w:val="22"/>
                <w:szCs w:val="22"/>
              </w:rPr>
              <w:t>資料來源</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r w:rsidR="0018444C">
        <w:trPr>
          <w:jc w:val="center"/>
        </w:trPr>
        <w:tc>
          <w:tcPr>
            <w:tcW w:w="1936"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pStyle w:val="WZ0"/>
              <w:snapToGrid w:val="0"/>
              <w:spacing w:line="240" w:lineRule="auto"/>
              <w:jc w:val="both"/>
              <w:rPr>
                <w:rFonts w:ascii="Times New Roman" w:eastAsia="標楷體" w:hAnsi="Times New Roman"/>
                <w:bCs/>
                <w:sz w:val="22"/>
                <w:szCs w:val="22"/>
              </w:rPr>
            </w:pPr>
            <w:r>
              <w:rPr>
                <w:rFonts w:ascii="Times New Roman" w:eastAsia="標楷體" w:hAnsi="Times New Roman"/>
                <w:bCs/>
                <w:sz w:val="22"/>
                <w:szCs w:val="22"/>
              </w:rPr>
              <w:t>備註</w:t>
            </w:r>
          </w:p>
        </w:tc>
        <w:tc>
          <w:tcPr>
            <w:tcW w:w="1638"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8"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c>
          <w:tcPr>
            <w:tcW w:w="1639"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8444C" w:rsidRDefault="0018444C">
            <w:pPr>
              <w:jc w:val="both"/>
              <w:rPr>
                <w:rFonts w:ascii="Times New Roman" w:eastAsia="標楷體" w:hAnsi="Times New Roman"/>
                <w:sz w:val="22"/>
              </w:rPr>
            </w:pPr>
          </w:p>
        </w:tc>
      </w:tr>
    </w:tbl>
    <w:p w:rsidR="0018444C" w:rsidRDefault="0018444C">
      <w:pPr>
        <w:pStyle w:val="CCISa"/>
        <w:spacing w:line="400" w:lineRule="exact"/>
        <w:ind w:left="2410"/>
        <w:rPr>
          <w:rFonts w:ascii="Times New Roman" w:eastAsia="標楷體" w:hAnsi="Times New Roman"/>
          <w:sz w:val="24"/>
          <w:szCs w:val="24"/>
        </w:rPr>
      </w:pPr>
    </w:p>
    <w:p w:rsidR="0018444C" w:rsidRDefault="0018444C">
      <w:pPr>
        <w:pageBreakBefore/>
        <w:widowControl/>
        <w:rPr>
          <w:rFonts w:ascii="Times New Roman" w:eastAsia="標楷體" w:hAnsi="Times New Roman"/>
        </w:rPr>
      </w:pPr>
    </w:p>
    <w:p w:rsidR="0018444C" w:rsidRDefault="00980E38">
      <w:pPr>
        <w:pStyle w:val="CCISa"/>
        <w:numPr>
          <w:ilvl w:val="0"/>
          <w:numId w:val="41"/>
        </w:numPr>
        <w:tabs>
          <w:tab w:val="left" w:pos="1997"/>
        </w:tabs>
        <w:spacing w:line="400" w:lineRule="exact"/>
        <w:ind w:left="2410"/>
        <w:rPr>
          <w:rFonts w:ascii="Times New Roman" w:eastAsia="標楷體" w:hAnsi="Times New Roman"/>
          <w:sz w:val="24"/>
          <w:szCs w:val="24"/>
        </w:rPr>
      </w:pPr>
      <w:proofErr w:type="gramStart"/>
      <w:r>
        <w:rPr>
          <w:rFonts w:ascii="Times New Roman" w:eastAsia="標楷體" w:hAnsi="Times New Roman"/>
          <w:sz w:val="24"/>
          <w:szCs w:val="24"/>
        </w:rPr>
        <w:t>勘</w:t>
      </w:r>
      <w:proofErr w:type="gramEnd"/>
      <w:r>
        <w:rPr>
          <w:rFonts w:ascii="Times New Roman" w:eastAsia="標楷體" w:hAnsi="Times New Roman"/>
          <w:sz w:val="24"/>
          <w:szCs w:val="24"/>
        </w:rPr>
        <w:t>估建物停車位</w:t>
      </w:r>
      <w:r>
        <w:rPr>
          <w:rFonts w:ascii="Times New Roman" w:eastAsia="標楷體" w:hAnsi="Times New Roman"/>
          <w:sz w:val="24"/>
          <w:szCs w:val="24"/>
        </w:rPr>
        <w:t>(</w:t>
      </w:r>
      <w:r>
        <w:rPr>
          <w:rFonts w:ascii="Times New Roman" w:eastAsia="標楷體" w:hAnsi="Times New Roman"/>
          <w:sz w:val="24"/>
          <w:szCs w:val="24"/>
        </w:rPr>
        <w:t>比</w:t>
      </w:r>
      <w:proofErr w:type="gramStart"/>
      <w:r>
        <w:rPr>
          <w:rFonts w:ascii="Times New Roman" w:eastAsia="標楷體" w:hAnsi="Times New Roman"/>
          <w:sz w:val="24"/>
          <w:szCs w:val="24"/>
        </w:rPr>
        <w:t>準</w:t>
      </w:r>
      <w:proofErr w:type="gramEnd"/>
      <w:r>
        <w:rPr>
          <w:rFonts w:ascii="Times New Roman" w:eastAsia="標楷體" w:hAnsi="Times New Roman"/>
          <w:sz w:val="24"/>
          <w:szCs w:val="24"/>
        </w:rPr>
        <w:t>單元</w:t>
      </w:r>
      <w:r>
        <w:rPr>
          <w:rFonts w:ascii="Times New Roman" w:eastAsia="標楷體" w:hAnsi="Times New Roman"/>
          <w:sz w:val="24"/>
          <w:szCs w:val="24"/>
        </w:rPr>
        <w:t>)</w:t>
      </w:r>
      <w:r>
        <w:rPr>
          <w:rFonts w:ascii="Times New Roman" w:eastAsia="標楷體" w:hAnsi="Times New Roman"/>
          <w:sz w:val="24"/>
          <w:szCs w:val="24"/>
        </w:rPr>
        <w:t>與比較標的區域暨個別因素比較調整分析表</w:t>
      </w:r>
    </w:p>
    <w:tbl>
      <w:tblPr>
        <w:tblW w:w="9703" w:type="dxa"/>
        <w:jc w:val="center"/>
        <w:tblCellMar>
          <w:left w:w="10" w:type="dxa"/>
          <w:right w:w="10" w:type="dxa"/>
        </w:tblCellMar>
        <w:tblLook w:val="0000" w:firstRow="0" w:lastRow="0" w:firstColumn="0" w:lastColumn="0" w:noHBand="0" w:noVBand="0"/>
      </w:tblPr>
      <w:tblGrid>
        <w:gridCol w:w="709"/>
        <w:gridCol w:w="2204"/>
        <w:gridCol w:w="1262"/>
        <w:gridCol w:w="1134"/>
        <w:gridCol w:w="709"/>
        <w:gridCol w:w="1134"/>
        <w:gridCol w:w="708"/>
        <w:gridCol w:w="1134"/>
        <w:gridCol w:w="709"/>
      </w:tblGrid>
      <w:tr w:rsidR="0018444C">
        <w:trPr>
          <w:cantSplit/>
          <w:trHeight w:val="452"/>
          <w:jc w:val="center"/>
        </w:trPr>
        <w:tc>
          <w:tcPr>
            <w:tcW w:w="709"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主要項目</w:t>
            </w:r>
          </w:p>
        </w:tc>
        <w:tc>
          <w:tcPr>
            <w:tcW w:w="220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項目</w:t>
            </w:r>
          </w:p>
        </w:tc>
        <w:tc>
          <w:tcPr>
            <w:tcW w:w="126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proofErr w:type="gramStart"/>
            <w:r>
              <w:rPr>
                <w:rFonts w:ascii="Times New Roman" w:eastAsia="標楷體" w:hAnsi="Times New Roman"/>
                <w:sz w:val="22"/>
              </w:rPr>
              <w:t>勘</w:t>
            </w:r>
            <w:proofErr w:type="gramEnd"/>
            <w:r>
              <w:rPr>
                <w:rFonts w:ascii="Times New Roman" w:eastAsia="標楷體" w:hAnsi="Times New Roman"/>
                <w:sz w:val="22"/>
              </w:rPr>
              <w:t>估建物</w:t>
            </w:r>
            <w:r>
              <w:rPr>
                <w:rFonts w:ascii="Times New Roman" w:eastAsia="標楷體" w:hAnsi="Times New Roman"/>
                <w:sz w:val="22"/>
              </w:rPr>
              <w:t>(</w:t>
            </w:r>
            <w:r>
              <w:rPr>
                <w:rFonts w:ascii="Times New Roman" w:eastAsia="標楷體" w:hAnsi="Times New Roman"/>
                <w:sz w:val="22"/>
              </w:rPr>
              <w:t>比</w:t>
            </w:r>
            <w:proofErr w:type="gramStart"/>
            <w:r>
              <w:rPr>
                <w:rFonts w:ascii="Times New Roman" w:eastAsia="標楷體" w:hAnsi="Times New Roman"/>
                <w:sz w:val="22"/>
              </w:rPr>
              <w:t>準</w:t>
            </w:r>
            <w:proofErr w:type="gramEnd"/>
            <w:r>
              <w:rPr>
                <w:rFonts w:ascii="Times New Roman" w:eastAsia="標楷體" w:hAnsi="Times New Roman"/>
                <w:sz w:val="22"/>
              </w:rPr>
              <w:t>單元</w:t>
            </w:r>
            <w:r>
              <w:rPr>
                <w:rFonts w:ascii="Times New Roman" w:eastAsia="標楷體" w:hAnsi="Times New Roman"/>
                <w:sz w:val="22"/>
              </w:rPr>
              <w:t>)</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w:t>
            </w:r>
            <w:proofErr w:type="gramStart"/>
            <w:r>
              <w:rPr>
                <w:rFonts w:ascii="Times New Roman" w:eastAsia="標楷體" w:hAnsi="Times New Roman"/>
                <w:sz w:val="22"/>
              </w:rPr>
              <w:t>一</w:t>
            </w:r>
            <w:proofErr w:type="gramEnd"/>
          </w:p>
        </w:tc>
        <w:tc>
          <w:tcPr>
            <w:tcW w:w="70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比較標的二</w:t>
            </w:r>
          </w:p>
        </w:tc>
        <w:tc>
          <w:tcPr>
            <w:tcW w:w="70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比較標的三</w:t>
            </w:r>
          </w:p>
        </w:tc>
        <w:tc>
          <w:tcPr>
            <w:tcW w:w="709"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r>
      <w:tr w:rsidR="0018444C">
        <w:trPr>
          <w:cantSplit/>
          <w:trHeight w:val="394"/>
          <w:jc w:val="center"/>
        </w:trPr>
        <w:tc>
          <w:tcPr>
            <w:tcW w:w="709" w:type="dxa"/>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區域因素</w:t>
            </w:r>
          </w:p>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商業繁榮程度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394"/>
          <w:jc w:val="center"/>
        </w:trPr>
        <w:tc>
          <w:tcPr>
            <w:tcW w:w="709" w:type="dxa"/>
            <w:vMerge/>
            <w:tcBorders>
              <w:top w:val="single" w:sz="6"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交通便利程度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394"/>
          <w:jc w:val="center"/>
        </w:trPr>
        <w:tc>
          <w:tcPr>
            <w:tcW w:w="709" w:type="dxa"/>
            <w:vMerge/>
            <w:tcBorders>
              <w:top w:val="single" w:sz="6"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ind w:left="113" w:right="113"/>
              <w:jc w:val="center"/>
              <w:rPr>
                <w:rFonts w:ascii="Times New Roman" w:eastAsia="標楷體" w:hAnsi="Times New Roman"/>
                <w:sz w:val="22"/>
              </w:rPr>
            </w:pPr>
          </w:p>
        </w:tc>
        <w:tc>
          <w:tcPr>
            <w:tcW w:w="220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rPr>
            </w:pPr>
            <w:r>
              <w:rPr>
                <w:rFonts w:ascii="Times New Roman" w:eastAsia="標楷體" w:hAnsi="Times New Roman"/>
              </w:rPr>
              <w:t>區域供需狀況</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2913" w:type="dxa"/>
            <w:gridSpan w:val="2"/>
            <w:tcBorders>
              <w:top w:val="single" w:sz="4" w:space="0" w:color="000000"/>
              <w:left w:val="doub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區域因素總調整率</w:t>
            </w:r>
          </w:p>
        </w:tc>
        <w:tc>
          <w:tcPr>
            <w:tcW w:w="126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12"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349"/>
          <w:jc w:val="center"/>
        </w:trPr>
        <w:tc>
          <w:tcPr>
            <w:tcW w:w="709" w:type="dxa"/>
            <w:vMerge w:val="restart"/>
            <w:tcBorders>
              <w:top w:val="single" w:sz="12" w:space="0" w:color="000000"/>
              <w:left w:val="doub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個別因素</w:t>
            </w:r>
          </w:p>
        </w:tc>
        <w:tc>
          <w:tcPr>
            <w:tcW w:w="2204" w:type="dxa"/>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屋齡</w:t>
            </w:r>
          </w:p>
        </w:tc>
        <w:tc>
          <w:tcPr>
            <w:tcW w:w="1262" w:type="dxa"/>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12" w:space="0" w:color="000000"/>
              <w:left w:val="single" w:sz="6"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349"/>
          <w:jc w:val="center"/>
        </w:trPr>
        <w:tc>
          <w:tcPr>
            <w:tcW w:w="709" w:type="dxa"/>
            <w:vMerge/>
            <w:tcBorders>
              <w:top w:val="single" w:sz="12" w:space="0" w:color="000000"/>
              <w:left w:val="doub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c>
          <w:tcPr>
            <w:tcW w:w="220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車道種類</w:t>
            </w:r>
          </w:p>
        </w:tc>
        <w:tc>
          <w:tcPr>
            <w:tcW w:w="1262"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349"/>
          <w:jc w:val="center"/>
        </w:trPr>
        <w:tc>
          <w:tcPr>
            <w:tcW w:w="709" w:type="dxa"/>
            <w:vMerge/>
            <w:tcBorders>
              <w:top w:val="single" w:sz="12" w:space="0" w:color="000000"/>
              <w:left w:val="doub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車位型式</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349"/>
          <w:jc w:val="center"/>
        </w:trPr>
        <w:tc>
          <w:tcPr>
            <w:tcW w:w="709" w:type="dxa"/>
            <w:vMerge/>
            <w:tcBorders>
              <w:top w:val="single" w:sz="12" w:space="0" w:color="000000"/>
              <w:left w:val="doub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車位大小</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349"/>
          <w:jc w:val="center"/>
        </w:trPr>
        <w:tc>
          <w:tcPr>
            <w:tcW w:w="709" w:type="dxa"/>
            <w:vMerge/>
            <w:tcBorders>
              <w:top w:val="single" w:sz="12" w:space="0" w:color="000000"/>
              <w:left w:val="doub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車道</w:t>
            </w:r>
            <w:proofErr w:type="gramStart"/>
            <w:r>
              <w:rPr>
                <w:rFonts w:ascii="Times New Roman" w:eastAsia="標楷體" w:hAnsi="Times New Roman"/>
              </w:rPr>
              <w:t>出入口臨路寬度</w:t>
            </w:r>
            <w:proofErr w:type="gramEnd"/>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349"/>
          <w:jc w:val="center"/>
        </w:trPr>
        <w:tc>
          <w:tcPr>
            <w:tcW w:w="709" w:type="dxa"/>
            <w:vMerge/>
            <w:tcBorders>
              <w:top w:val="single" w:sz="12" w:space="0" w:color="000000"/>
              <w:left w:val="doub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22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rPr>
            </w:pPr>
            <w:r>
              <w:rPr>
                <w:rFonts w:ascii="Times New Roman" w:eastAsia="標楷體" w:hAnsi="Times New Roman"/>
              </w:rPr>
              <w:t>樓層位置</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349"/>
          <w:jc w:val="center"/>
        </w:trPr>
        <w:tc>
          <w:tcPr>
            <w:tcW w:w="709" w:type="dxa"/>
            <w:vMerge/>
            <w:tcBorders>
              <w:top w:val="single" w:sz="12" w:space="0" w:color="000000"/>
              <w:left w:val="doub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2204"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rPr>
            </w:pPr>
            <w:r>
              <w:rPr>
                <w:rFonts w:ascii="Times New Roman" w:eastAsia="標楷體" w:hAnsi="Times New Roman"/>
              </w:rPr>
              <w:t>停車便利性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349"/>
          <w:jc w:val="center"/>
        </w:trPr>
        <w:tc>
          <w:tcPr>
            <w:tcW w:w="709" w:type="dxa"/>
            <w:vMerge/>
            <w:tcBorders>
              <w:top w:val="single" w:sz="12" w:space="0" w:color="000000"/>
              <w:left w:val="doub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2204"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rPr>
            </w:pPr>
            <w:proofErr w:type="gramStart"/>
            <w:r>
              <w:rPr>
                <w:rFonts w:ascii="Times New Roman" w:eastAsia="標楷體" w:hAnsi="Times New Roman"/>
              </w:rPr>
              <w:t>車戶比</w:t>
            </w:r>
            <w:proofErr w:type="gramEnd"/>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2913" w:type="dxa"/>
            <w:gridSpan w:val="2"/>
            <w:tcBorders>
              <w:top w:val="single" w:sz="2"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pPr>
            <w:r>
              <w:rPr>
                <w:rFonts w:ascii="Times New Roman" w:eastAsia="標楷體" w:hAnsi="Times New Roman"/>
                <w:bCs/>
              </w:rPr>
              <w:t>個別因素總調整率</w:t>
            </w:r>
          </w:p>
        </w:tc>
        <w:tc>
          <w:tcPr>
            <w:tcW w:w="1262" w:type="dxa"/>
            <w:tcBorders>
              <w:top w:val="single" w:sz="2"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b/>
                <w:bCs/>
                <w:sz w:val="22"/>
              </w:rPr>
            </w:pPr>
          </w:p>
        </w:tc>
        <w:tc>
          <w:tcPr>
            <w:tcW w:w="1134" w:type="dxa"/>
            <w:tcBorders>
              <w:top w:val="single" w:sz="2"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b/>
                <w:bCs/>
                <w:sz w:val="22"/>
              </w:rPr>
            </w:pP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b/>
                <w:bCs/>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b/>
                <w:bCs/>
                <w:sz w:val="22"/>
              </w:rPr>
            </w:pPr>
          </w:p>
        </w:tc>
        <w:tc>
          <w:tcPr>
            <w:tcW w:w="70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b/>
                <w:bCs/>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b/>
                <w:bCs/>
                <w:sz w:val="22"/>
              </w:rPr>
            </w:pPr>
          </w:p>
        </w:tc>
        <w:tc>
          <w:tcPr>
            <w:tcW w:w="709"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b/>
                <w:bCs/>
                <w:sz w:val="22"/>
              </w:rPr>
            </w:pPr>
          </w:p>
        </w:tc>
      </w:tr>
    </w:tbl>
    <w:p w:rsidR="0018444C" w:rsidRDefault="0018444C">
      <w:pPr>
        <w:suppressAutoHyphens w:val="0"/>
        <w:autoSpaceDE w:val="0"/>
        <w:textAlignment w:val="auto"/>
        <w:rPr>
          <w:rFonts w:ascii="Times New Roman" w:eastAsia="標楷體" w:hAnsi="Times New Roman"/>
          <w:color w:val="000000"/>
          <w:kern w:val="0"/>
          <w:szCs w:val="24"/>
        </w:rPr>
      </w:pP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上表車位大小係</w:t>
      </w:r>
      <w:proofErr w:type="gramStart"/>
      <w:r>
        <w:rPr>
          <w:rFonts w:ascii="Times New Roman" w:eastAsia="標楷體" w:hAnsi="Times New Roman"/>
          <w:sz w:val="24"/>
          <w:szCs w:val="24"/>
        </w:rPr>
        <w:t>指車格之</w:t>
      </w:r>
      <w:proofErr w:type="gramEnd"/>
      <w:r>
        <w:rPr>
          <w:rFonts w:ascii="Times New Roman" w:eastAsia="標楷體" w:hAnsi="Times New Roman"/>
          <w:sz w:val="24"/>
          <w:szCs w:val="24"/>
        </w:rPr>
        <w:t>大小</w:t>
      </w:r>
      <w:r>
        <w:rPr>
          <w:rFonts w:ascii="Times New Roman" w:eastAsia="標楷體" w:hAnsi="Times New Roman"/>
          <w:sz w:val="24"/>
          <w:szCs w:val="24"/>
        </w:rPr>
        <w:t>(</w:t>
      </w:r>
      <w:r>
        <w:rPr>
          <w:rFonts w:ascii="Times New Roman" w:eastAsia="標楷體" w:hAnsi="Times New Roman"/>
          <w:sz w:val="24"/>
          <w:szCs w:val="24"/>
        </w:rPr>
        <w:t>如</w:t>
      </w:r>
      <w:r>
        <w:rPr>
          <w:rFonts w:ascii="Times New Roman" w:eastAsia="標楷體" w:hAnsi="Times New Roman"/>
          <w:sz w:val="24"/>
          <w:szCs w:val="24"/>
        </w:rPr>
        <w:t>250*550)</w:t>
      </w:r>
      <w:r>
        <w:rPr>
          <w:rFonts w:ascii="Times New Roman" w:eastAsia="標楷體" w:hAnsi="Times New Roman"/>
          <w:sz w:val="24"/>
          <w:szCs w:val="24"/>
        </w:rPr>
        <w:t>，非指車位登記面積之大小。</w:t>
      </w:r>
      <w:r>
        <w:rPr>
          <w:rFonts w:ascii="Times New Roman" w:eastAsia="標楷體" w:hAnsi="Times New Roman"/>
          <w:sz w:val="24"/>
          <w:szCs w:val="24"/>
        </w:rPr>
        <w:t xml:space="preserve"> </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車位型式指：坡道平面式、坡道機械式、升降機械式、升降平面式及塔式車位</w:t>
      </w:r>
      <w:r>
        <w:rPr>
          <w:rFonts w:ascii="Times New Roman" w:eastAsia="標楷體" w:hAnsi="Times New Roman"/>
          <w:sz w:val="24"/>
          <w:szCs w:val="24"/>
        </w:rPr>
        <w:t>(</w:t>
      </w:r>
      <w:r>
        <w:rPr>
          <w:rFonts w:ascii="Times New Roman" w:eastAsia="標楷體" w:hAnsi="Times New Roman"/>
          <w:sz w:val="24"/>
          <w:szCs w:val="24"/>
        </w:rPr>
        <w:t>倉儲式車位</w:t>
      </w:r>
      <w:r>
        <w:rPr>
          <w:rFonts w:ascii="Times New Roman" w:eastAsia="標楷體" w:hAnsi="Times New Roman"/>
          <w:sz w:val="24"/>
          <w:szCs w:val="24"/>
        </w:rPr>
        <w:t>)</w:t>
      </w:r>
      <w:r>
        <w:rPr>
          <w:rFonts w:ascii="Times New Roman" w:eastAsia="標楷體" w:hAnsi="Times New Roman"/>
          <w:sz w:val="24"/>
          <w:szCs w:val="24"/>
        </w:rPr>
        <w:t>等。</w:t>
      </w:r>
      <w:r>
        <w:rPr>
          <w:rFonts w:ascii="Times New Roman" w:eastAsia="標楷體" w:hAnsi="Times New Roman"/>
          <w:sz w:val="24"/>
          <w:szCs w:val="24"/>
        </w:rPr>
        <w:t xml:space="preserve"> </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上表填載項目可視實際需要調整，無特殊原因必須刪除者皆應填載。</w:t>
      </w:r>
      <w:r>
        <w:rPr>
          <w:rFonts w:ascii="Times New Roman" w:eastAsia="標楷體" w:hAnsi="Times New Roman"/>
          <w:sz w:val="24"/>
          <w:szCs w:val="24"/>
        </w:rPr>
        <w:t xml:space="preserve"> </w:t>
      </w:r>
    </w:p>
    <w:p w:rsidR="0018444C" w:rsidRDefault="0018444C">
      <w:pPr>
        <w:pStyle w:val="CCISa"/>
        <w:spacing w:line="400" w:lineRule="exact"/>
        <w:ind w:left="1560" w:firstLine="520"/>
        <w:rPr>
          <w:rFonts w:ascii="Times New Roman" w:eastAsia="標楷體" w:hAnsi="Times New Roman"/>
        </w:rPr>
      </w:pPr>
    </w:p>
    <w:p w:rsidR="0018444C" w:rsidRDefault="00980E38">
      <w:pPr>
        <w:pStyle w:val="CCISa"/>
        <w:numPr>
          <w:ilvl w:val="0"/>
          <w:numId w:val="41"/>
        </w:numPr>
        <w:tabs>
          <w:tab w:val="left" w:pos="1997"/>
        </w:tabs>
        <w:spacing w:line="400" w:lineRule="exact"/>
        <w:ind w:left="2410"/>
        <w:rPr>
          <w:rFonts w:ascii="Times New Roman" w:eastAsia="標楷體" w:hAnsi="Times New Roman"/>
          <w:sz w:val="28"/>
          <w:szCs w:val="24"/>
        </w:rPr>
      </w:pPr>
      <w:proofErr w:type="gramStart"/>
      <w:r>
        <w:rPr>
          <w:rFonts w:ascii="Times New Roman" w:eastAsia="標楷體" w:hAnsi="Times New Roman"/>
          <w:sz w:val="28"/>
          <w:szCs w:val="24"/>
        </w:rPr>
        <w:t>勘</w:t>
      </w:r>
      <w:proofErr w:type="gramEnd"/>
      <w:r>
        <w:rPr>
          <w:rFonts w:ascii="Times New Roman" w:eastAsia="標楷體" w:hAnsi="Times New Roman"/>
          <w:sz w:val="28"/>
          <w:szCs w:val="24"/>
        </w:rPr>
        <w:t>估建物停車位</w:t>
      </w:r>
      <w:r>
        <w:rPr>
          <w:rFonts w:ascii="Times New Roman" w:eastAsia="標楷體" w:hAnsi="Times New Roman"/>
          <w:sz w:val="28"/>
          <w:szCs w:val="24"/>
        </w:rPr>
        <w:t>(</w:t>
      </w:r>
      <w:r>
        <w:rPr>
          <w:rFonts w:ascii="Times New Roman" w:eastAsia="標楷體" w:hAnsi="Times New Roman"/>
          <w:sz w:val="28"/>
          <w:szCs w:val="24"/>
        </w:rPr>
        <w:t>比</w:t>
      </w:r>
      <w:proofErr w:type="gramStart"/>
      <w:r>
        <w:rPr>
          <w:rFonts w:ascii="Times New Roman" w:eastAsia="標楷體" w:hAnsi="Times New Roman"/>
          <w:sz w:val="28"/>
          <w:szCs w:val="24"/>
        </w:rPr>
        <w:t>準</w:t>
      </w:r>
      <w:proofErr w:type="gramEnd"/>
      <w:r>
        <w:rPr>
          <w:rFonts w:ascii="Times New Roman" w:eastAsia="標楷體" w:hAnsi="Times New Roman"/>
          <w:sz w:val="28"/>
          <w:szCs w:val="24"/>
        </w:rPr>
        <w:t>單元</w:t>
      </w:r>
      <w:r>
        <w:rPr>
          <w:rFonts w:ascii="Times New Roman" w:eastAsia="標楷體" w:hAnsi="Times New Roman"/>
          <w:sz w:val="28"/>
          <w:szCs w:val="24"/>
        </w:rPr>
        <w:t>)</w:t>
      </w:r>
      <w:r>
        <w:rPr>
          <w:rFonts w:ascii="Times New Roman" w:eastAsia="標楷體" w:hAnsi="Times New Roman"/>
          <w:sz w:val="28"/>
          <w:szCs w:val="24"/>
        </w:rPr>
        <w:t>比較價格推定表</w:t>
      </w:r>
    </w:p>
    <w:tbl>
      <w:tblPr>
        <w:tblW w:w="9072" w:type="dxa"/>
        <w:jc w:val="center"/>
        <w:tblLayout w:type="fixed"/>
        <w:tblCellMar>
          <w:left w:w="10" w:type="dxa"/>
          <w:right w:w="10" w:type="dxa"/>
        </w:tblCellMar>
        <w:tblLook w:val="0000" w:firstRow="0" w:lastRow="0" w:firstColumn="0" w:lastColumn="0" w:noHBand="0" w:noVBand="0"/>
      </w:tblPr>
      <w:tblGrid>
        <w:gridCol w:w="1276"/>
        <w:gridCol w:w="1694"/>
        <w:gridCol w:w="2133"/>
        <w:gridCol w:w="1984"/>
        <w:gridCol w:w="1985"/>
      </w:tblGrid>
      <w:tr w:rsidR="0018444C">
        <w:trPr>
          <w:cantSplit/>
          <w:trHeight w:hRule="exact" w:val="660"/>
          <w:jc w:val="center"/>
        </w:trPr>
        <w:tc>
          <w:tcPr>
            <w:tcW w:w="2970" w:type="dxa"/>
            <w:gridSpan w:val="2"/>
            <w:tcBorders>
              <w:top w:val="double" w:sz="4"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項</w:t>
            </w:r>
            <w:r>
              <w:rPr>
                <w:rFonts w:ascii="Times New Roman" w:eastAsia="標楷體" w:hAnsi="Times New Roman"/>
                <w:sz w:val="22"/>
                <w:szCs w:val="22"/>
              </w:rPr>
              <w:t xml:space="preserve">    </w:t>
            </w:r>
            <w:r>
              <w:rPr>
                <w:rFonts w:ascii="Times New Roman" w:eastAsia="標楷體" w:hAnsi="Times New Roman"/>
                <w:sz w:val="22"/>
                <w:szCs w:val="22"/>
              </w:rPr>
              <w:t>目</w:t>
            </w:r>
          </w:p>
        </w:tc>
        <w:tc>
          <w:tcPr>
            <w:tcW w:w="2133" w:type="dxa"/>
            <w:tcBorders>
              <w:top w:val="double" w:sz="4"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比較標的</w:t>
            </w:r>
            <w:proofErr w:type="gramStart"/>
            <w:r>
              <w:rPr>
                <w:rFonts w:ascii="Times New Roman" w:eastAsia="標楷體" w:hAnsi="Times New Roman"/>
                <w:sz w:val="22"/>
                <w:szCs w:val="22"/>
              </w:rPr>
              <w:t>一</w:t>
            </w:r>
            <w:proofErr w:type="gramEnd"/>
          </w:p>
        </w:tc>
        <w:tc>
          <w:tcPr>
            <w:tcW w:w="1984" w:type="dxa"/>
            <w:tcBorders>
              <w:top w:val="double" w:sz="4"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比較標的二</w:t>
            </w:r>
          </w:p>
        </w:tc>
        <w:tc>
          <w:tcPr>
            <w:tcW w:w="1985" w:type="dxa"/>
            <w:tcBorders>
              <w:top w:val="double" w:sz="4"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比較標的三</w:t>
            </w:r>
          </w:p>
        </w:tc>
      </w:tr>
      <w:tr w:rsidR="0018444C">
        <w:trPr>
          <w:cantSplit/>
          <w:trHeight w:hRule="exact" w:val="66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pPr>
            <w:r>
              <w:rPr>
                <w:rFonts w:ascii="Times New Roman" w:eastAsia="標楷體" w:hAnsi="Times New Roman"/>
                <w:sz w:val="22"/>
                <w:szCs w:val="22"/>
              </w:rPr>
              <w:t>交易價格</w:t>
            </w:r>
            <w:r>
              <w:rPr>
                <w:rFonts w:ascii="Times New Roman" w:eastAsia="標楷體" w:hAnsi="Times New Roman"/>
                <w:bCs/>
                <w:sz w:val="22"/>
                <w:szCs w:val="22"/>
              </w:rPr>
              <w:t>(</w:t>
            </w:r>
            <w:r>
              <w:rPr>
                <w:rFonts w:ascii="Times New Roman" w:eastAsia="標楷體" w:hAnsi="Times New Roman"/>
                <w:bCs/>
                <w:sz w:val="22"/>
                <w:szCs w:val="22"/>
              </w:rPr>
              <w:t>元</w:t>
            </w:r>
            <w:r>
              <w:rPr>
                <w:rFonts w:ascii="Times New Roman" w:eastAsia="標楷體" w:hAnsi="Times New Roman"/>
                <w:bCs/>
                <w:sz w:val="22"/>
                <w:szCs w:val="22"/>
              </w:rPr>
              <w:t>/</w:t>
            </w:r>
            <w:proofErr w:type="gramStart"/>
            <w:r>
              <w:rPr>
                <w:rFonts w:ascii="Times New Roman" w:eastAsia="標楷體" w:hAnsi="Times New Roman"/>
                <w:bCs/>
                <w:sz w:val="22"/>
                <w:szCs w:val="22"/>
              </w:rPr>
              <w:t>個</w:t>
            </w:r>
            <w:proofErr w:type="gramEnd"/>
            <w:r>
              <w:rPr>
                <w:rFonts w:ascii="Times New Roman" w:eastAsia="標楷體" w:hAnsi="Times New Roman"/>
                <w:bCs/>
                <w:sz w:val="22"/>
                <w:szCs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0"/>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價格型態</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468"/>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情況因素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432"/>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調整後價格</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424"/>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價格日期</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431"/>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調整後價格</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423"/>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區域因素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428"/>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調整後售價</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420"/>
          <w:jc w:val="center"/>
        </w:trPr>
        <w:tc>
          <w:tcPr>
            <w:tcW w:w="1276" w:type="dxa"/>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lastRenderedPageBreak/>
              <w:t>個別因素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426"/>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pPr>
            <w:r>
              <w:rPr>
                <w:rFonts w:ascii="Times New Roman" w:eastAsia="標楷體" w:hAnsi="Times New Roman"/>
                <w:sz w:val="22"/>
              </w:rPr>
              <w:t>試算價格</w:t>
            </w:r>
            <w:r>
              <w:rPr>
                <w:rFonts w:ascii="Times New Roman" w:eastAsia="標楷體" w:hAnsi="Times New Roman"/>
                <w:bCs/>
                <w:sz w:val="22"/>
              </w:rPr>
              <w:t>(</w:t>
            </w:r>
            <w:r>
              <w:rPr>
                <w:rFonts w:ascii="Times New Roman" w:eastAsia="標楷體" w:hAnsi="Times New Roman"/>
                <w:bCs/>
                <w:sz w:val="22"/>
              </w:rPr>
              <w:t>元</w:t>
            </w:r>
            <w:r>
              <w:rPr>
                <w:rFonts w:ascii="Times New Roman" w:eastAsia="標楷體" w:hAnsi="Times New Roman"/>
                <w:bCs/>
                <w:sz w:val="22"/>
              </w:rPr>
              <w:t>/</w:t>
            </w:r>
            <w:proofErr w:type="gramStart"/>
            <w:r>
              <w:rPr>
                <w:rFonts w:ascii="Times New Roman" w:eastAsia="標楷體" w:hAnsi="Times New Roman"/>
                <w:bCs/>
                <w:sz w:val="22"/>
              </w:rPr>
              <w:t>個</w:t>
            </w:r>
            <w:proofErr w:type="gramEnd"/>
            <w:r>
              <w:rPr>
                <w:rFonts w:ascii="Times New Roman" w:eastAsia="標楷體" w:hAnsi="Times New Roman"/>
                <w:bCs/>
                <w:sz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561"/>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比較標的加權數</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569"/>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pPr>
            <w:r>
              <w:rPr>
                <w:rFonts w:ascii="Times New Roman" w:eastAsia="標楷體" w:hAnsi="Times New Roman"/>
                <w:sz w:val="22"/>
                <w:szCs w:val="22"/>
              </w:rPr>
              <w:t>加權數計算後金額</w:t>
            </w:r>
            <w:r>
              <w:rPr>
                <w:rFonts w:ascii="Times New Roman" w:eastAsia="標楷體" w:hAnsi="Times New Roman"/>
                <w:bCs/>
                <w:kern w:val="3"/>
                <w:sz w:val="22"/>
                <w:szCs w:val="22"/>
              </w:rPr>
              <w:t>(</w:t>
            </w:r>
            <w:r>
              <w:rPr>
                <w:rFonts w:ascii="Times New Roman" w:eastAsia="標楷體" w:hAnsi="Times New Roman"/>
                <w:bCs/>
                <w:kern w:val="3"/>
                <w:sz w:val="22"/>
                <w:szCs w:val="22"/>
              </w:rPr>
              <w:t>元</w:t>
            </w:r>
            <w:r>
              <w:rPr>
                <w:rFonts w:ascii="Times New Roman" w:eastAsia="標楷體" w:hAnsi="Times New Roman"/>
                <w:bCs/>
                <w:kern w:val="3"/>
                <w:sz w:val="22"/>
                <w:szCs w:val="22"/>
              </w:rPr>
              <w:t>/</w:t>
            </w:r>
            <w:proofErr w:type="gramStart"/>
            <w:r>
              <w:rPr>
                <w:rFonts w:ascii="Times New Roman" w:eastAsia="標楷體" w:hAnsi="Times New Roman"/>
                <w:bCs/>
                <w:kern w:val="3"/>
                <w:sz w:val="22"/>
                <w:szCs w:val="22"/>
              </w:rPr>
              <w:t>個</w:t>
            </w:r>
            <w:proofErr w:type="gramEnd"/>
            <w:r>
              <w:rPr>
                <w:rFonts w:ascii="Times New Roman" w:eastAsia="標楷體" w:hAnsi="Times New Roman"/>
                <w:bCs/>
                <w:kern w:val="3"/>
                <w:sz w:val="22"/>
                <w:szCs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577"/>
          <w:jc w:val="center"/>
        </w:trPr>
        <w:tc>
          <w:tcPr>
            <w:tcW w:w="2970"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pPr>
            <w:r>
              <w:rPr>
                <w:rFonts w:ascii="Times New Roman" w:eastAsia="標楷體" w:hAnsi="Times New Roman"/>
                <w:sz w:val="22"/>
                <w:szCs w:val="22"/>
              </w:rPr>
              <w:t>最後推定比較價格</w:t>
            </w:r>
            <w:r>
              <w:rPr>
                <w:rFonts w:ascii="Times New Roman" w:eastAsia="標楷體" w:hAnsi="Times New Roman"/>
                <w:bCs/>
                <w:kern w:val="3"/>
                <w:sz w:val="22"/>
                <w:szCs w:val="22"/>
              </w:rPr>
              <w:t>(</w:t>
            </w:r>
            <w:r>
              <w:rPr>
                <w:rFonts w:ascii="Times New Roman" w:eastAsia="標楷體" w:hAnsi="Times New Roman"/>
                <w:bCs/>
                <w:kern w:val="3"/>
                <w:sz w:val="22"/>
                <w:szCs w:val="22"/>
              </w:rPr>
              <w:t>元</w:t>
            </w:r>
            <w:r>
              <w:rPr>
                <w:rFonts w:ascii="Times New Roman" w:eastAsia="標楷體" w:hAnsi="Times New Roman"/>
                <w:bCs/>
                <w:kern w:val="3"/>
                <w:sz w:val="22"/>
                <w:szCs w:val="22"/>
              </w:rPr>
              <w:t>/</w:t>
            </w:r>
            <w:proofErr w:type="gramStart"/>
            <w:r>
              <w:rPr>
                <w:rFonts w:ascii="Times New Roman" w:eastAsia="標楷體" w:hAnsi="Times New Roman"/>
                <w:bCs/>
                <w:kern w:val="3"/>
                <w:sz w:val="22"/>
                <w:szCs w:val="22"/>
              </w:rPr>
              <w:t>個</w:t>
            </w:r>
            <w:proofErr w:type="gramEnd"/>
            <w:r>
              <w:rPr>
                <w:rFonts w:ascii="Times New Roman" w:eastAsia="標楷體" w:hAnsi="Times New Roman"/>
                <w:bCs/>
                <w:kern w:val="3"/>
                <w:sz w:val="22"/>
                <w:szCs w:val="22"/>
              </w:rPr>
              <w:t>)</w:t>
            </w:r>
          </w:p>
        </w:tc>
        <w:tc>
          <w:tcPr>
            <w:tcW w:w="6102"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r0"/>
              <w:spacing w:line="300" w:lineRule="exact"/>
              <w:jc w:val="both"/>
              <w:rPr>
                <w:rFonts w:ascii="Times New Roman" w:eastAsia="標楷體" w:hAnsi="Times New Roman"/>
                <w:sz w:val="22"/>
                <w:szCs w:val="22"/>
              </w:rPr>
            </w:pPr>
          </w:p>
        </w:tc>
      </w:tr>
    </w:tbl>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參見前述「開發後總銷售金額評估」之《注意須知》內容。</w:t>
      </w:r>
    </w:p>
    <w:p w:rsidR="0018444C" w:rsidRDefault="0018444C">
      <w:pPr>
        <w:pStyle w:val="affff"/>
        <w:ind w:left="2040" w:hanging="240"/>
        <w:rPr>
          <w:rFonts w:ascii="Times New Roman" w:hAnsi="Times New Roman"/>
        </w:rPr>
      </w:pPr>
    </w:p>
    <w:p w:rsidR="0018444C" w:rsidRDefault="00980E38">
      <w:pPr>
        <w:pStyle w:val="CCISa"/>
        <w:numPr>
          <w:ilvl w:val="0"/>
          <w:numId w:val="41"/>
        </w:numPr>
        <w:tabs>
          <w:tab w:val="left" w:pos="1997"/>
        </w:tabs>
        <w:spacing w:line="400" w:lineRule="exact"/>
        <w:ind w:left="2410"/>
        <w:rPr>
          <w:rFonts w:ascii="Times New Roman" w:eastAsia="標楷體" w:hAnsi="Times New Roman"/>
          <w:sz w:val="24"/>
          <w:szCs w:val="24"/>
        </w:rPr>
      </w:pPr>
      <w:r>
        <w:rPr>
          <w:rFonts w:ascii="Times New Roman" w:eastAsia="標楷體" w:hAnsi="Times New Roman"/>
          <w:sz w:val="24"/>
          <w:szCs w:val="24"/>
        </w:rPr>
        <w:t>停車位最終比較價格決定</w:t>
      </w:r>
    </w:p>
    <w:p w:rsidR="0018444C" w:rsidRDefault="0018444C">
      <w:pPr>
        <w:pStyle w:val="CCISa"/>
        <w:spacing w:line="400" w:lineRule="exact"/>
        <w:ind w:left="1560" w:firstLine="520"/>
        <w:rPr>
          <w:rFonts w:ascii="Times New Roman" w:eastAsia="標楷體" w:hAnsi="Times New Roman"/>
        </w:rPr>
      </w:pPr>
    </w:p>
    <w:p w:rsidR="0018444C" w:rsidRDefault="00980E38">
      <w:pPr>
        <w:pStyle w:val="CCISa"/>
        <w:numPr>
          <w:ilvl w:val="0"/>
          <w:numId w:val="41"/>
        </w:numPr>
        <w:tabs>
          <w:tab w:val="left" w:pos="1997"/>
        </w:tabs>
        <w:spacing w:line="400" w:lineRule="exact"/>
        <w:ind w:left="2410"/>
        <w:rPr>
          <w:rFonts w:ascii="Times New Roman" w:eastAsia="標楷體" w:hAnsi="Times New Roman"/>
          <w:sz w:val="24"/>
          <w:szCs w:val="24"/>
        </w:rPr>
      </w:pPr>
      <w:proofErr w:type="gramStart"/>
      <w:r>
        <w:rPr>
          <w:rFonts w:ascii="Times New Roman" w:eastAsia="標楷體" w:hAnsi="Times New Roman"/>
          <w:sz w:val="24"/>
          <w:szCs w:val="24"/>
        </w:rPr>
        <w:t>勘</w:t>
      </w:r>
      <w:proofErr w:type="gramEnd"/>
      <w:r>
        <w:rPr>
          <w:rFonts w:ascii="Times New Roman" w:eastAsia="標楷體" w:hAnsi="Times New Roman"/>
          <w:sz w:val="24"/>
          <w:szCs w:val="24"/>
        </w:rPr>
        <w:t>估建物各層調整因素</w:t>
      </w:r>
    </w:p>
    <w:p w:rsidR="0018444C" w:rsidRDefault="00980E38">
      <w:pPr>
        <w:pStyle w:val="DefaultText"/>
        <w:spacing w:before="40" w:after="40" w:line="440" w:lineRule="exact"/>
        <w:ind w:left="1560"/>
        <w:jc w:val="both"/>
      </w:pPr>
      <w:r>
        <w:rPr>
          <w:rFonts w:ascii="Times New Roman" w:eastAsia="標楷體" w:hAnsi="Times New Roman"/>
          <w:sz w:val="24"/>
          <w:szCs w:val="24"/>
        </w:rPr>
        <w:t>《注意須知》：於求得比</w:t>
      </w:r>
      <w:proofErr w:type="gramStart"/>
      <w:r>
        <w:rPr>
          <w:rFonts w:ascii="Times New Roman" w:eastAsia="標楷體" w:hAnsi="Times New Roman"/>
          <w:sz w:val="24"/>
          <w:szCs w:val="24"/>
        </w:rPr>
        <w:t>準</w:t>
      </w:r>
      <w:proofErr w:type="gramEnd"/>
      <w:r>
        <w:rPr>
          <w:rFonts w:ascii="Times New Roman" w:eastAsia="標楷體" w:hAnsi="Times New Roman"/>
          <w:sz w:val="24"/>
          <w:szCs w:val="24"/>
        </w:rPr>
        <w:t>戶及比</w:t>
      </w:r>
      <w:proofErr w:type="gramStart"/>
      <w:r>
        <w:rPr>
          <w:rFonts w:ascii="Times New Roman" w:eastAsia="標楷體" w:hAnsi="Times New Roman"/>
          <w:sz w:val="24"/>
          <w:szCs w:val="24"/>
        </w:rPr>
        <w:t>準</w:t>
      </w:r>
      <w:proofErr w:type="gramEnd"/>
      <w:r>
        <w:rPr>
          <w:rFonts w:ascii="Times New Roman" w:eastAsia="標楷體" w:hAnsi="Times New Roman"/>
          <w:sz w:val="24"/>
          <w:szCs w:val="24"/>
        </w:rPr>
        <w:t>車位價格後，以該戶或車位價格考量水平及樓層別效用推估各層各戶或各車為之價格，以推算全棟建物總銷金額。水平效用之求取應詳列過程。</w:t>
      </w:r>
    </w:p>
    <w:p w:rsidR="0018444C" w:rsidRDefault="00980E38">
      <w:pPr>
        <w:pStyle w:val="CCISa"/>
        <w:numPr>
          <w:ilvl w:val="0"/>
          <w:numId w:val="41"/>
        </w:numPr>
        <w:tabs>
          <w:tab w:val="left" w:pos="1997"/>
        </w:tabs>
        <w:spacing w:line="400" w:lineRule="exact"/>
        <w:ind w:left="2410"/>
        <w:rPr>
          <w:rFonts w:ascii="Times New Roman" w:eastAsia="標楷體" w:hAnsi="Times New Roman"/>
          <w:sz w:val="24"/>
          <w:szCs w:val="24"/>
        </w:rPr>
      </w:pPr>
      <w:r>
        <w:rPr>
          <w:rFonts w:ascii="Times New Roman" w:eastAsia="標楷體" w:hAnsi="Times New Roman"/>
          <w:sz w:val="24"/>
          <w:szCs w:val="24"/>
        </w:rPr>
        <w:t>新建物開發總值</w:t>
      </w:r>
    </w:p>
    <w:p w:rsidR="0018444C" w:rsidRDefault="00980E38">
      <w:pPr>
        <w:pStyle w:val="DefaultText"/>
        <w:spacing w:before="40" w:after="40" w:line="440" w:lineRule="exact"/>
        <w:ind w:left="1560"/>
        <w:jc w:val="both"/>
      </w:pPr>
      <w:r>
        <w:rPr>
          <w:rFonts w:ascii="Times New Roman" w:eastAsia="標楷體" w:hAnsi="Times New Roman"/>
          <w:sz w:val="24"/>
          <w:szCs w:val="24"/>
        </w:rPr>
        <w:t>《注意須知》：應將新建物全棟大樓各部份</w:t>
      </w:r>
      <w:r>
        <w:rPr>
          <w:rFonts w:ascii="Times New Roman" w:eastAsia="標楷體" w:hAnsi="Times New Roman"/>
          <w:sz w:val="24"/>
          <w:szCs w:val="24"/>
        </w:rPr>
        <w:t>(</w:t>
      </w:r>
      <w:r>
        <w:rPr>
          <w:rFonts w:ascii="Times New Roman" w:eastAsia="標楷體" w:hAnsi="Times New Roman"/>
          <w:sz w:val="24"/>
          <w:szCs w:val="24"/>
        </w:rPr>
        <w:t>單元</w:t>
      </w:r>
      <w:r>
        <w:rPr>
          <w:rFonts w:ascii="Times New Roman" w:eastAsia="標楷體" w:hAnsi="Times New Roman"/>
          <w:sz w:val="24"/>
          <w:szCs w:val="24"/>
        </w:rPr>
        <w:t>)</w:t>
      </w:r>
      <w:r>
        <w:rPr>
          <w:rFonts w:ascii="Times New Roman" w:eastAsia="標楷體" w:hAnsi="Times New Roman"/>
          <w:sz w:val="24"/>
          <w:szCs w:val="24"/>
        </w:rPr>
        <w:t>價值以表格方式列舉說明。並以此評估結果帶入含容積移入之土地開發分析表中，做為計算土地價值之基礎。</w:t>
      </w:r>
    </w:p>
    <w:p w:rsidR="0018444C" w:rsidRDefault="0018444C">
      <w:pPr>
        <w:pStyle w:val="DefaultText"/>
        <w:spacing w:before="40" w:after="40" w:line="440" w:lineRule="exact"/>
        <w:ind w:left="1560"/>
        <w:jc w:val="both"/>
        <w:rPr>
          <w:rFonts w:ascii="Times New Roman" w:eastAsia="標楷體" w:hAnsi="Times New Roman"/>
          <w:sz w:val="24"/>
          <w:szCs w:val="24"/>
        </w:rPr>
      </w:pPr>
    </w:p>
    <w:p w:rsidR="0018444C" w:rsidRDefault="00980E38">
      <w:pPr>
        <w:pStyle w:val="DefaultText"/>
        <w:spacing w:before="40" w:after="40" w:line="440" w:lineRule="exact"/>
        <w:jc w:val="center"/>
        <w:rPr>
          <w:rFonts w:ascii="Times New Roman" w:eastAsia="標楷體" w:hAnsi="Times New Roman"/>
          <w:sz w:val="24"/>
          <w:szCs w:val="24"/>
        </w:rPr>
      </w:pPr>
      <w:r>
        <w:rPr>
          <w:rFonts w:ascii="Times New Roman" w:eastAsia="標楷體" w:hAnsi="Times New Roman"/>
          <w:sz w:val="24"/>
          <w:szCs w:val="24"/>
        </w:rPr>
        <w:t>以比</w:t>
      </w:r>
      <w:proofErr w:type="gramStart"/>
      <w:r>
        <w:rPr>
          <w:rFonts w:ascii="Times New Roman" w:eastAsia="標楷體" w:hAnsi="Times New Roman"/>
          <w:sz w:val="24"/>
          <w:szCs w:val="24"/>
        </w:rPr>
        <w:t>準戶推</w:t>
      </w:r>
      <w:proofErr w:type="gramEnd"/>
      <w:r>
        <w:rPr>
          <w:rFonts w:ascii="Times New Roman" w:eastAsia="標楷體" w:hAnsi="Times New Roman"/>
          <w:sz w:val="24"/>
          <w:szCs w:val="24"/>
        </w:rPr>
        <w:t>估全棟建物總銷金額</w:t>
      </w:r>
    </w:p>
    <w:tbl>
      <w:tblPr>
        <w:tblW w:w="5066" w:type="pct"/>
        <w:jc w:val="center"/>
        <w:tblLayout w:type="fixed"/>
        <w:tblCellMar>
          <w:left w:w="10" w:type="dxa"/>
          <w:right w:w="10" w:type="dxa"/>
        </w:tblCellMar>
        <w:tblLook w:val="0000" w:firstRow="0" w:lastRow="0" w:firstColumn="0" w:lastColumn="0" w:noHBand="0" w:noVBand="0"/>
      </w:tblPr>
      <w:tblGrid>
        <w:gridCol w:w="857"/>
        <w:gridCol w:w="856"/>
        <w:gridCol w:w="856"/>
        <w:gridCol w:w="1273"/>
        <w:gridCol w:w="1144"/>
        <w:gridCol w:w="1861"/>
        <w:gridCol w:w="1861"/>
        <w:gridCol w:w="1573"/>
      </w:tblGrid>
      <w:tr w:rsidR="0018444C">
        <w:trPr>
          <w:trHeight w:val="20"/>
          <w:jc w:val="center"/>
        </w:trPr>
        <w:tc>
          <w:tcPr>
            <w:tcW w:w="850"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樓層</w:t>
            </w:r>
          </w:p>
        </w:tc>
        <w:tc>
          <w:tcPr>
            <w:tcW w:w="849" w:type="dxa"/>
            <w:tcBorders>
              <w:top w:val="double" w:sz="4"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18444C" w:rsidRDefault="00980E38">
            <w:pPr>
              <w:jc w:val="center"/>
              <w:rPr>
                <w:rFonts w:ascii="Times New Roman" w:eastAsia="標楷體" w:hAnsi="Times New Roman"/>
              </w:rPr>
            </w:pPr>
            <w:proofErr w:type="gramStart"/>
            <w:r>
              <w:rPr>
                <w:rFonts w:ascii="Times New Roman" w:eastAsia="標楷體" w:hAnsi="Times New Roman"/>
              </w:rPr>
              <w:t>戶別</w:t>
            </w:r>
            <w:proofErr w:type="gramEnd"/>
          </w:p>
        </w:tc>
        <w:tc>
          <w:tcPr>
            <w:tcW w:w="849" w:type="dxa"/>
            <w:tcBorders>
              <w:top w:val="doub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用途</w:t>
            </w:r>
          </w:p>
        </w:tc>
        <w:tc>
          <w:tcPr>
            <w:tcW w:w="1262" w:type="dxa"/>
            <w:tcBorders>
              <w:top w:val="doub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銷售面積</w:t>
            </w:r>
          </w:p>
          <w:p w:rsidR="0018444C" w:rsidRDefault="00980E38">
            <w:pPr>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坪；</w:t>
            </w:r>
            <w:proofErr w:type="gramStart"/>
            <w:r>
              <w:rPr>
                <w:rFonts w:ascii="Times New Roman" w:eastAsia="標楷體" w:hAnsi="Times New Roman"/>
              </w:rPr>
              <w:t>個</w:t>
            </w:r>
            <w:proofErr w:type="gramEnd"/>
            <w:r>
              <w:rPr>
                <w:rFonts w:ascii="Times New Roman" w:eastAsia="標楷體" w:hAnsi="Times New Roman"/>
              </w:rPr>
              <w:t>)</w:t>
            </w:r>
          </w:p>
        </w:tc>
        <w:tc>
          <w:tcPr>
            <w:tcW w:w="1134" w:type="dxa"/>
            <w:tcBorders>
              <w:top w:val="doub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樓層別效用比</w:t>
            </w:r>
          </w:p>
        </w:tc>
        <w:tc>
          <w:tcPr>
            <w:tcW w:w="1845" w:type="dxa"/>
            <w:tcBorders>
              <w:top w:val="double" w:sz="4"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18444C" w:rsidRDefault="00980E38">
            <w:pPr>
              <w:jc w:val="center"/>
              <w:rPr>
                <w:rFonts w:ascii="Times New Roman" w:eastAsia="標楷體" w:hAnsi="Times New Roman"/>
              </w:rPr>
            </w:pPr>
            <w:r>
              <w:rPr>
                <w:rFonts w:ascii="Times New Roman" w:eastAsia="標楷體" w:hAnsi="Times New Roman"/>
              </w:rPr>
              <w:t>水平效用比</w:t>
            </w:r>
          </w:p>
        </w:tc>
        <w:tc>
          <w:tcPr>
            <w:tcW w:w="1845" w:type="dxa"/>
            <w:tcBorders>
              <w:top w:val="doub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評估單價</w:t>
            </w:r>
          </w:p>
          <w:p w:rsidR="0018444C" w:rsidRDefault="00980E38">
            <w:pPr>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元</w:t>
            </w:r>
            <w:r>
              <w:rPr>
                <w:rFonts w:ascii="Times New Roman" w:eastAsia="標楷體" w:hAnsi="Times New Roman"/>
              </w:rPr>
              <w:t>/</w:t>
            </w:r>
            <w:r>
              <w:rPr>
                <w:rFonts w:ascii="Times New Roman" w:eastAsia="標楷體" w:hAnsi="Times New Roman"/>
              </w:rPr>
              <w:t>坪；元</w:t>
            </w:r>
            <w:r>
              <w:rPr>
                <w:rFonts w:ascii="Times New Roman" w:eastAsia="標楷體" w:hAnsi="Times New Roman"/>
              </w:rPr>
              <w:t>/</w:t>
            </w:r>
            <w:proofErr w:type="gramStart"/>
            <w:r>
              <w:rPr>
                <w:rFonts w:ascii="Times New Roman" w:eastAsia="標楷體" w:hAnsi="Times New Roman"/>
              </w:rPr>
              <w:t>個</w:t>
            </w:r>
            <w:proofErr w:type="gramEnd"/>
            <w:r>
              <w:rPr>
                <w:rFonts w:ascii="Times New Roman" w:eastAsia="標楷體" w:hAnsi="Times New Roman"/>
              </w:rPr>
              <w:t>)</w:t>
            </w:r>
          </w:p>
        </w:tc>
        <w:tc>
          <w:tcPr>
            <w:tcW w:w="1560" w:type="dxa"/>
            <w:tcBorders>
              <w:top w:val="double" w:sz="4"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評估銷售總價值</w:t>
            </w:r>
          </w:p>
          <w:p w:rsidR="0018444C" w:rsidRDefault="00980E38">
            <w:pPr>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元</w:t>
            </w:r>
            <w:r>
              <w:rPr>
                <w:rFonts w:ascii="Times New Roman" w:eastAsia="標楷體" w:hAnsi="Times New Roman"/>
              </w:rPr>
              <w:t>)</w:t>
            </w:r>
          </w:p>
        </w:tc>
      </w:tr>
      <w:tr w:rsidR="0018444C">
        <w:trPr>
          <w:trHeight w:val="20"/>
          <w:jc w:val="center"/>
        </w:trPr>
        <w:tc>
          <w:tcPr>
            <w:tcW w:w="850"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1F</w:t>
            </w: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20"/>
          <w:jc w:val="center"/>
        </w:trPr>
        <w:tc>
          <w:tcPr>
            <w:tcW w:w="850"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2F</w:t>
            </w: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20"/>
          <w:jc w:val="center"/>
        </w:trPr>
        <w:tc>
          <w:tcPr>
            <w:tcW w:w="850"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20"/>
          <w:jc w:val="center"/>
        </w:trPr>
        <w:tc>
          <w:tcPr>
            <w:tcW w:w="850"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20"/>
          <w:jc w:val="center"/>
        </w:trPr>
        <w:tc>
          <w:tcPr>
            <w:tcW w:w="850"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B1</w:t>
            </w: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平面</w:t>
            </w:r>
          </w:p>
          <w:p w:rsidR="0018444C" w:rsidRDefault="00980E38">
            <w:pPr>
              <w:jc w:val="center"/>
              <w:rPr>
                <w:rFonts w:ascii="Times New Roman" w:eastAsia="標楷體" w:hAnsi="Times New Roman"/>
              </w:rPr>
            </w:pPr>
            <w:r>
              <w:rPr>
                <w:rFonts w:ascii="Times New Roman" w:eastAsia="標楷體" w:hAnsi="Times New Roman"/>
              </w:rPr>
              <w:t>車位</w:t>
            </w:r>
          </w:p>
        </w:tc>
        <w:tc>
          <w:tcPr>
            <w:tcW w:w="126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20"/>
          <w:jc w:val="center"/>
        </w:trPr>
        <w:tc>
          <w:tcPr>
            <w:tcW w:w="850"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B2</w:t>
            </w: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機械</w:t>
            </w:r>
          </w:p>
          <w:p w:rsidR="0018444C" w:rsidRDefault="00980E38">
            <w:pPr>
              <w:jc w:val="center"/>
              <w:rPr>
                <w:rFonts w:ascii="Times New Roman" w:eastAsia="標楷體" w:hAnsi="Times New Roman"/>
              </w:rPr>
            </w:pPr>
            <w:r>
              <w:rPr>
                <w:rFonts w:ascii="Times New Roman" w:eastAsia="標楷體" w:hAnsi="Times New Roman"/>
              </w:rPr>
              <w:t>車位</w:t>
            </w:r>
          </w:p>
        </w:tc>
        <w:tc>
          <w:tcPr>
            <w:tcW w:w="126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381"/>
          <w:jc w:val="center"/>
        </w:trPr>
        <w:tc>
          <w:tcPr>
            <w:tcW w:w="850" w:type="dxa"/>
            <w:tcBorders>
              <w:top w:val="single" w:sz="6" w:space="0" w:color="000000"/>
              <w:left w:val="double" w:sz="4"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總計</w:t>
            </w:r>
          </w:p>
        </w:tc>
        <w:tc>
          <w:tcPr>
            <w:tcW w:w="849" w:type="dxa"/>
            <w:tcBorders>
              <w:top w:val="single" w:sz="6" w:space="0" w:color="000000"/>
              <w:left w:val="single" w:sz="6" w:space="0" w:color="000000"/>
              <w:bottom w:val="double" w:sz="4"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262"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double" w:sz="4"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double" w:sz="4"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bl>
    <w:p w:rsidR="0018444C" w:rsidRDefault="0018444C">
      <w:pPr>
        <w:pStyle w:val="CCISa"/>
        <w:spacing w:line="400" w:lineRule="exact"/>
        <w:ind w:left="1560" w:firstLine="520"/>
        <w:rPr>
          <w:rFonts w:ascii="Times New Roman" w:eastAsia="標楷體" w:hAnsi="Times New Roman"/>
        </w:rPr>
      </w:pPr>
    </w:p>
    <w:p w:rsidR="0018444C" w:rsidRDefault="0018444C">
      <w:pPr>
        <w:pStyle w:val="CCISa"/>
        <w:spacing w:line="400" w:lineRule="exact"/>
        <w:ind w:left="1560" w:firstLine="520"/>
        <w:rPr>
          <w:rFonts w:ascii="Times New Roman" w:eastAsia="標楷體" w:hAnsi="Times New Roman"/>
        </w:rPr>
      </w:pPr>
    </w:p>
    <w:p w:rsidR="0018444C" w:rsidRDefault="00980E38">
      <w:pPr>
        <w:pStyle w:val="CCIS10"/>
        <w:pageBreakBefore/>
        <w:numPr>
          <w:ilvl w:val="0"/>
          <w:numId w:val="38"/>
        </w:numPr>
        <w:tabs>
          <w:tab w:val="left" w:pos="-12152"/>
        </w:tabs>
        <w:ind w:left="1418" w:hanging="709"/>
        <w:rPr>
          <w:rFonts w:ascii="Times New Roman" w:hAnsi="Times New Roman"/>
          <w:sz w:val="28"/>
          <w:szCs w:val="28"/>
        </w:rPr>
      </w:pPr>
      <w:bookmarkStart w:id="274" w:name="_Toc389060244"/>
      <w:r>
        <w:rPr>
          <w:rFonts w:ascii="Times New Roman" w:hAnsi="Times New Roman"/>
          <w:sz w:val="28"/>
          <w:szCs w:val="28"/>
        </w:rPr>
        <w:lastRenderedPageBreak/>
        <w:t>折現現金流量分析法評估過程</w:t>
      </w:r>
      <w:bookmarkEnd w:id="274"/>
    </w:p>
    <w:p w:rsidR="0018444C" w:rsidRDefault="00980E38">
      <w:pPr>
        <w:pStyle w:val="CCISa"/>
        <w:numPr>
          <w:ilvl w:val="0"/>
          <w:numId w:val="43"/>
        </w:numPr>
        <w:tabs>
          <w:tab w:val="left" w:pos="46"/>
        </w:tabs>
        <w:spacing w:line="400" w:lineRule="exact"/>
        <w:ind w:left="1701"/>
      </w:pPr>
      <w:bookmarkStart w:id="275" w:name="_Toc388974242"/>
      <w:bookmarkStart w:id="276" w:name="_Toc389060245"/>
      <w:r>
        <w:rPr>
          <w:rFonts w:ascii="Times New Roman" w:eastAsia="標楷體" w:hAnsi="Times New Roman"/>
          <w:sz w:val="28"/>
          <w:szCs w:val="28"/>
        </w:rPr>
        <w:t>折現現金流量分析期間：</w:t>
      </w:r>
      <w:bookmarkEnd w:id="275"/>
      <w:bookmarkEnd w:id="276"/>
    </w:p>
    <w:p w:rsidR="0018444C" w:rsidRDefault="00980E38">
      <w:pPr>
        <w:pStyle w:val="DefaultText"/>
        <w:spacing w:before="40" w:after="40" w:line="440" w:lineRule="exact"/>
        <w:ind w:left="1560" w:firstLine="343"/>
        <w:jc w:val="both"/>
        <w:rPr>
          <w:rFonts w:ascii="Times New Roman" w:eastAsia="標楷體" w:hAnsi="Times New Roman"/>
          <w:sz w:val="24"/>
          <w:szCs w:val="24"/>
        </w:rPr>
      </w:pPr>
      <w:r>
        <w:rPr>
          <w:rFonts w:ascii="Times New Roman" w:eastAsia="標楷體" w:hAnsi="Times New Roman"/>
          <w:sz w:val="24"/>
          <w:szCs w:val="24"/>
        </w:rPr>
        <w:t>《注意須知》：現金流量分析期間依下列原則定之</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收益無一定期限者，分析期間以</w:t>
      </w:r>
      <w:proofErr w:type="gramStart"/>
      <w:r>
        <w:rPr>
          <w:rFonts w:ascii="Times New Roman" w:eastAsia="標楷體" w:hAnsi="Times New Roman"/>
          <w:sz w:val="24"/>
          <w:szCs w:val="24"/>
        </w:rPr>
        <w:t>不</w:t>
      </w:r>
      <w:proofErr w:type="gramEnd"/>
      <w:r>
        <w:rPr>
          <w:rFonts w:ascii="Times New Roman" w:eastAsia="標楷體" w:hAnsi="Times New Roman"/>
          <w:sz w:val="24"/>
          <w:szCs w:val="24"/>
        </w:rPr>
        <w:t>逾十年為原則。</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收益有特定期限者，則應依剩餘期間估算。</w:t>
      </w:r>
    </w:p>
    <w:p w:rsidR="0018444C" w:rsidRDefault="00980E38">
      <w:pPr>
        <w:pStyle w:val="CCISa"/>
        <w:numPr>
          <w:ilvl w:val="0"/>
          <w:numId w:val="43"/>
        </w:numPr>
        <w:tabs>
          <w:tab w:val="left" w:pos="46"/>
        </w:tabs>
        <w:spacing w:line="400" w:lineRule="exact"/>
        <w:ind w:left="1701"/>
        <w:rPr>
          <w:rFonts w:ascii="Times New Roman" w:eastAsia="標楷體" w:hAnsi="Times New Roman"/>
          <w:sz w:val="28"/>
          <w:szCs w:val="28"/>
        </w:rPr>
      </w:pPr>
      <w:bookmarkStart w:id="277" w:name="_Toc388974243"/>
      <w:bookmarkStart w:id="278" w:name="_Toc389060246"/>
      <w:r>
        <w:rPr>
          <w:rFonts w:ascii="Times New Roman" w:eastAsia="標楷體" w:hAnsi="Times New Roman"/>
          <w:sz w:val="28"/>
          <w:szCs w:val="28"/>
        </w:rPr>
        <w:t>總收入及有效總收入分析：</w:t>
      </w:r>
      <w:bookmarkEnd w:id="277"/>
      <w:bookmarkEnd w:id="278"/>
    </w:p>
    <w:p w:rsidR="0018444C" w:rsidRDefault="00980E38">
      <w:pPr>
        <w:pStyle w:val="DefaultText"/>
        <w:spacing w:before="40" w:after="40" w:line="440" w:lineRule="exact"/>
        <w:ind w:left="1890" w:firstLine="12"/>
        <w:jc w:val="both"/>
        <w:rPr>
          <w:rFonts w:ascii="Times New Roman" w:eastAsia="標楷體" w:hAnsi="Times New Roman"/>
          <w:sz w:val="24"/>
          <w:szCs w:val="24"/>
        </w:rPr>
      </w:pPr>
      <w:r>
        <w:rPr>
          <w:rFonts w:ascii="Times New Roman" w:eastAsia="標楷體" w:hAnsi="Times New Roman"/>
          <w:sz w:val="24"/>
          <w:szCs w:val="24"/>
        </w:rPr>
        <w:t>《注意須知》：應依當地租金或市場相似比較標的租金行情評估，並排除過高或過低之比較標的。</w:t>
      </w:r>
    </w:p>
    <w:p w:rsidR="0018444C" w:rsidRDefault="00980E38">
      <w:pPr>
        <w:pStyle w:val="CCISa"/>
        <w:numPr>
          <w:ilvl w:val="0"/>
          <w:numId w:val="43"/>
        </w:numPr>
        <w:tabs>
          <w:tab w:val="left" w:pos="46"/>
        </w:tabs>
        <w:spacing w:line="400" w:lineRule="exact"/>
        <w:ind w:left="1701"/>
        <w:rPr>
          <w:rFonts w:ascii="Times New Roman" w:eastAsia="標楷體" w:hAnsi="Times New Roman"/>
          <w:sz w:val="28"/>
          <w:szCs w:val="28"/>
        </w:rPr>
      </w:pPr>
      <w:bookmarkStart w:id="279" w:name="_Toc388974245"/>
      <w:bookmarkStart w:id="280" w:name="_Toc389060248"/>
      <w:r>
        <w:rPr>
          <w:rFonts w:ascii="Times New Roman" w:eastAsia="標楷體" w:hAnsi="Times New Roman"/>
          <w:sz w:val="28"/>
          <w:szCs w:val="28"/>
        </w:rPr>
        <w:t>合理市場租金評估：</w:t>
      </w:r>
      <w:bookmarkEnd w:id="279"/>
      <w:bookmarkEnd w:id="280"/>
    </w:p>
    <w:p w:rsidR="0018444C" w:rsidRDefault="00980E38">
      <w:pPr>
        <w:pStyle w:val="DefaultText"/>
        <w:spacing w:before="40" w:after="40" w:line="440" w:lineRule="exact"/>
        <w:ind w:left="1890" w:firstLine="12"/>
        <w:jc w:val="both"/>
        <w:rPr>
          <w:rFonts w:ascii="Times New Roman" w:eastAsia="標楷體" w:hAnsi="Times New Roman"/>
          <w:sz w:val="24"/>
          <w:szCs w:val="24"/>
        </w:rPr>
      </w:pPr>
      <w:r>
        <w:rPr>
          <w:rFonts w:ascii="Times New Roman" w:eastAsia="標楷體" w:hAnsi="Times New Roman"/>
          <w:sz w:val="24"/>
          <w:szCs w:val="24"/>
        </w:rPr>
        <w:t>《注意須知》合理市場租金，可採用租賃實例比較法或收益分析法評估之，比較標的選取應符合下列原則：</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應至少有兩個以上成交案例。但若情況特殊，無法取得上述案例時，應敘明理由。</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成交日期應以價格日期往前、後推算</w:t>
      </w:r>
      <w:proofErr w:type="gramStart"/>
      <w:r>
        <w:rPr>
          <w:rFonts w:ascii="Times New Roman" w:eastAsia="標楷體" w:hAnsi="Times New Roman"/>
          <w:sz w:val="24"/>
          <w:szCs w:val="24"/>
        </w:rPr>
        <w:t>一</w:t>
      </w:r>
      <w:proofErr w:type="gramEnd"/>
      <w:r>
        <w:rPr>
          <w:rFonts w:ascii="Times New Roman" w:eastAsia="標楷體" w:hAnsi="Times New Roman"/>
          <w:sz w:val="24"/>
          <w:szCs w:val="24"/>
        </w:rPr>
        <w:t>年內為原則。但若無成交日期距價格日期</w:t>
      </w:r>
      <w:proofErr w:type="gramStart"/>
      <w:r>
        <w:rPr>
          <w:rFonts w:ascii="Times New Roman" w:eastAsia="標楷體" w:hAnsi="Times New Roman"/>
          <w:sz w:val="24"/>
          <w:szCs w:val="24"/>
        </w:rPr>
        <w:t>一</w:t>
      </w:r>
      <w:proofErr w:type="gramEnd"/>
      <w:r>
        <w:rPr>
          <w:rFonts w:ascii="Times New Roman" w:eastAsia="標楷體" w:hAnsi="Times New Roman"/>
          <w:sz w:val="24"/>
          <w:szCs w:val="24"/>
        </w:rPr>
        <w:t>年內之比較案例，得放寬至一年以上，但應敘明理由。</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比較案例</w:t>
      </w:r>
      <w:proofErr w:type="gramStart"/>
      <w:r>
        <w:rPr>
          <w:rFonts w:ascii="Times New Roman" w:eastAsia="標楷體" w:hAnsi="Times New Roman"/>
          <w:sz w:val="24"/>
          <w:szCs w:val="24"/>
        </w:rPr>
        <w:t>屋齡應以</w:t>
      </w:r>
      <w:proofErr w:type="gramEnd"/>
      <w:r>
        <w:rPr>
          <w:rFonts w:ascii="Times New Roman" w:eastAsia="標楷體" w:hAnsi="Times New Roman"/>
          <w:sz w:val="24"/>
          <w:szCs w:val="24"/>
        </w:rPr>
        <w:t>五年內新成屋為原則，若無屋齡五年以內之比較案例，得放寬至五年以上，但應敘明理由。</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比較案例不得為工業住宅或其他違規使用之案例。</w:t>
      </w:r>
      <w:r>
        <w:rPr>
          <w:rFonts w:ascii="Times New Roman" w:eastAsia="標楷體" w:hAnsi="Times New Roman"/>
          <w:sz w:val="24"/>
          <w:szCs w:val="24"/>
        </w:rPr>
        <w:t xml:space="preserve"> </w:t>
      </w:r>
    </w:p>
    <w:p w:rsidR="0018444C" w:rsidRDefault="0018444C">
      <w:pPr>
        <w:pStyle w:val="DefaultText"/>
        <w:spacing w:before="40" w:after="40" w:line="440" w:lineRule="exact"/>
        <w:ind w:left="1560"/>
        <w:jc w:val="both"/>
        <w:rPr>
          <w:rFonts w:ascii="Times New Roman" w:eastAsia="標楷體" w:hAnsi="Times New Roman"/>
          <w:sz w:val="24"/>
          <w:szCs w:val="24"/>
        </w:rPr>
      </w:pPr>
    </w:p>
    <w:p w:rsidR="0018444C" w:rsidRDefault="00980E38">
      <w:pPr>
        <w:pStyle w:val="afff5"/>
        <w:pageBreakBefore/>
        <w:numPr>
          <w:ilvl w:val="0"/>
          <w:numId w:val="44"/>
        </w:numPr>
        <w:spacing w:line="260" w:lineRule="exact"/>
        <w:jc w:val="center"/>
        <w:rPr>
          <w:rFonts w:eastAsia="標楷體"/>
          <w:sz w:val="28"/>
        </w:rPr>
      </w:pPr>
      <w:bookmarkStart w:id="281" w:name="_Toc388974246"/>
      <w:bookmarkStart w:id="282" w:name="_Toc389060249"/>
      <w:r>
        <w:rPr>
          <w:rFonts w:eastAsia="標楷體"/>
          <w:sz w:val="28"/>
        </w:rPr>
        <w:lastRenderedPageBreak/>
        <w:t>比較標的租金條件表</w:t>
      </w:r>
      <w:bookmarkEnd w:id="281"/>
      <w:bookmarkEnd w:id="282"/>
    </w:p>
    <w:tbl>
      <w:tblPr>
        <w:tblW w:w="5000" w:type="pct"/>
        <w:jc w:val="right"/>
        <w:tblCellMar>
          <w:left w:w="10" w:type="dxa"/>
          <w:right w:w="10" w:type="dxa"/>
        </w:tblCellMar>
        <w:tblLook w:val="0000" w:firstRow="0" w:lastRow="0" w:firstColumn="0" w:lastColumn="0" w:noHBand="0" w:noVBand="0"/>
      </w:tblPr>
      <w:tblGrid>
        <w:gridCol w:w="1961"/>
        <w:gridCol w:w="2155"/>
        <w:gridCol w:w="2155"/>
        <w:gridCol w:w="1855"/>
        <w:gridCol w:w="2021"/>
      </w:tblGrid>
      <w:tr w:rsidR="0018444C">
        <w:trPr>
          <w:trHeight w:val="454"/>
          <w:jc w:val="right"/>
        </w:trPr>
        <w:tc>
          <w:tcPr>
            <w:tcW w:w="1944"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項目</w:t>
            </w:r>
          </w:p>
        </w:tc>
        <w:tc>
          <w:tcPr>
            <w:tcW w:w="213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roofErr w:type="gramStart"/>
            <w:r>
              <w:rPr>
                <w:rFonts w:ascii="Times New Roman" w:eastAsia="標楷體" w:hAnsi="Times New Roman"/>
                <w:sz w:val="22"/>
                <w:szCs w:val="22"/>
              </w:rPr>
              <w:t>勘估標</w:t>
            </w:r>
            <w:proofErr w:type="gramEnd"/>
            <w:r>
              <w:rPr>
                <w:rFonts w:ascii="Times New Roman" w:eastAsia="標楷體" w:hAnsi="Times New Roman"/>
                <w:sz w:val="22"/>
                <w:szCs w:val="22"/>
              </w:rPr>
              <w:t>的</w:t>
            </w:r>
          </w:p>
        </w:tc>
        <w:tc>
          <w:tcPr>
            <w:tcW w:w="213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r>
              <w:rPr>
                <w:rFonts w:ascii="Times New Roman" w:eastAsia="標楷體" w:hAnsi="Times New Roman"/>
                <w:sz w:val="22"/>
                <w:szCs w:val="22"/>
              </w:rPr>
              <w:t>比較標的</w:t>
            </w:r>
            <w:proofErr w:type="gramStart"/>
            <w:r>
              <w:rPr>
                <w:rFonts w:ascii="Times New Roman" w:eastAsia="標楷體" w:hAnsi="Times New Roman"/>
                <w:sz w:val="22"/>
                <w:szCs w:val="22"/>
              </w:rPr>
              <w:t>一</w:t>
            </w:r>
            <w:proofErr w:type="gramEnd"/>
          </w:p>
        </w:tc>
        <w:tc>
          <w:tcPr>
            <w:tcW w:w="183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r>
              <w:rPr>
                <w:rFonts w:ascii="Times New Roman" w:eastAsia="標楷體" w:hAnsi="Times New Roman"/>
                <w:sz w:val="22"/>
                <w:szCs w:val="22"/>
              </w:rPr>
              <w:t>比較標的二</w:t>
            </w:r>
          </w:p>
        </w:tc>
        <w:tc>
          <w:tcPr>
            <w:tcW w:w="2004"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r>
              <w:rPr>
                <w:rFonts w:ascii="Times New Roman" w:eastAsia="標楷體" w:hAnsi="Times New Roman"/>
                <w:sz w:val="22"/>
                <w:szCs w:val="22"/>
              </w:rPr>
              <w:t>比較標的三</w:t>
            </w: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地址</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交易型態</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月租金總價</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車位租金</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其他租金</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總面積</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建物面積</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車位面積</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其他面積</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租金單價</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價格日期</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勘察日期</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使用用途</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建築總樓層</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比較標的樓層</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屋齡</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pPr>
            <w:r>
              <w:rPr>
                <w:rFonts w:ascii="Times New Roman" w:eastAsia="標楷體" w:hAnsi="Times New Roman"/>
                <w:bCs/>
                <w:sz w:val="22"/>
                <w:szCs w:val="22"/>
              </w:rPr>
              <w:t>建築結構</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bCs/>
                <w:sz w:val="22"/>
                <w:szCs w:val="22"/>
              </w:rPr>
            </w:pPr>
            <w:r>
              <w:rPr>
                <w:rFonts w:ascii="Times New Roman" w:eastAsia="標楷體" w:hAnsi="Times New Roman"/>
                <w:bCs/>
                <w:sz w:val="22"/>
                <w:szCs w:val="22"/>
              </w:rPr>
              <w:t>公設比</w:t>
            </w:r>
            <w:r>
              <w:rPr>
                <w:rFonts w:ascii="Times New Roman" w:eastAsia="標楷體" w:hAnsi="Times New Roman"/>
                <w:bCs/>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proofErr w:type="gramStart"/>
            <w:r>
              <w:rPr>
                <w:rFonts w:ascii="Times New Roman" w:eastAsia="標楷體" w:hAnsi="Times New Roman"/>
                <w:sz w:val="22"/>
                <w:szCs w:val="22"/>
              </w:rPr>
              <w:t>雨遮或騎樓</w:t>
            </w:r>
            <w:proofErr w:type="gramEnd"/>
            <w:r>
              <w:rPr>
                <w:rFonts w:ascii="Times New Roman" w:eastAsia="標楷體" w:hAnsi="Times New Roman"/>
                <w:sz w:val="22"/>
                <w:szCs w:val="22"/>
              </w:rPr>
              <w:t>比</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proofErr w:type="gramStart"/>
            <w:r>
              <w:rPr>
                <w:rFonts w:ascii="Times New Roman" w:eastAsia="標楷體" w:hAnsi="Times New Roman"/>
                <w:sz w:val="22"/>
                <w:szCs w:val="22"/>
              </w:rPr>
              <w:t>臨路寬度</w:t>
            </w:r>
            <w:proofErr w:type="gramEnd"/>
            <w:r>
              <w:rPr>
                <w:rFonts w:ascii="Times New Roman" w:eastAsia="標楷體" w:hAnsi="Times New Roman"/>
                <w:sz w:val="22"/>
                <w:szCs w:val="22"/>
              </w:rPr>
              <w:t>(M)</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道路種別</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交通條件</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公共條件</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r0"/>
              <w:spacing w:before="96" w:after="96"/>
              <w:jc w:val="both"/>
              <w:rPr>
                <w:rFonts w:ascii="Times New Roman" w:eastAsia="標楷體" w:hAnsi="Times New Roman"/>
                <w:sz w:val="22"/>
                <w:szCs w:val="22"/>
              </w:rPr>
            </w:pPr>
            <w:r>
              <w:rPr>
                <w:rFonts w:ascii="Times New Roman" w:eastAsia="標楷體" w:hAnsi="Times New Roman"/>
                <w:sz w:val="22"/>
                <w:szCs w:val="22"/>
              </w:rPr>
              <w:t>整體條件</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r0"/>
              <w:spacing w:before="96" w:after="96"/>
              <w:jc w:val="both"/>
              <w:rPr>
                <w:rFonts w:ascii="Times New Roman" w:eastAsia="標楷體" w:hAnsi="Times New Roman"/>
                <w:sz w:val="22"/>
                <w:szCs w:val="22"/>
              </w:rPr>
            </w:pPr>
            <w:r>
              <w:rPr>
                <w:rFonts w:ascii="Times New Roman" w:eastAsia="標楷體" w:hAnsi="Times New Roman"/>
                <w:sz w:val="22"/>
                <w:szCs w:val="22"/>
              </w:rPr>
              <w:t>議價空間</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844"/>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r0"/>
              <w:spacing w:before="96" w:after="96"/>
              <w:jc w:val="both"/>
              <w:rPr>
                <w:rFonts w:ascii="Times New Roman" w:eastAsia="標楷體" w:hAnsi="Times New Roman"/>
                <w:sz w:val="22"/>
                <w:szCs w:val="22"/>
              </w:rPr>
            </w:pPr>
            <w:r>
              <w:rPr>
                <w:rFonts w:ascii="Times New Roman" w:eastAsia="標楷體" w:hAnsi="Times New Roman"/>
                <w:sz w:val="22"/>
                <w:szCs w:val="22"/>
              </w:rPr>
              <w:t>預估可能成交價格</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p w:rsidR="0018444C" w:rsidRDefault="0018444C">
            <w:pPr>
              <w:pStyle w:val="r0"/>
              <w:spacing w:before="96" w:after="96"/>
              <w:jc w:val="both"/>
              <w:rPr>
                <w:rFonts w:ascii="Times New Roman" w:eastAsia="標楷體" w:hAnsi="Times New Roman"/>
                <w:sz w:val="22"/>
                <w:szCs w:val="22"/>
              </w:rPr>
            </w:pPr>
          </w:p>
          <w:p w:rsidR="0018444C" w:rsidRDefault="0018444C">
            <w:pPr>
              <w:pStyle w:val="r0"/>
              <w:spacing w:before="96" w:after="96"/>
              <w:jc w:val="both"/>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r0"/>
              <w:spacing w:before="96" w:after="96"/>
              <w:jc w:val="both"/>
              <w:rPr>
                <w:rFonts w:ascii="Times New Roman" w:eastAsia="標楷體" w:hAnsi="Times New Roman"/>
                <w:sz w:val="22"/>
                <w:szCs w:val="22"/>
              </w:rPr>
            </w:pPr>
            <w:r>
              <w:rPr>
                <w:rFonts w:ascii="Times New Roman" w:eastAsia="標楷體" w:hAnsi="Times New Roman"/>
                <w:sz w:val="22"/>
                <w:szCs w:val="22"/>
              </w:rPr>
              <w:t>資料來源</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r0"/>
              <w:spacing w:before="96" w:after="96"/>
              <w:jc w:val="both"/>
              <w:rPr>
                <w:rFonts w:ascii="Times New Roman" w:eastAsia="標楷體" w:hAnsi="Times New Roman"/>
                <w:sz w:val="22"/>
                <w:szCs w:val="22"/>
              </w:rPr>
            </w:pPr>
            <w:r>
              <w:rPr>
                <w:rFonts w:ascii="Times New Roman" w:eastAsia="標楷體" w:hAnsi="Times New Roman"/>
                <w:sz w:val="22"/>
                <w:szCs w:val="22"/>
              </w:rPr>
              <w:t>備註</w:t>
            </w:r>
          </w:p>
        </w:tc>
        <w:tc>
          <w:tcPr>
            <w:tcW w:w="2137"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bl>
    <w:p w:rsidR="0018444C" w:rsidRDefault="00980E38">
      <w:pPr>
        <w:pStyle w:val="Default"/>
        <w:rPr>
          <w:rFonts w:ascii="Times New Roman" w:eastAsia="標楷體" w:hAnsi="Times New Roman" w:cs="Times New Roman"/>
        </w:rPr>
      </w:pPr>
      <w:r>
        <w:rPr>
          <w:rFonts w:ascii="Times New Roman" w:eastAsia="標楷體" w:hAnsi="Times New Roman" w:cs="Times New Roman"/>
        </w:rPr>
        <w:t>《注意須知》：</w:t>
      </w:r>
    </w:p>
    <w:p w:rsidR="0018444C" w:rsidRDefault="00980E38">
      <w:pPr>
        <w:pStyle w:val="Default"/>
        <w:numPr>
          <w:ilvl w:val="0"/>
          <w:numId w:val="45"/>
        </w:numPr>
      </w:pPr>
      <w:r>
        <w:rPr>
          <w:rFonts w:ascii="Times New Roman" w:eastAsia="標楷體" w:hAnsi="Times New Roman" w:cs="Times New Roman"/>
        </w:rPr>
        <w:t>上表填載項目可視</w:t>
      </w:r>
      <w:r>
        <w:rPr>
          <w:rFonts w:ascii="Times New Roman" w:eastAsia="標楷體" w:hAnsi="Times New Roman" w:cs="Times New Roman"/>
          <w:bCs/>
        </w:rPr>
        <w:t>實際影響價格情形增減</w:t>
      </w:r>
      <w:r>
        <w:rPr>
          <w:rFonts w:ascii="Times New Roman" w:eastAsia="標楷體" w:hAnsi="Times New Roman" w:cs="Times New Roman"/>
        </w:rPr>
        <w:t>調整</w:t>
      </w:r>
      <w:r>
        <w:rPr>
          <w:rFonts w:ascii="Times New Roman" w:eastAsia="標楷體" w:hAnsi="Times New Roman" w:cs="Times New Roman"/>
          <w:bCs/>
        </w:rPr>
        <w:t>，無特殊原因必須刪除者皆應填載。</w:t>
      </w:r>
    </w:p>
    <w:p w:rsidR="0018444C" w:rsidRDefault="00980E38">
      <w:pPr>
        <w:pStyle w:val="afff5"/>
        <w:numPr>
          <w:ilvl w:val="0"/>
          <w:numId w:val="45"/>
        </w:numPr>
        <w:suppressAutoHyphens w:val="0"/>
        <w:textAlignment w:val="auto"/>
        <w:rPr>
          <w:rFonts w:eastAsia="標楷體"/>
          <w:sz w:val="24"/>
          <w:szCs w:val="24"/>
        </w:rPr>
      </w:pPr>
      <w:r>
        <w:rPr>
          <w:rFonts w:eastAsia="標楷體"/>
          <w:sz w:val="24"/>
          <w:szCs w:val="24"/>
        </w:rPr>
        <w:t>其他租金及其他面積請於備註說明，如夾層、</w:t>
      </w:r>
      <w:r>
        <w:rPr>
          <w:rFonts w:eastAsia="標楷體"/>
          <w:sz w:val="24"/>
          <w:szCs w:val="24"/>
        </w:rPr>
        <w:t>2</w:t>
      </w:r>
      <w:r>
        <w:rPr>
          <w:rFonts w:eastAsia="標楷體"/>
          <w:sz w:val="24"/>
          <w:szCs w:val="24"/>
        </w:rPr>
        <w:t>樓、地下室</w:t>
      </w:r>
      <w:proofErr w:type="gramStart"/>
      <w:r>
        <w:rPr>
          <w:rFonts w:eastAsia="標楷體"/>
          <w:sz w:val="24"/>
          <w:szCs w:val="24"/>
        </w:rPr>
        <w:t>拆算</w:t>
      </w:r>
      <w:proofErr w:type="gramEnd"/>
      <w:r>
        <w:rPr>
          <w:rFonts w:eastAsia="標楷體"/>
          <w:sz w:val="24"/>
          <w:szCs w:val="24"/>
        </w:rPr>
        <w:t>或其他，並說明</w:t>
      </w:r>
      <w:proofErr w:type="gramStart"/>
      <w:r>
        <w:rPr>
          <w:rFonts w:eastAsia="標楷體"/>
          <w:sz w:val="24"/>
          <w:szCs w:val="24"/>
        </w:rPr>
        <w:t>拆算</w:t>
      </w:r>
      <w:proofErr w:type="gramEnd"/>
      <w:r>
        <w:rPr>
          <w:rFonts w:eastAsia="標楷體"/>
          <w:sz w:val="24"/>
          <w:szCs w:val="24"/>
        </w:rPr>
        <w:t>依據及方式。</w:t>
      </w:r>
      <w:r>
        <w:rPr>
          <w:rFonts w:eastAsia="標楷體"/>
          <w:sz w:val="24"/>
          <w:szCs w:val="24"/>
        </w:rPr>
        <w:t xml:space="preserve"> </w:t>
      </w:r>
    </w:p>
    <w:p w:rsidR="0018444C" w:rsidRDefault="00980E38">
      <w:pPr>
        <w:pStyle w:val="afff5"/>
        <w:pageBreakBefore/>
        <w:numPr>
          <w:ilvl w:val="0"/>
          <w:numId w:val="44"/>
        </w:numPr>
        <w:spacing w:line="260" w:lineRule="exact"/>
        <w:jc w:val="center"/>
        <w:rPr>
          <w:rFonts w:eastAsia="標楷體"/>
          <w:sz w:val="28"/>
        </w:rPr>
      </w:pPr>
      <w:proofErr w:type="gramStart"/>
      <w:r>
        <w:rPr>
          <w:rFonts w:eastAsia="標楷體"/>
          <w:sz w:val="28"/>
        </w:rPr>
        <w:lastRenderedPageBreak/>
        <w:t>勘估標</w:t>
      </w:r>
      <w:proofErr w:type="gramEnd"/>
      <w:r>
        <w:rPr>
          <w:rFonts w:eastAsia="標楷體"/>
          <w:sz w:val="28"/>
        </w:rPr>
        <w:t>的與比較標的區域因素比較表</w:t>
      </w:r>
    </w:p>
    <w:tbl>
      <w:tblPr>
        <w:tblW w:w="9939" w:type="dxa"/>
        <w:jc w:val="center"/>
        <w:tblCellMar>
          <w:left w:w="10" w:type="dxa"/>
          <w:right w:w="10" w:type="dxa"/>
        </w:tblCellMar>
        <w:tblLook w:val="0000" w:firstRow="0" w:lastRow="0" w:firstColumn="0" w:lastColumn="0" w:noHBand="0" w:noVBand="0"/>
      </w:tblPr>
      <w:tblGrid>
        <w:gridCol w:w="661"/>
        <w:gridCol w:w="2488"/>
        <w:gridCol w:w="1262"/>
        <w:gridCol w:w="1134"/>
        <w:gridCol w:w="709"/>
        <w:gridCol w:w="1134"/>
        <w:gridCol w:w="708"/>
        <w:gridCol w:w="1134"/>
        <w:gridCol w:w="709"/>
      </w:tblGrid>
      <w:tr w:rsidR="0018444C">
        <w:trPr>
          <w:cantSplit/>
          <w:trHeight w:val="452"/>
          <w:jc w:val="center"/>
        </w:trPr>
        <w:tc>
          <w:tcPr>
            <w:tcW w:w="661"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主要項目</w:t>
            </w:r>
          </w:p>
        </w:tc>
        <w:tc>
          <w:tcPr>
            <w:tcW w:w="248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次要項目</w:t>
            </w:r>
          </w:p>
        </w:tc>
        <w:tc>
          <w:tcPr>
            <w:tcW w:w="126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proofErr w:type="gramStart"/>
            <w:r>
              <w:rPr>
                <w:rFonts w:ascii="Times New Roman" w:eastAsia="標楷體" w:hAnsi="Times New Roman"/>
                <w:sz w:val="22"/>
              </w:rPr>
              <w:t>勘</w:t>
            </w:r>
            <w:proofErr w:type="gramEnd"/>
            <w:r>
              <w:rPr>
                <w:rFonts w:ascii="Times New Roman" w:eastAsia="標楷體" w:hAnsi="Times New Roman"/>
                <w:sz w:val="22"/>
              </w:rPr>
              <w:t>估建物</w:t>
            </w:r>
          </w:p>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比</w:t>
            </w:r>
            <w:proofErr w:type="gramStart"/>
            <w:r>
              <w:rPr>
                <w:rFonts w:ascii="Times New Roman" w:eastAsia="標楷體" w:hAnsi="Times New Roman"/>
                <w:sz w:val="22"/>
              </w:rPr>
              <w:t>準</w:t>
            </w:r>
            <w:proofErr w:type="gramEnd"/>
            <w:r>
              <w:rPr>
                <w:rFonts w:ascii="Times New Roman" w:eastAsia="標楷體" w:hAnsi="Times New Roman"/>
                <w:sz w:val="22"/>
              </w:rPr>
              <w:t>單元</w:t>
            </w:r>
            <w:r>
              <w:rPr>
                <w:rFonts w:ascii="Times New Roman" w:eastAsia="標楷體" w:hAnsi="Times New Roman"/>
                <w:sz w:val="22"/>
              </w:rPr>
              <w:t>)</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w:t>
            </w:r>
            <w:proofErr w:type="gramStart"/>
            <w:r>
              <w:rPr>
                <w:rFonts w:ascii="Times New Roman" w:eastAsia="標楷體" w:hAnsi="Times New Roman"/>
                <w:sz w:val="22"/>
              </w:rPr>
              <w:t>一</w:t>
            </w:r>
            <w:proofErr w:type="gramEnd"/>
          </w:p>
        </w:tc>
        <w:tc>
          <w:tcPr>
            <w:tcW w:w="70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比較標的二</w:t>
            </w:r>
          </w:p>
        </w:tc>
        <w:tc>
          <w:tcPr>
            <w:tcW w:w="70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比較標的三</w:t>
            </w:r>
          </w:p>
        </w:tc>
        <w:tc>
          <w:tcPr>
            <w:tcW w:w="709"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r>
      <w:tr w:rsidR="0018444C">
        <w:trPr>
          <w:cantSplit/>
          <w:trHeight w:val="289"/>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道路條件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pPr>
            <w:r>
              <w:rPr>
                <w:rFonts w:ascii="Times New Roman" w:eastAsia="標楷體" w:hAnsi="Times New Roman"/>
                <w:sz w:val="22"/>
              </w:rPr>
              <w:t>區域主要道路寬度</w:t>
            </w:r>
            <w:r>
              <w:rPr>
                <w:rFonts w:ascii="Times New Roman" w:eastAsia="標楷體" w:hAnsi="Times New Roman"/>
                <w:bCs/>
                <w:sz w:val="22"/>
              </w:rPr>
              <w:t>(M)</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道路系統及連續性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人車動線規畫及道路配置</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交通運輸條件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客運、公車便利性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鐵路運輸便利性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國道或快速道路便利性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65"/>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停車便利性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環境條件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商業活動強度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ind w:left="113" w:right="113"/>
              <w:jc w:val="cente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土地利用成熟度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古蹟、觀光遊憩設施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服務性設施</w:t>
            </w:r>
            <w:r>
              <w:rPr>
                <w:rFonts w:ascii="Times New Roman" w:eastAsia="標楷體" w:hAnsi="Times New Roman"/>
                <w:sz w:val="22"/>
              </w:rPr>
              <w:t>(</w:t>
            </w:r>
            <w:r>
              <w:rPr>
                <w:rFonts w:ascii="Times New Roman" w:eastAsia="標楷體" w:hAnsi="Times New Roman"/>
                <w:sz w:val="22"/>
              </w:rPr>
              <w:t>郵局</w:t>
            </w:r>
            <w:r>
              <w:rPr>
                <w:rFonts w:ascii="Times New Roman" w:eastAsia="標楷體" w:hAnsi="Times New Roman"/>
                <w:sz w:val="22"/>
              </w:rPr>
              <w:t>.</w:t>
            </w:r>
            <w:r>
              <w:rPr>
                <w:rFonts w:ascii="Times New Roman" w:eastAsia="標楷體" w:hAnsi="Times New Roman"/>
                <w:sz w:val="22"/>
              </w:rPr>
              <w:t>銀行</w:t>
            </w:r>
            <w:r>
              <w:rPr>
                <w:rFonts w:ascii="Times New Roman" w:eastAsia="標楷體" w:hAnsi="Times New Roman"/>
                <w:sz w:val="22"/>
              </w:rPr>
              <w:t>.</w:t>
            </w:r>
            <w:r>
              <w:rPr>
                <w:rFonts w:ascii="Times New Roman" w:eastAsia="標楷體" w:hAnsi="Times New Roman"/>
                <w:sz w:val="22"/>
              </w:rPr>
              <w:t>醫院</w:t>
            </w:r>
            <w:r>
              <w:rPr>
                <w:rFonts w:ascii="Times New Roman" w:eastAsia="標楷體" w:hAnsi="Times New Roman"/>
                <w:sz w:val="22"/>
              </w:rPr>
              <w:t>.</w:t>
            </w:r>
            <w:r>
              <w:rPr>
                <w:rFonts w:ascii="Times New Roman" w:eastAsia="標楷體" w:hAnsi="Times New Roman"/>
                <w:sz w:val="22"/>
              </w:rPr>
              <w:t>機關等設施</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學校</w:t>
            </w:r>
            <w:r>
              <w:rPr>
                <w:rFonts w:ascii="Times New Roman" w:eastAsia="標楷體" w:hAnsi="Times New Roman"/>
                <w:sz w:val="22"/>
              </w:rPr>
              <w:t>(</w:t>
            </w:r>
            <w:r>
              <w:rPr>
                <w:rFonts w:ascii="Times New Roman" w:eastAsia="標楷體" w:hAnsi="Times New Roman"/>
                <w:sz w:val="22"/>
              </w:rPr>
              <w:t>國小、國中、高中、大專院校</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w:t>
            </w:r>
            <w:r>
              <w:rPr>
                <w:rFonts w:ascii="Times New Roman" w:eastAsia="標楷體" w:hAnsi="Times New Roman"/>
                <w:sz w:val="22"/>
              </w:rPr>
              <w:t>(</w:t>
            </w:r>
            <w:r>
              <w:rPr>
                <w:rFonts w:ascii="Times New Roman" w:eastAsia="標楷體" w:hAnsi="Times New Roman"/>
                <w:sz w:val="22"/>
              </w:rPr>
              <w:t>傳統市場、超級市場、超大型購物中心</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廣場、公園、綠地</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嫌惡設施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排水之良否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自然條件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地勢坡度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災害影響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使用分區</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rPr>
            </w:pPr>
            <w:r>
              <w:rPr>
                <w:rFonts w:ascii="Times New Roman" w:eastAsia="標楷體" w:hAnsi="Times New Roman"/>
              </w:rPr>
              <w:t>行政條件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建築或用途管制</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其他</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市場供需情況</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其他</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重大建設影響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未來發展趨勢</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3149"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26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bl>
    <w:p w:rsidR="0018444C" w:rsidRDefault="00980E38">
      <w:pPr>
        <w:pStyle w:val="DefaultText"/>
        <w:spacing w:before="40" w:after="40" w:line="440" w:lineRule="exact"/>
        <w:jc w:val="both"/>
      </w:pPr>
      <w:r>
        <w:rPr>
          <w:rFonts w:ascii="Times New Roman" w:eastAsia="標楷體" w:hAnsi="Times New Roman"/>
          <w:sz w:val="24"/>
          <w:szCs w:val="24"/>
        </w:rPr>
        <w:t>《注意須知》：參見前述「開發後總銷售金額評估」之《注意須知》內容。</w:t>
      </w:r>
    </w:p>
    <w:p w:rsidR="0018444C" w:rsidRDefault="00980E38">
      <w:pPr>
        <w:pStyle w:val="afff5"/>
        <w:pageBreakBefore/>
        <w:numPr>
          <w:ilvl w:val="0"/>
          <w:numId w:val="44"/>
        </w:numPr>
        <w:spacing w:line="260" w:lineRule="exact"/>
        <w:jc w:val="center"/>
        <w:rPr>
          <w:rFonts w:eastAsia="標楷體"/>
          <w:sz w:val="28"/>
        </w:rPr>
      </w:pPr>
      <w:proofErr w:type="gramStart"/>
      <w:r>
        <w:rPr>
          <w:rFonts w:eastAsia="標楷體"/>
          <w:sz w:val="28"/>
        </w:rPr>
        <w:lastRenderedPageBreak/>
        <w:t>勘估標</w:t>
      </w:r>
      <w:proofErr w:type="gramEnd"/>
      <w:r>
        <w:rPr>
          <w:rFonts w:eastAsia="標楷體"/>
          <w:sz w:val="28"/>
        </w:rPr>
        <w:t>的與比較標的個別因素比較表</w:t>
      </w:r>
    </w:p>
    <w:p w:rsidR="0018444C" w:rsidRDefault="0018444C">
      <w:pPr>
        <w:rPr>
          <w:rFonts w:ascii="Times New Roman" w:eastAsia="標楷體" w:hAnsi="Times New Roman"/>
        </w:rPr>
      </w:pPr>
    </w:p>
    <w:p w:rsidR="0018444C" w:rsidRDefault="0018444C">
      <w:pPr>
        <w:jc w:val="center"/>
        <w:rPr>
          <w:rFonts w:ascii="Times New Roman" w:eastAsia="標楷體" w:hAnsi="Times New Roman"/>
        </w:rPr>
      </w:pPr>
    </w:p>
    <w:p w:rsidR="0018444C" w:rsidRDefault="00980E38">
      <w:pPr>
        <w:jc w:val="center"/>
      </w:pPr>
      <w:r>
        <w:rPr>
          <w:rFonts w:ascii="Times New Roman" w:eastAsia="標楷體" w:hAnsi="Times New Roman"/>
          <w:szCs w:val="24"/>
        </w:rPr>
        <w:t>《</w:t>
      </w:r>
      <w:r>
        <w:rPr>
          <w:rFonts w:ascii="Times New Roman" w:eastAsia="標楷體" w:hAnsi="Times New Roman"/>
        </w:rPr>
        <w:t>注意須知》：</w:t>
      </w:r>
      <w:r>
        <w:rPr>
          <w:rFonts w:ascii="Times New Roman" w:eastAsia="標楷體" w:hAnsi="Times New Roman"/>
          <w:szCs w:val="24"/>
        </w:rPr>
        <w:t>參見前述「開發後總銷售金額評估」之《注意須知》內容。</w:t>
      </w:r>
    </w:p>
    <w:p w:rsidR="0018444C" w:rsidRDefault="0018444C">
      <w:pPr>
        <w:jc w:val="center"/>
        <w:rPr>
          <w:rFonts w:ascii="Times New Roman" w:eastAsia="標楷體" w:hAnsi="Times New Roman"/>
        </w:rPr>
      </w:pPr>
    </w:p>
    <w:tbl>
      <w:tblPr>
        <w:tblW w:w="9939" w:type="dxa"/>
        <w:tblCellMar>
          <w:left w:w="10" w:type="dxa"/>
          <w:right w:w="10" w:type="dxa"/>
        </w:tblCellMar>
        <w:tblLook w:val="0000" w:firstRow="0" w:lastRow="0" w:firstColumn="0" w:lastColumn="0" w:noHBand="0" w:noVBand="0"/>
      </w:tblPr>
      <w:tblGrid>
        <w:gridCol w:w="661"/>
        <w:gridCol w:w="2488"/>
        <w:gridCol w:w="1262"/>
        <w:gridCol w:w="1134"/>
        <w:gridCol w:w="709"/>
        <w:gridCol w:w="1134"/>
        <w:gridCol w:w="708"/>
        <w:gridCol w:w="1134"/>
        <w:gridCol w:w="709"/>
      </w:tblGrid>
      <w:tr w:rsidR="0018444C">
        <w:trPr>
          <w:cantSplit/>
          <w:trHeight w:val="452"/>
        </w:trPr>
        <w:tc>
          <w:tcPr>
            <w:tcW w:w="661"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主要項目</w:t>
            </w:r>
          </w:p>
        </w:tc>
        <w:tc>
          <w:tcPr>
            <w:tcW w:w="248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次要項目</w:t>
            </w:r>
          </w:p>
        </w:tc>
        <w:tc>
          <w:tcPr>
            <w:tcW w:w="126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proofErr w:type="gramStart"/>
            <w:r>
              <w:rPr>
                <w:rFonts w:ascii="Times New Roman" w:eastAsia="標楷體" w:hAnsi="Times New Roman"/>
                <w:sz w:val="22"/>
              </w:rPr>
              <w:t>勘</w:t>
            </w:r>
            <w:proofErr w:type="gramEnd"/>
            <w:r>
              <w:rPr>
                <w:rFonts w:ascii="Times New Roman" w:eastAsia="標楷體" w:hAnsi="Times New Roman"/>
                <w:sz w:val="22"/>
              </w:rPr>
              <w:t>估建物</w:t>
            </w:r>
          </w:p>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比</w:t>
            </w:r>
            <w:proofErr w:type="gramStart"/>
            <w:r>
              <w:rPr>
                <w:rFonts w:ascii="Times New Roman" w:eastAsia="標楷體" w:hAnsi="Times New Roman"/>
                <w:sz w:val="22"/>
              </w:rPr>
              <w:t>準</w:t>
            </w:r>
            <w:proofErr w:type="gramEnd"/>
            <w:r>
              <w:rPr>
                <w:rFonts w:ascii="Times New Roman" w:eastAsia="標楷體" w:hAnsi="Times New Roman"/>
                <w:sz w:val="22"/>
              </w:rPr>
              <w:t>單元</w:t>
            </w:r>
            <w:r>
              <w:rPr>
                <w:rFonts w:ascii="Times New Roman" w:eastAsia="標楷體" w:hAnsi="Times New Roman"/>
                <w:sz w:val="22"/>
              </w:rPr>
              <w:t>)</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w:t>
            </w:r>
            <w:proofErr w:type="gramStart"/>
            <w:r>
              <w:rPr>
                <w:rFonts w:ascii="Times New Roman" w:eastAsia="標楷體" w:hAnsi="Times New Roman"/>
                <w:sz w:val="22"/>
              </w:rPr>
              <w:t>一</w:t>
            </w:r>
            <w:proofErr w:type="gramEnd"/>
          </w:p>
        </w:tc>
        <w:tc>
          <w:tcPr>
            <w:tcW w:w="70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比較標的二</w:t>
            </w:r>
          </w:p>
        </w:tc>
        <w:tc>
          <w:tcPr>
            <w:tcW w:w="70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比較標的三</w:t>
            </w:r>
          </w:p>
        </w:tc>
        <w:tc>
          <w:tcPr>
            <w:tcW w:w="709"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r>
      <w:tr w:rsidR="0018444C">
        <w:trPr>
          <w:cantSplit/>
          <w:trHeight w:val="289"/>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道路條件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pPr>
            <w:r>
              <w:rPr>
                <w:rFonts w:ascii="Times New Roman" w:eastAsia="標楷體" w:hAnsi="Times New Roman"/>
                <w:sz w:val="22"/>
              </w:rPr>
              <w:t>區域主要道路寬度</w:t>
            </w:r>
            <w:r>
              <w:rPr>
                <w:rFonts w:ascii="Times New Roman" w:eastAsia="標楷體" w:hAnsi="Times New Roman"/>
                <w:bCs/>
                <w:sz w:val="22"/>
              </w:rPr>
              <w:t>(M)</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道路系統及連續性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人車動線規畫及道路配置</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交通運輸條件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客運、公車便利性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鐵路運輸便利性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國道或快速道路便利性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65"/>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停車便利性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環境條件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商業活動強度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ind w:left="113" w:right="113"/>
              <w:jc w:val="cente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土地利用成熟度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古蹟、觀光遊憩設施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服務性設施</w:t>
            </w:r>
            <w:r>
              <w:rPr>
                <w:rFonts w:ascii="Times New Roman" w:eastAsia="標楷體" w:hAnsi="Times New Roman"/>
                <w:sz w:val="22"/>
              </w:rPr>
              <w:t>(</w:t>
            </w:r>
            <w:r>
              <w:rPr>
                <w:rFonts w:ascii="Times New Roman" w:eastAsia="標楷體" w:hAnsi="Times New Roman"/>
                <w:sz w:val="22"/>
              </w:rPr>
              <w:t>郵局</w:t>
            </w:r>
            <w:r>
              <w:rPr>
                <w:rFonts w:ascii="Times New Roman" w:eastAsia="標楷體" w:hAnsi="Times New Roman"/>
                <w:sz w:val="22"/>
              </w:rPr>
              <w:t>.</w:t>
            </w:r>
            <w:r>
              <w:rPr>
                <w:rFonts w:ascii="Times New Roman" w:eastAsia="標楷體" w:hAnsi="Times New Roman"/>
                <w:sz w:val="22"/>
              </w:rPr>
              <w:t>銀行</w:t>
            </w:r>
            <w:r>
              <w:rPr>
                <w:rFonts w:ascii="Times New Roman" w:eastAsia="標楷體" w:hAnsi="Times New Roman"/>
                <w:sz w:val="22"/>
              </w:rPr>
              <w:t>.</w:t>
            </w:r>
            <w:r>
              <w:rPr>
                <w:rFonts w:ascii="Times New Roman" w:eastAsia="標楷體" w:hAnsi="Times New Roman"/>
                <w:sz w:val="22"/>
              </w:rPr>
              <w:t>醫院</w:t>
            </w:r>
            <w:r>
              <w:rPr>
                <w:rFonts w:ascii="Times New Roman" w:eastAsia="標楷體" w:hAnsi="Times New Roman"/>
                <w:sz w:val="22"/>
              </w:rPr>
              <w:t>.</w:t>
            </w:r>
            <w:r>
              <w:rPr>
                <w:rFonts w:ascii="Times New Roman" w:eastAsia="標楷體" w:hAnsi="Times New Roman"/>
                <w:sz w:val="22"/>
              </w:rPr>
              <w:t>機關等設施</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學校</w:t>
            </w:r>
            <w:r>
              <w:rPr>
                <w:rFonts w:ascii="Times New Roman" w:eastAsia="標楷體" w:hAnsi="Times New Roman"/>
                <w:sz w:val="22"/>
              </w:rPr>
              <w:t>(</w:t>
            </w:r>
            <w:r>
              <w:rPr>
                <w:rFonts w:ascii="Times New Roman" w:eastAsia="標楷體" w:hAnsi="Times New Roman"/>
                <w:sz w:val="22"/>
              </w:rPr>
              <w:t>國小、國中、高中、大專院校</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w:t>
            </w:r>
            <w:r>
              <w:rPr>
                <w:rFonts w:ascii="Times New Roman" w:eastAsia="標楷體" w:hAnsi="Times New Roman"/>
                <w:sz w:val="22"/>
              </w:rPr>
              <w:t>(</w:t>
            </w:r>
            <w:r>
              <w:rPr>
                <w:rFonts w:ascii="Times New Roman" w:eastAsia="標楷體" w:hAnsi="Times New Roman"/>
                <w:sz w:val="22"/>
              </w:rPr>
              <w:t>傳統市場、超級市場、超大型購物中心</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廣場、公園、綠地</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嫌惡設施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排水之良否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自然條件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地勢坡度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災害影響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使用分區</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rPr>
            </w:pPr>
            <w:r>
              <w:rPr>
                <w:rFonts w:ascii="Times New Roman" w:eastAsia="標楷體" w:hAnsi="Times New Roman"/>
              </w:rPr>
              <w:t>行政條件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建築或用途管制</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其他</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市場供需情況</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其他</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重大建設影響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未來發展趨勢</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3149"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26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bl>
    <w:p w:rsidR="0018444C" w:rsidRDefault="0018444C">
      <w:pPr>
        <w:pStyle w:val="DefaultText"/>
        <w:spacing w:line="300" w:lineRule="exact"/>
        <w:jc w:val="center"/>
        <w:rPr>
          <w:rFonts w:ascii="Times New Roman" w:eastAsia="標楷體" w:hAnsi="Times New Roman"/>
          <w:sz w:val="24"/>
        </w:rPr>
      </w:pPr>
    </w:p>
    <w:p w:rsidR="0018444C" w:rsidRDefault="0018444C">
      <w:pPr>
        <w:pageBreakBefore/>
        <w:widowControl/>
        <w:suppressAutoHyphens w:val="0"/>
      </w:pPr>
    </w:p>
    <w:p w:rsidR="0018444C" w:rsidRDefault="00980E38">
      <w:pPr>
        <w:pStyle w:val="DefaultText"/>
        <w:spacing w:line="300" w:lineRule="exact"/>
        <w:jc w:val="center"/>
        <w:rPr>
          <w:rFonts w:ascii="Times New Roman" w:eastAsia="標楷體" w:hAnsi="Times New Roman"/>
          <w:szCs w:val="22"/>
        </w:rPr>
      </w:pPr>
      <w:r>
        <w:rPr>
          <w:rFonts w:ascii="Times New Roman" w:eastAsia="標楷體" w:hAnsi="Times New Roman"/>
          <w:szCs w:val="22"/>
        </w:rPr>
        <w:t xml:space="preserve"> (D)</w:t>
      </w:r>
      <w:r>
        <w:rPr>
          <w:rFonts w:ascii="Times New Roman" w:eastAsia="標楷體" w:hAnsi="Times New Roman"/>
          <w:szCs w:val="22"/>
        </w:rPr>
        <w:tab/>
      </w:r>
      <w:proofErr w:type="gramStart"/>
      <w:r>
        <w:rPr>
          <w:rFonts w:ascii="Times New Roman" w:eastAsia="標楷體" w:hAnsi="Times New Roman"/>
          <w:szCs w:val="22"/>
        </w:rPr>
        <w:t>勘估標</w:t>
      </w:r>
      <w:proofErr w:type="gramEnd"/>
      <w:r>
        <w:rPr>
          <w:rFonts w:ascii="Times New Roman" w:eastAsia="標楷體" w:hAnsi="Times New Roman"/>
          <w:szCs w:val="22"/>
        </w:rPr>
        <w:t>的與比較標的總調整表</w:t>
      </w:r>
    </w:p>
    <w:tbl>
      <w:tblPr>
        <w:tblW w:w="9072" w:type="dxa"/>
        <w:jc w:val="center"/>
        <w:tblLayout w:type="fixed"/>
        <w:tblCellMar>
          <w:left w:w="10" w:type="dxa"/>
          <w:right w:w="10" w:type="dxa"/>
        </w:tblCellMar>
        <w:tblLook w:val="0000" w:firstRow="0" w:lastRow="0" w:firstColumn="0" w:lastColumn="0" w:noHBand="0" w:noVBand="0"/>
      </w:tblPr>
      <w:tblGrid>
        <w:gridCol w:w="1276"/>
        <w:gridCol w:w="1694"/>
        <w:gridCol w:w="2133"/>
        <w:gridCol w:w="1984"/>
        <w:gridCol w:w="1985"/>
      </w:tblGrid>
      <w:tr w:rsidR="0018444C">
        <w:trPr>
          <w:cantSplit/>
          <w:trHeight w:hRule="exact" w:val="660"/>
          <w:jc w:val="center"/>
        </w:trPr>
        <w:tc>
          <w:tcPr>
            <w:tcW w:w="2970" w:type="dxa"/>
            <w:gridSpan w:val="2"/>
            <w:tcBorders>
              <w:top w:val="double" w:sz="4"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項目</w:t>
            </w:r>
          </w:p>
        </w:tc>
        <w:tc>
          <w:tcPr>
            <w:tcW w:w="2133" w:type="dxa"/>
            <w:tcBorders>
              <w:top w:val="double" w:sz="4"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center"/>
              <w:rPr>
                <w:rFonts w:ascii="Times New Roman" w:eastAsia="標楷體" w:hAnsi="Times New Roman"/>
                <w:sz w:val="22"/>
                <w:szCs w:val="22"/>
              </w:rPr>
            </w:pPr>
            <w:r>
              <w:rPr>
                <w:rFonts w:ascii="Times New Roman" w:eastAsia="標楷體" w:hAnsi="Times New Roman"/>
                <w:sz w:val="22"/>
                <w:szCs w:val="22"/>
              </w:rPr>
              <w:t>比較標的</w:t>
            </w:r>
            <w:proofErr w:type="gramStart"/>
            <w:r>
              <w:rPr>
                <w:rFonts w:ascii="Times New Roman" w:eastAsia="標楷體" w:hAnsi="Times New Roman"/>
                <w:sz w:val="22"/>
                <w:szCs w:val="22"/>
              </w:rPr>
              <w:t>一</w:t>
            </w:r>
            <w:proofErr w:type="gramEnd"/>
          </w:p>
        </w:tc>
        <w:tc>
          <w:tcPr>
            <w:tcW w:w="1984" w:type="dxa"/>
            <w:tcBorders>
              <w:top w:val="double" w:sz="4"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center"/>
              <w:rPr>
                <w:rFonts w:ascii="Times New Roman" w:eastAsia="標楷體" w:hAnsi="Times New Roman"/>
                <w:sz w:val="22"/>
                <w:szCs w:val="22"/>
              </w:rPr>
            </w:pPr>
            <w:r>
              <w:rPr>
                <w:rFonts w:ascii="Times New Roman" w:eastAsia="標楷體" w:hAnsi="Times New Roman"/>
                <w:sz w:val="22"/>
                <w:szCs w:val="22"/>
              </w:rPr>
              <w:t>比較標的二</w:t>
            </w:r>
          </w:p>
        </w:tc>
        <w:tc>
          <w:tcPr>
            <w:tcW w:w="1985" w:type="dxa"/>
            <w:tcBorders>
              <w:top w:val="double" w:sz="4"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center"/>
              <w:rPr>
                <w:rFonts w:ascii="Times New Roman" w:eastAsia="標楷體" w:hAnsi="Times New Roman"/>
                <w:sz w:val="22"/>
                <w:szCs w:val="22"/>
              </w:rPr>
            </w:pPr>
            <w:r>
              <w:rPr>
                <w:rFonts w:ascii="Times New Roman" w:eastAsia="標楷體" w:hAnsi="Times New Roman"/>
                <w:sz w:val="22"/>
                <w:szCs w:val="22"/>
              </w:rPr>
              <w:t>比較標的三</w:t>
            </w:r>
          </w:p>
        </w:tc>
      </w:tr>
      <w:tr w:rsidR="0018444C">
        <w:trPr>
          <w:cantSplit/>
          <w:trHeight w:hRule="exact" w:val="34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0"/>
              <w:spacing w:line="300" w:lineRule="exact"/>
              <w:jc w:val="both"/>
              <w:rPr>
                <w:rFonts w:ascii="Times New Roman" w:eastAsia="標楷體" w:hAnsi="Times New Roman"/>
                <w:sz w:val="22"/>
                <w:szCs w:val="22"/>
              </w:rPr>
            </w:pPr>
            <w:r>
              <w:rPr>
                <w:rFonts w:ascii="Times New Roman" w:eastAsia="標楷體" w:hAnsi="Times New Roman"/>
                <w:sz w:val="22"/>
                <w:szCs w:val="22"/>
              </w:rPr>
              <w:t>租金價格</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0"/>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價格型態</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情況因素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40"/>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調整後價格</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價格日期</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40"/>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調整後價格</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區域因素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40"/>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調整後售價</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1276" w:type="dxa"/>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個別因素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4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試算價格</w:t>
            </w:r>
            <w:r>
              <w:rPr>
                <w:rFonts w:ascii="Times New Roman" w:eastAsia="標楷體" w:hAnsi="Times New Roman"/>
                <w:sz w:val="22"/>
              </w:rPr>
              <w:t>(</w:t>
            </w:r>
            <w:r>
              <w:rPr>
                <w:rFonts w:ascii="Times New Roman" w:eastAsia="標楷體" w:hAnsi="Times New Roman"/>
                <w:sz w:val="22"/>
              </w:rPr>
              <w:t>元</w:t>
            </w:r>
            <w:r>
              <w:rPr>
                <w:rFonts w:ascii="Times New Roman" w:eastAsia="標楷體" w:hAnsi="Times New Roman"/>
                <w:sz w:val="22"/>
              </w:rPr>
              <w:t>/</w:t>
            </w:r>
            <w:r>
              <w:rPr>
                <w:rFonts w:ascii="Times New Roman" w:eastAsia="標楷體" w:hAnsi="Times New Roman"/>
                <w:sz w:val="22"/>
              </w:rPr>
              <w:t>坪</w:t>
            </w:r>
            <w:r>
              <w:rPr>
                <w:rFonts w:ascii="Times New Roman" w:eastAsia="標楷體" w:hAnsi="Times New Roman"/>
                <w:sz w:val="22"/>
              </w:rPr>
              <w:t>/</w:t>
            </w:r>
            <w:r>
              <w:rPr>
                <w:rFonts w:ascii="Times New Roman" w:eastAsia="標楷體" w:hAnsi="Times New Roman"/>
                <w:sz w:val="22"/>
              </w:rPr>
              <w:t>月</w:t>
            </w:r>
            <w:r>
              <w:rPr>
                <w:rFonts w:ascii="Times New Roman" w:eastAsia="標楷體" w:hAnsi="Times New Roman"/>
                <w:sz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比較標的加權數</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4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加權數計算後金額</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2970"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最後推定比較價格</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6102"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r0"/>
              <w:spacing w:line="300" w:lineRule="exact"/>
              <w:jc w:val="both"/>
              <w:rPr>
                <w:rFonts w:ascii="Times New Roman" w:eastAsia="標楷體" w:hAnsi="Times New Roman"/>
                <w:sz w:val="22"/>
                <w:szCs w:val="22"/>
              </w:rPr>
            </w:pPr>
          </w:p>
        </w:tc>
      </w:tr>
    </w:tbl>
    <w:p w:rsidR="0018444C" w:rsidRDefault="00980E38">
      <w:pPr>
        <w:pStyle w:val="DefaultText"/>
        <w:spacing w:before="40" w:after="40" w:line="440" w:lineRule="exact"/>
        <w:ind w:left="1560" w:firstLine="343"/>
        <w:jc w:val="both"/>
      </w:pPr>
      <w:r>
        <w:rPr>
          <w:rFonts w:ascii="Times New Roman" w:eastAsia="標楷體" w:hAnsi="Times New Roman"/>
          <w:sz w:val="24"/>
          <w:szCs w:val="24"/>
        </w:rPr>
        <w:t>《注意須知》：參見前述「開發後總銷售金額評估」之《注意須知》內容。</w:t>
      </w:r>
    </w:p>
    <w:p w:rsidR="0018444C" w:rsidRDefault="0018444C">
      <w:pPr>
        <w:pStyle w:val="CCISa"/>
        <w:spacing w:line="400" w:lineRule="exact"/>
        <w:ind w:left="2205" w:hanging="21"/>
        <w:rPr>
          <w:rFonts w:ascii="Times New Roman" w:eastAsia="標楷體" w:hAnsi="Times New Roman"/>
        </w:rPr>
      </w:pPr>
    </w:p>
    <w:p w:rsidR="0018444C" w:rsidRDefault="00980E38">
      <w:pPr>
        <w:pStyle w:val="CCISa"/>
        <w:pageBreakBefore/>
        <w:spacing w:line="400" w:lineRule="exact"/>
        <w:ind w:left="2381"/>
      </w:pPr>
      <w:bookmarkStart w:id="283" w:name="_Toc389060253"/>
      <w:r>
        <w:rPr>
          <w:rFonts w:ascii="Times New Roman" w:eastAsia="標楷體" w:hAnsi="Times New Roman"/>
          <w:sz w:val="28"/>
          <w:szCs w:val="28"/>
        </w:rPr>
        <w:lastRenderedPageBreak/>
        <w:t>D.</w:t>
      </w:r>
      <w:r>
        <w:rPr>
          <w:rFonts w:ascii="Times New Roman" w:eastAsia="標楷體" w:hAnsi="Times New Roman"/>
          <w:sz w:val="28"/>
          <w:szCs w:val="28"/>
        </w:rPr>
        <w:t>押金孳息及其他收入</w:t>
      </w:r>
      <w:bookmarkEnd w:id="283"/>
      <w:r>
        <w:rPr>
          <w:rFonts w:ascii="Times New Roman" w:eastAsia="標楷體" w:hAnsi="Times New Roman"/>
          <w:sz w:val="28"/>
          <w:szCs w:val="28"/>
        </w:rPr>
        <w:t>：</w:t>
      </w:r>
    </w:p>
    <w:p w:rsidR="0018444C" w:rsidRDefault="00980E38">
      <w:pPr>
        <w:pStyle w:val="DefaultText"/>
        <w:spacing w:before="40" w:after="40" w:line="440" w:lineRule="exact"/>
        <w:ind w:left="2381"/>
        <w:jc w:val="both"/>
        <w:rPr>
          <w:rFonts w:ascii="Times New Roman" w:eastAsia="標楷體" w:hAnsi="Times New Roman"/>
          <w:sz w:val="24"/>
          <w:szCs w:val="24"/>
        </w:rPr>
      </w:pPr>
      <w:r>
        <w:rPr>
          <w:rFonts w:ascii="Times New Roman" w:eastAsia="標楷體" w:hAnsi="Times New Roman"/>
          <w:sz w:val="24"/>
          <w:szCs w:val="24"/>
        </w:rPr>
        <w:t>《注意須知》：除租金收入外，應加計押金孳息，若</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的有其他出租收入如廣告招牌出租或基地台出租，可另列其他收入。</w:t>
      </w:r>
    </w:p>
    <w:p w:rsidR="0018444C" w:rsidRDefault="00980E38">
      <w:pPr>
        <w:pStyle w:val="CCISa"/>
        <w:spacing w:line="400" w:lineRule="exact"/>
        <w:ind w:left="2381"/>
        <w:rPr>
          <w:rFonts w:ascii="Times New Roman" w:eastAsia="標楷體" w:hAnsi="Times New Roman"/>
          <w:sz w:val="28"/>
          <w:szCs w:val="28"/>
        </w:rPr>
      </w:pPr>
      <w:bookmarkStart w:id="284" w:name="_Toc388974251"/>
      <w:bookmarkStart w:id="285" w:name="_Toc389060254"/>
      <w:r>
        <w:rPr>
          <w:rFonts w:ascii="Times New Roman" w:eastAsia="標楷體" w:hAnsi="Times New Roman"/>
          <w:sz w:val="28"/>
          <w:szCs w:val="28"/>
        </w:rPr>
        <w:t>E.</w:t>
      </w:r>
      <w:r>
        <w:rPr>
          <w:rFonts w:ascii="Times New Roman" w:eastAsia="標楷體" w:hAnsi="Times New Roman"/>
          <w:sz w:val="28"/>
          <w:szCs w:val="28"/>
        </w:rPr>
        <w:t>閒置及其他損失</w:t>
      </w:r>
      <w:bookmarkEnd w:id="284"/>
      <w:bookmarkEnd w:id="285"/>
      <w:r>
        <w:rPr>
          <w:rFonts w:ascii="Times New Roman" w:eastAsia="標楷體" w:hAnsi="Times New Roman"/>
          <w:sz w:val="28"/>
          <w:szCs w:val="28"/>
        </w:rPr>
        <w:t>：</w:t>
      </w:r>
    </w:p>
    <w:p w:rsidR="0018444C" w:rsidRDefault="00980E38">
      <w:pPr>
        <w:pStyle w:val="DefaultText"/>
        <w:spacing w:before="40" w:after="40" w:line="440" w:lineRule="exact"/>
        <w:ind w:left="2381"/>
        <w:jc w:val="both"/>
        <w:rPr>
          <w:rFonts w:ascii="Times New Roman" w:eastAsia="標楷體" w:hAnsi="Times New Roman"/>
          <w:sz w:val="24"/>
          <w:szCs w:val="24"/>
        </w:rPr>
      </w:pPr>
      <w:r>
        <w:rPr>
          <w:rFonts w:ascii="Times New Roman" w:eastAsia="標楷體" w:hAnsi="Times New Roman"/>
          <w:sz w:val="24"/>
          <w:szCs w:val="24"/>
        </w:rPr>
        <w:t>《注意須知》：考量</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的於現金流量分析期間可能產生之空置損失、免租裝潢期、</w:t>
      </w:r>
      <w:proofErr w:type="gramStart"/>
      <w:r>
        <w:rPr>
          <w:rFonts w:ascii="Times New Roman" w:eastAsia="標楷體" w:hAnsi="Times New Roman"/>
          <w:sz w:val="24"/>
          <w:szCs w:val="24"/>
        </w:rPr>
        <w:t>欠租或</w:t>
      </w:r>
      <w:proofErr w:type="gramEnd"/>
      <w:r>
        <w:rPr>
          <w:rFonts w:ascii="Times New Roman" w:eastAsia="標楷體" w:hAnsi="Times New Roman"/>
          <w:sz w:val="24"/>
          <w:szCs w:val="24"/>
        </w:rPr>
        <w:t>招租期等損失。</w:t>
      </w:r>
    </w:p>
    <w:p w:rsidR="0018444C" w:rsidRDefault="00980E38">
      <w:pPr>
        <w:pStyle w:val="CCISa"/>
        <w:spacing w:line="400" w:lineRule="exact"/>
        <w:ind w:left="2381"/>
        <w:rPr>
          <w:rFonts w:ascii="Times New Roman" w:eastAsia="標楷體" w:hAnsi="Times New Roman"/>
          <w:sz w:val="28"/>
          <w:szCs w:val="28"/>
        </w:rPr>
      </w:pPr>
      <w:bookmarkStart w:id="286" w:name="_Toc388974252"/>
      <w:bookmarkStart w:id="287" w:name="_Toc389060255"/>
      <w:r>
        <w:rPr>
          <w:rFonts w:ascii="Times New Roman" w:eastAsia="標楷體" w:hAnsi="Times New Roman"/>
          <w:sz w:val="28"/>
          <w:szCs w:val="28"/>
        </w:rPr>
        <w:t>F.</w:t>
      </w:r>
      <w:r>
        <w:rPr>
          <w:rFonts w:ascii="Times New Roman" w:eastAsia="標楷體" w:hAnsi="Times New Roman"/>
          <w:sz w:val="28"/>
          <w:szCs w:val="28"/>
        </w:rPr>
        <w:t>各期現金流入</w:t>
      </w:r>
      <w:r>
        <w:rPr>
          <w:rFonts w:ascii="Times New Roman" w:eastAsia="標楷體" w:hAnsi="Times New Roman"/>
          <w:sz w:val="28"/>
          <w:szCs w:val="28"/>
        </w:rPr>
        <w:t>(</w:t>
      </w:r>
      <w:r>
        <w:rPr>
          <w:rFonts w:ascii="Times New Roman" w:eastAsia="標楷體" w:hAnsi="Times New Roman"/>
          <w:sz w:val="28"/>
          <w:szCs w:val="28"/>
        </w:rPr>
        <w:t>有效總收入</w:t>
      </w:r>
      <w:r>
        <w:rPr>
          <w:rFonts w:ascii="Times New Roman" w:eastAsia="標楷體" w:hAnsi="Times New Roman"/>
          <w:sz w:val="28"/>
          <w:szCs w:val="28"/>
        </w:rPr>
        <w:t>)</w:t>
      </w:r>
      <w:r>
        <w:rPr>
          <w:rFonts w:ascii="Times New Roman" w:eastAsia="標楷體" w:hAnsi="Times New Roman"/>
          <w:sz w:val="28"/>
          <w:szCs w:val="28"/>
        </w:rPr>
        <w:t>分析</w:t>
      </w:r>
      <w:bookmarkEnd w:id="286"/>
      <w:bookmarkEnd w:id="287"/>
      <w:r>
        <w:rPr>
          <w:rFonts w:ascii="Times New Roman" w:eastAsia="標楷體" w:hAnsi="Times New Roman"/>
          <w:sz w:val="28"/>
          <w:szCs w:val="28"/>
        </w:rPr>
        <w:t>：</w:t>
      </w:r>
    </w:p>
    <w:p w:rsidR="0018444C" w:rsidRDefault="00980E38">
      <w:pPr>
        <w:pStyle w:val="CCISa"/>
        <w:spacing w:line="400" w:lineRule="exact"/>
        <w:ind w:left="2381"/>
        <w:rPr>
          <w:rFonts w:ascii="Times New Roman" w:eastAsia="標楷體" w:hAnsi="Times New Roman"/>
          <w:sz w:val="28"/>
          <w:szCs w:val="28"/>
        </w:rPr>
      </w:pPr>
      <w:bookmarkStart w:id="288" w:name="_Toc388974253"/>
      <w:bookmarkStart w:id="289" w:name="_Toc389060256"/>
      <w:r>
        <w:rPr>
          <w:rFonts w:ascii="Times New Roman" w:eastAsia="標楷體" w:hAnsi="Times New Roman"/>
          <w:sz w:val="28"/>
          <w:szCs w:val="28"/>
        </w:rPr>
        <w:t>G.</w:t>
      </w:r>
      <w:r>
        <w:rPr>
          <w:rFonts w:ascii="Times New Roman" w:eastAsia="標楷體" w:hAnsi="Times New Roman"/>
          <w:sz w:val="28"/>
          <w:szCs w:val="28"/>
        </w:rPr>
        <w:t>總費用推估：</w:t>
      </w:r>
      <w:bookmarkEnd w:id="288"/>
      <w:bookmarkEnd w:id="289"/>
    </w:p>
    <w:p w:rsidR="0018444C" w:rsidRDefault="00980E38">
      <w:pPr>
        <w:pStyle w:val="DefaultText"/>
        <w:spacing w:before="40" w:after="40" w:line="440" w:lineRule="exact"/>
        <w:ind w:left="2381" w:hanging="821"/>
        <w:jc w:val="both"/>
        <w:rPr>
          <w:rFonts w:ascii="Times New Roman" w:eastAsia="標楷體" w:hAnsi="Times New Roman"/>
          <w:sz w:val="24"/>
          <w:szCs w:val="24"/>
        </w:rPr>
      </w:pPr>
      <w:r>
        <w:rPr>
          <w:rFonts w:ascii="Times New Roman" w:eastAsia="標楷體" w:hAnsi="Times New Roman"/>
          <w:sz w:val="24"/>
          <w:szCs w:val="24"/>
        </w:rPr>
        <w:t>《注意須知》：總費用列計原則如下</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總費用之推算，應根據相同或相似不動產所支出之費用資料或會計報表所載資料加以推算，若無法取得應於估價報告書中敘明，並以適當方式推估之。</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總費用應蒐集</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的與其特性相同或相似之比較標的最近</w:t>
      </w:r>
      <w:proofErr w:type="gramStart"/>
      <w:r>
        <w:rPr>
          <w:rFonts w:ascii="Times New Roman" w:eastAsia="標楷體" w:hAnsi="Times New Roman"/>
          <w:sz w:val="24"/>
          <w:szCs w:val="24"/>
        </w:rPr>
        <w:t>三</w:t>
      </w:r>
      <w:proofErr w:type="gramEnd"/>
      <w:r>
        <w:rPr>
          <w:rFonts w:ascii="Times New Roman" w:eastAsia="標楷體" w:hAnsi="Times New Roman"/>
          <w:sz w:val="24"/>
          <w:szCs w:val="24"/>
        </w:rPr>
        <w:t>年間總費用資料，並應就其合理性進行綜合研判，以確定資料之可用性，並得依其持續性、穩定性及成長情形加以調整。</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總費用其項目包括地價稅或地租、房屋稅、保險費、管理費及維修費等；另應包括推估不動產構成項目中，於耐用年數內需重置部分之重置</w:t>
      </w:r>
      <w:proofErr w:type="gramStart"/>
      <w:r>
        <w:rPr>
          <w:rFonts w:ascii="Times New Roman" w:eastAsia="標楷體" w:hAnsi="Times New Roman"/>
          <w:sz w:val="24"/>
          <w:szCs w:val="24"/>
        </w:rPr>
        <w:t>提撥</w:t>
      </w:r>
      <w:proofErr w:type="gramEnd"/>
      <w:r>
        <w:rPr>
          <w:rFonts w:ascii="Times New Roman" w:eastAsia="標楷體" w:hAnsi="Times New Roman"/>
          <w:sz w:val="24"/>
          <w:szCs w:val="24"/>
        </w:rPr>
        <w:t>費，並按該支出之有效使用年期及耗損比率分年攤提。</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的為營運性不動產者，請以營運收入估計總收入時，於總費用中應加計營運費用。</w:t>
      </w:r>
    </w:p>
    <w:p w:rsidR="0018444C" w:rsidRDefault="00980E38">
      <w:pPr>
        <w:pStyle w:val="CCISa"/>
        <w:spacing w:line="400" w:lineRule="exact"/>
        <w:ind w:left="2381"/>
        <w:rPr>
          <w:rFonts w:ascii="Times New Roman" w:eastAsia="標楷體" w:hAnsi="Times New Roman"/>
          <w:sz w:val="28"/>
          <w:szCs w:val="28"/>
        </w:rPr>
      </w:pPr>
      <w:bookmarkStart w:id="290" w:name="_Toc388974254"/>
      <w:bookmarkStart w:id="291" w:name="_Toc389060257"/>
      <w:r>
        <w:rPr>
          <w:rFonts w:ascii="Times New Roman" w:eastAsia="標楷體" w:hAnsi="Times New Roman"/>
          <w:sz w:val="28"/>
          <w:szCs w:val="28"/>
        </w:rPr>
        <w:t>H.</w:t>
      </w:r>
      <w:r>
        <w:rPr>
          <w:rFonts w:ascii="Times New Roman" w:eastAsia="標楷體" w:hAnsi="Times New Roman"/>
          <w:sz w:val="28"/>
          <w:szCs w:val="28"/>
        </w:rPr>
        <w:t>折現率推估：</w:t>
      </w:r>
      <w:bookmarkEnd w:id="290"/>
      <w:bookmarkEnd w:id="291"/>
    </w:p>
    <w:p w:rsidR="0018444C" w:rsidRDefault="00980E38">
      <w:pPr>
        <w:pStyle w:val="DefaultText"/>
        <w:spacing w:before="40" w:after="40" w:line="440" w:lineRule="exact"/>
        <w:ind w:left="2592" w:hanging="1032"/>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折</w:t>
      </w:r>
      <w:proofErr w:type="gramStart"/>
      <w:r>
        <w:rPr>
          <w:rFonts w:ascii="Times New Roman" w:eastAsia="標楷體" w:hAnsi="Times New Roman"/>
          <w:sz w:val="24"/>
          <w:szCs w:val="24"/>
        </w:rPr>
        <w:t>現率</w:t>
      </w:r>
      <w:bookmarkStart w:id="292" w:name="_Toc388974255"/>
      <w:bookmarkStart w:id="293" w:name="_Toc389060258"/>
      <w:r>
        <w:rPr>
          <w:rFonts w:ascii="Times New Roman" w:eastAsia="標楷體" w:hAnsi="Times New Roman"/>
          <w:sz w:val="24"/>
          <w:szCs w:val="24"/>
        </w:rPr>
        <w:t>依不動產</w:t>
      </w:r>
      <w:proofErr w:type="gramEnd"/>
      <w:r>
        <w:rPr>
          <w:rFonts w:ascii="Times New Roman" w:eastAsia="標楷體" w:hAnsi="Times New Roman"/>
          <w:sz w:val="24"/>
          <w:szCs w:val="24"/>
        </w:rPr>
        <w:t>估價技術</w:t>
      </w:r>
      <w:proofErr w:type="gramStart"/>
      <w:r>
        <w:rPr>
          <w:rFonts w:ascii="Times New Roman" w:eastAsia="標楷體" w:hAnsi="Times New Roman"/>
          <w:sz w:val="24"/>
          <w:szCs w:val="24"/>
        </w:rPr>
        <w:t>規則第</w:t>
      </w:r>
      <w:r>
        <w:rPr>
          <w:rFonts w:ascii="Times New Roman" w:eastAsia="標楷體" w:hAnsi="Times New Roman"/>
          <w:sz w:val="24"/>
          <w:szCs w:val="24"/>
        </w:rPr>
        <w:t>43</w:t>
      </w:r>
      <w:proofErr w:type="gramEnd"/>
      <w:r>
        <w:rPr>
          <w:rFonts w:ascii="Times New Roman" w:eastAsia="標楷體" w:hAnsi="Times New Roman"/>
          <w:sz w:val="24"/>
          <w:szCs w:val="24"/>
        </w:rPr>
        <w:t>規定決定之。</w:t>
      </w:r>
    </w:p>
    <w:p w:rsidR="0018444C" w:rsidRDefault="00980E38">
      <w:pPr>
        <w:pStyle w:val="CCISa"/>
        <w:spacing w:line="400" w:lineRule="exact"/>
        <w:ind w:left="1985"/>
        <w:rPr>
          <w:rFonts w:ascii="Times New Roman" w:eastAsia="標楷體" w:hAnsi="Times New Roman"/>
          <w:sz w:val="28"/>
          <w:szCs w:val="28"/>
        </w:rPr>
      </w:pPr>
      <w:r>
        <w:rPr>
          <w:rFonts w:ascii="Times New Roman" w:eastAsia="標楷體" w:hAnsi="Times New Roman"/>
          <w:sz w:val="28"/>
          <w:szCs w:val="28"/>
        </w:rPr>
        <w:t xml:space="preserve">   I.</w:t>
      </w:r>
      <w:r>
        <w:rPr>
          <w:rFonts w:ascii="Times New Roman" w:eastAsia="標楷體" w:hAnsi="Times New Roman"/>
          <w:sz w:val="28"/>
          <w:szCs w:val="28"/>
        </w:rPr>
        <w:t>期末處分價值推估：</w:t>
      </w:r>
      <w:bookmarkEnd w:id="292"/>
      <w:bookmarkEnd w:id="293"/>
    </w:p>
    <w:p w:rsidR="0018444C" w:rsidRDefault="00980E38">
      <w:pPr>
        <w:pStyle w:val="DefaultText"/>
        <w:spacing w:before="40" w:after="40" w:line="440" w:lineRule="exact"/>
        <w:ind w:left="2592" w:hanging="1032"/>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現金流量期末不動產處分價值可</w:t>
      </w:r>
      <w:proofErr w:type="gramStart"/>
      <w:r>
        <w:rPr>
          <w:rFonts w:ascii="Times New Roman" w:eastAsia="標楷體" w:hAnsi="Times New Roman"/>
          <w:sz w:val="24"/>
          <w:szCs w:val="24"/>
        </w:rPr>
        <w:t>採</w:t>
      </w:r>
      <w:proofErr w:type="gramEnd"/>
      <w:r>
        <w:rPr>
          <w:rFonts w:ascii="Times New Roman" w:eastAsia="標楷體" w:hAnsi="Times New Roman"/>
          <w:sz w:val="24"/>
          <w:szCs w:val="24"/>
        </w:rPr>
        <w:t>收益法之直接資本化法或其他方法評估之。</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現金流量期末處分價值應扣除預估的處分成本。</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若採用直接資本化法可以現金流量期末之</w:t>
      </w:r>
      <w:proofErr w:type="gramStart"/>
      <w:r>
        <w:rPr>
          <w:rFonts w:ascii="Times New Roman" w:eastAsia="標楷體" w:hAnsi="Times New Roman"/>
          <w:sz w:val="24"/>
          <w:szCs w:val="24"/>
        </w:rPr>
        <w:t>次一期淨收益</w:t>
      </w:r>
      <w:proofErr w:type="gramEnd"/>
      <w:r>
        <w:rPr>
          <w:rFonts w:ascii="Times New Roman" w:eastAsia="標楷體" w:hAnsi="Times New Roman"/>
          <w:sz w:val="24"/>
          <w:szCs w:val="24"/>
        </w:rPr>
        <w:t>除以收益資本化率而得；其中收益資本化率可以市場萃取法，並考量未來現金流量期間之預期風險加碼推估之。</w:t>
      </w:r>
    </w:p>
    <w:p w:rsidR="0018444C" w:rsidRDefault="00980E38">
      <w:pPr>
        <w:pStyle w:val="CCISa"/>
        <w:spacing w:line="400" w:lineRule="exact"/>
        <w:ind w:left="1985"/>
      </w:pPr>
      <w:bookmarkStart w:id="294" w:name="_Toc388974256"/>
      <w:bookmarkStart w:id="295" w:name="_Toc389060259"/>
      <w:r>
        <w:rPr>
          <w:rFonts w:ascii="Times New Roman" w:eastAsia="標楷體" w:hAnsi="Times New Roman"/>
          <w:sz w:val="28"/>
          <w:szCs w:val="24"/>
        </w:rPr>
        <w:t>J.</w:t>
      </w:r>
      <w:r>
        <w:rPr>
          <w:rFonts w:ascii="Times New Roman" w:eastAsia="標楷體" w:hAnsi="Times New Roman"/>
          <w:sz w:val="28"/>
          <w:szCs w:val="28"/>
        </w:rPr>
        <w:t>折現現金流量分析收益價格：</w:t>
      </w:r>
      <w:bookmarkEnd w:id="294"/>
      <w:bookmarkEnd w:id="295"/>
    </w:p>
    <w:p w:rsidR="0018444C" w:rsidRDefault="00980E38">
      <w:pPr>
        <w:pStyle w:val="CCIS10"/>
        <w:pageBreakBefore/>
        <w:numPr>
          <w:ilvl w:val="0"/>
          <w:numId w:val="38"/>
        </w:numPr>
        <w:tabs>
          <w:tab w:val="left" w:pos="-12152"/>
        </w:tabs>
        <w:ind w:left="1418" w:hanging="709"/>
        <w:rPr>
          <w:rFonts w:ascii="Times New Roman" w:hAnsi="Times New Roman"/>
          <w:sz w:val="28"/>
          <w:szCs w:val="28"/>
        </w:rPr>
      </w:pPr>
      <w:r>
        <w:rPr>
          <w:rFonts w:ascii="Times New Roman" w:hAnsi="Times New Roman"/>
          <w:sz w:val="28"/>
          <w:szCs w:val="28"/>
        </w:rPr>
        <w:lastRenderedPageBreak/>
        <w:t>收益法直接資本化法評估過程：</w:t>
      </w:r>
    </w:p>
    <w:p w:rsidR="0018444C" w:rsidRDefault="00980E38">
      <w:pPr>
        <w:pStyle w:val="CCISa"/>
        <w:numPr>
          <w:ilvl w:val="0"/>
          <w:numId w:val="46"/>
        </w:numPr>
        <w:tabs>
          <w:tab w:val="left" w:pos="46"/>
        </w:tabs>
        <w:spacing w:line="400" w:lineRule="exact"/>
        <w:ind w:left="1985" w:firstLine="0"/>
        <w:rPr>
          <w:rFonts w:ascii="Times New Roman" w:eastAsia="標楷體" w:hAnsi="Times New Roman"/>
          <w:sz w:val="28"/>
          <w:szCs w:val="28"/>
        </w:rPr>
      </w:pPr>
      <w:r>
        <w:rPr>
          <w:rFonts w:ascii="Times New Roman" w:eastAsia="標楷體" w:hAnsi="Times New Roman"/>
          <w:sz w:val="28"/>
          <w:szCs w:val="28"/>
        </w:rPr>
        <w:t>正常租金評估：</w:t>
      </w:r>
    </w:p>
    <w:p w:rsidR="0018444C" w:rsidRDefault="00980E38">
      <w:pPr>
        <w:pStyle w:val="CCISa"/>
        <w:numPr>
          <w:ilvl w:val="0"/>
          <w:numId w:val="47"/>
        </w:numPr>
        <w:spacing w:line="400" w:lineRule="exact"/>
        <w:rPr>
          <w:rFonts w:ascii="Times New Roman" w:eastAsia="標楷體" w:hAnsi="Times New Roman"/>
          <w:sz w:val="28"/>
          <w:szCs w:val="28"/>
        </w:rPr>
      </w:pPr>
      <w:r>
        <w:rPr>
          <w:rFonts w:ascii="Times New Roman" w:eastAsia="標楷體" w:hAnsi="Times New Roman"/>
          <w:sz w:val="28"/>
          <w:szCs w:val="28"/>
        </w:rPr>
        <w:t>比較標的租金條件表</w:t>
      </w:r>
    </w:p>
    <w:tbl>
      <w:tblPr>
        <w:tblW w:w="5000" w:type="pct"/>
        <w:jc w:val="right"/>
        <w:tblCellMar>
          <w:left w:w="10" w:type="dxa"/>
          <w:right w:w="10" w:type="dxa"/>
        </w:tblCellMar>
        <w:tblLook w:val="0000" w:firstRow="0" w:lastRow="0" w:firstColumn="0" w:lastColumn="0" w:noHBand="0" w:noVBand="0"/>
      </w:tblPr>
      <w:tblGrid>
        <w:gridCol w:w="1961"/>
        <w:gridCol w:w="2155"/>
        <w:gridCol w:w="2155"/>
        <w:gridCol w:w="1855"/>
        <w:gridCol w:w="2021"/>
      </w:tblGrid>
      <w:tr w:rsidR="0018444C">
        <w:trPr>
          <w:trHeight w:val="454"/>
          <w:jc w:val="right"/>
        </w:trPr>
        <w:tc>
          <w:tcPr>
            <w:tcW w:w="1944"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項目</w:t>
            </w:r>
          </w:p>
        </w:tc>
        <w:tc>
          <w:tcPr>
            <w:tcW w:w="213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roofErr w:type="gramStart"/>
            <w:r>
              <w:rPr>
                <w:rFonts w:ascii="Times New Roman" w:eastAsia="標楷體" w:hAnsi="Times New Roman"/>
                <w:sz w:val="22"/>
                <w:szCs w:val="22"/>
              </w:rPr>
              <w:t>勘估標</w:t>
            </w:r>
            <w:proofErr w:type="gramEnd"/>
            <w:r>
              <w:rPr>
                <w:rFonts w:ascii="Times New Roman" w:eastAsia="標楷體" w:hAnsi="Times New Roman"/>
                <w:sz w:val="22"/>
                <w:szCs w:val="22"/>
              </w:rPr>
              <w:t>的</w:t>
            </w:r>
          </w:p>
        </w:tc>
        <w:tc>
          <w:tcPr>
            <w:tcW w:w="213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r>
              <w:rPr>
                <w:rFonts w:ascii="Times New Roman" w:eastAsia="標楷體" w:hAnsi="Times New Roman"/>
                <w:sz w:val="22"/>
                <w:szCs w:val="22"/>
              </w:rPr>
              <w:t>比較標的</w:t>
            </w:r>
            <w:proofErr w:type="gramStart"/>
            <w:r>
              <w:rPr>
                <w:rFonts w:ascii="Times New Roman" w:eastAsia="標楷體" w:hAnsi="Times New Roman"/>
                <w:sz w:val="22"/>
                <w:szCs w:val="22"/>
              </w:rPr>
              <w:t>一</w:t>
            </w:r>
            <w:proofErr w:type="gramEnd"/>
          </w:p>
        </w:tc>
        <w:tc>
          <w:tcPr>
            <w:tcW w:w="183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r>
              <w:rPr>
                <w:rFonts w:ascii="Times New Roman" w:eastAsia="標楷體" w:hAnsi="Times New Roman"/>
                <w:sz w:val="22"/>
                <w:szCs w:val="22"/>
              </w:rPr>
              <w:t>比較標的二</w:t>
            </w:r>
          </w:p>
        </w:tc>
        <w:tc>
          <w:tcPr>
            <w:tcW w:w="2004"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r>
              <w:rPr>
                <w:rFonts w:ascii="Times New Roman" w:eastAsia="標楷體" w:hAnsi="Times New Roman"/>
                <w:sz w:val="22"/>
                <w:szCs w:val="22"/>
              </w:rPr>
              <w:t>比較標的三</w:t>
            </w: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地址</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交易型態</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月租金總價</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車位租金</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其他租金</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總面積</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建物面積</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車位面積</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其他面積</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租金單價</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價格日期</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勘察日期</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使用用途</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建築總樓層</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比較標的樓層</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屋齡</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pPr>
            <w:r>
              <w:rPr>
                <w:rFonts w:ascii="Times New Roman" w:eastAsia="標楷體" w:hAnsi="Times New Roman"/>
                <w:bCs/>
                <w:sz w:val="22"/>
                <w:szCs w:val="22"/>
              </w:rPr>
              <w:t>建築結構</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bCs/>
                <w:sz w:val="22"/>
                <w:szCs w:val="22"/>
              </w:rPr>
            </w:pPr>
            <w:r>
              <w:rPr>
                <w:rFonts w:ascii="Times New Roman" w:eastAsia="標楷體" w:hAnsi="Times New Roman"/>
                <w:bCs/>
                <w:sz w:val="22"/>
                <w:szCs w:val="22"/>
              </w:rPr>
              <w:t>公設比</w:t>
            </w:r>
            <w:r>
              <w:rPr>
                <w:rFonts w:ascii="Times New Roman" w:eastAsia="標楷體" w:hAnsi="Times New Roman"/>
                <w:bCs/>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proofErr w:type="gramStart"/>
            <w:r>
              <w:rPr>
                <w:rFonts w:ascii="Times New Roman" w:eastAsia="標楷體" w:hAnsi="Times New Roman"/>
                <w:sz w:val="22"/>
                <w:szCs w:val="22"/>
              </w:rPr>
              <w:t>雨遮或騎樓</w:t>
            </w:r>
            <w:proofErr w:type="gramEnd"/>
            <w:r>
              <w:rPr>
                <w:rFonts w:ascii="Times New Roman" w:eastAsia="標楷體" w:hAnsi="Times New Roman"/>
                <w:sz w:val="22"/>
                <w:szCs w:val="22"/>
              </w:rPr>
              <w:t>比</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proofErr w:type="gramStart"/>
            <w:r>
              <w:rPr>
                <w:rFonts w:ascii="Times New Roman" w:eastAsia="標楷體" w:hAnsi="Times New Roman"/>
                <w:sz w:val="22"/>
                <w:szCs w:val="22"/>
              </w:rPr>
              <w:t>臨路寬度</w:t>
            </w:r>
            <w:proofErr w:type="gramEnd"/>
            <w:r>
              <w:rPr>
                <w:rFonts w:ascii="Times New Roman" w:eastAsia="標楷體" w:hAnsi="Times New Roman"/>
                <w:sz w:val="22"/>
                <w:szCs w:val="22"/>
              </w:rPr>
              <w:t>(M)</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道路種別</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交通條件</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both"/>
              <w:rPr>
                <w:rFonts w:ascii="Times New Roman" w:eastAsia="標楷體" w:hAnsi="Times New Roman"/>
                <w:sz w:val="22"/>
                <w:szCs w:val="22"/>
              </w:rPr>
            </w:pPr>
            <w:r>
              <w:rPr>
                <w:rFonts w:ascii="Times New Roman" w:eastAsia="標楷體" w:hAnsi="Times New Roman"/>
                <w:sz w:val="22"/>
                <w:szCs w:val="22"/>
              </w:rPr>
              <w:t>公共條件</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r0"/>
              <w:spacing w:before="96" w:after="96"/>
              <w:jc w:val="both"/>
              <w:rPr>
                <w:rFonts w:ascii="Times New Roman" w:eastAsia="標楷體" w:hAnsi="Times New Roman"/>
                <w:sz w:val="22"/>
                <w:szCs w:val="22"/>
              </w:rPr>
            </w:pPr>
            <w:r>
              <w:rPr>
                <w:rFonts w:ascii="Times New Roman" w:eastAsia="標楷體" w:hAnsi="Times New Roman"/>
                <w:sz w:val="22"/>
                <w:szCs w:val="22"/>
              </w:rPr>
              <w:t>整體條件</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r0"/>
              <w:spacing w:before="96" w:after="96"/>
              <w:jc w:val="both"/>
              <w:rPr>
                <w:rFonts w:ascii="Times New Roman" w:eastAsia="標楷體" w:hAnsi="Times New Roman"/>
                <w:sz w:val="22"/>
                <w:szCs w:val="22"/>
              </w:rPr>
            </w:pPr>
            <w:r>
              <w:rPr>
                <w:rFonts w:ascii="Times New Roman" w:eastAsia="標楷體" w:hAnsi="Times New Roman"/>
                <w:sz w:val="22"/>
                <w:szCs w:val="22"/>
              </w:rPr>
              <w:t>議價空間</w:t>
            </w:r>
            <w:r>
              <w:rPr>
                <w:rFonts w:ascii="Times New Roman" w:eastAsia="標楷體" w:hAnsi="Times New Roman"/>
                <w:sz w:val="22"/>
                <w:szCs w:val="22"/>
              </w:rPr>
              <w:t>(%)</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844"/>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r0"/>
              <w:spacing w:before="96" w:after="96"/>
              <w:jc w:val="both"/>
              <w:rPr>
                <w:rFonts w:ascii="Times New Roman" w:eastAsia="標楷體" w:hAnsi="Times New Roman"/>
                <w:sz w:val="22"/>
                <w:szCs w:val="22"/>
              </w:rPr>
            </w:pPr>
            <w:r>
              <w:rPr>
                <w:rFonts w:ascii="Times New Roman" w:eastAsia="標楷體" w:hAnsi="Times New Roman"/>
                <w:sz w:val="22"/>
                <w:szCs w:val="22"/>
              </w:rPr>
              <w:t>預估可能成交價格</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p w:rsidR="0018444C" w:rsidRDefault="0018444C">
            <w:pPr>
              <w:pStyle w:val="r0"/>
              <w:spacing w:before="96" w:after="96"/>
              <w:jc w:val="both"/>
              <w:rPr>
                <w:rFonts w:ascii="Times New Roman" w:eastAsia="標楷體" w:hAnsi="Times New Roman"/>
                <w:sz w:val="22"/>
                <w:szCs w:val="22"/>
              </w:rPr>
            </w:pPr>
          </w:p>
          <w:p w:rsidR="0018444C" w:rsidRDefault="0018444C">
            <w:pPr>
              <w:pStyle w:val="r0"/>
              <w:spacing w:before="96" w:after="96"/>
              <w:jc w:val="both"/>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r0"/>
              <w:spacing w:before="96" w:after="96"/>
              <w:jc w:val="both"/>
              <w:rPr>
                <w:rFonts w:ascii="Times New Roman" w:eastAsia="標楷體" w:hAnsi="Times New Roman"/>
                <w:sz w:val="22"/>
                <w:szCs w:val="22"/>
              </w:rPr>
            </w:pPr>
            <w:r>
              <w:rPr>
                <w:rFonts w:ascii="Times New Roman" w:eastAsia="標楷體" w:hAnsi="Times New Roman"/>
                <w:sz w:val="22"/>
                <w:szCs w:val="22"/>
              </w:rPr>
              <w:t>資料來源</w:t>
            </w: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r w:rsidR="0018444C">
        <w:trPr>
          <w:trHeight w:hRule="exact" w:val="397"/>
          <w:jc w:val="right"/>
        </w:trPr>
        <w:tc>
          <w:tcPr>
            <w:tcW w:w="1944" w:type="dxa"/>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980E38">
            <w:pPr>
              <w:pStyle w:val="r0"/>
              <w:spacing w:before="96" w:after="96"/>
              <w:jc w:val="both"/>
              <w:rPr>
                <w:rFonts w:ascii="Times New Roman" w:eastAsia="標楷體" w:hAnsi="Times New Roman"/>
                <w:sz w:val="22"/>
                <w:szCs w:val="22"/>
              </w:rPr>
            </w:pPr>
            <w:r>
              <w:rPr>
                <w:rFonts w:ascii="Times New Roman" w:eastAsia="標楷體" w:hAnsi="Times New Roman"/>
                <w:sz w:val="22"/>
                <w:szCs w:val="22"/>
              </w:rPr>
              <w:t>備註</w:t>
            </w:r>
          </w:p>
        </w:tc>
        <w:tc>
          <w:tcPr>
            <w:tcW w:w="2137"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137"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183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c>
          <w:tcPr>
            <w:tcW w:w="2004"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pStyle w:val="DefaultText"/>
              <w:tabs>
                <w:tab w:val="left" w:pos="720"/>
                <w:tab w:val="left" w:pos="2033"/>
                <w:tab w:val="left" w:pos="2160"/>
                <w:tab w:val="left" w:pos="2880"/>
                <w:tab w:val="left" w:pos="3600"/>
                <w:tab w:val="left" w:pos="4320"/>
                <w:tab w:val="left" w:pos="5040"/>
                <w:tab w:val="left" w:pos="5760"/>
                <w:tab w:val="left" w:pos="6480"/>
                <w:tab w:val="left" w:pos="7200"/>
                <w:tab w:val="left" w:pos="7920"/>
                <w:tab w:val="left" w:pos="8640"/>
              </w:tabs>
              <w:spacing w:before="96" w:after="96" w:line="240" w:lineRule="auto"/>
              <w:jc w:val="center"/>
              <w:rPr>
                <w:rFonts w:ascii="Times New Roman" w:eastAsia="標楷體" w:hAnsi="Times New Roman"/>
                <w:sz w:val="22"/>
                <w:szCs w:val="22"/>
              </w:rPr>
            </w:pPr>
          </w:p>
        </w:tc>
      </w:tr>
    </w:tbl>
    <w:p w:rsidR="0018444C" w:rsidRDefault="0018444C">
      <w:pPr>
        <w:pStyle w:val="CCISa"/>
        <w:spacing w:line="400" w:lineRule="exact"/>
        <w:ind w:left="2574"/>
        <w:rPr>
          <w:rFonts w:ascii="Times New Roman" w:eastAsia="標楷體" w:hAnsi="Times New Roman"/>
          <w:sz w:val="28"/>
          <w:szCs w:val="28"/>
        </w:rPr>
      </w:pPr>
    </w:p>
    <w:p w:rsidR="0018444C" w:rsidRDefault="00980E38">
      <w:pPr>
        <w:pStyle w:val="CCISa"/>
        <w:spacing w:line="400" w:lineRule="exact"/>
        <w:ind w:hanging="144"/>
      </w:pPr>
      <w:r>
        <w:rPr>
          <w:rFonts w:ascii="Times New Roman" w:eastAsia="標楷體" w:hAnsi="Times New Roman"/>
          <w:sz w:val="24"/>
          <w:szCs w:val="24"/>
        </w:rPr>
        <w:t>《注意須知》：</w:t>
      </w:r>
      <w:r>
        <w:rPr>
          <w:rFonts w:ascii="Times New Roman" w:eastAsia="標楷體" w:hAnsi="Times New Roman"/>
          <w:sz w:val="23"/>
          <w:szCs w:val="23"/>
        </w:rPr>
        <w:t>參見前述「開發後總銷售金額評估」之《注意須知》內容</w:t>
      </w:r>
      <w:r>
        <w:rPr>
          <w:rFonts w:ascii="Times New Roman" w:eastAsia="標楷體" w:hAnsi="Times New Roman"/>
          <w:bCs/>
          <w:sz w:val="24"/>
          <w:szCs w:val="24"/>
        </w:rPr>
        <w:t>。</w:t>
      </w:r>
    </w:p>
    <w:p w:rsidR="0018444C" w:rsidRDefault="00980E38">
      <w:pPr>
        <w:pStyle w:val="CCISa"/>
        <w:pageBreakBefore/>
        <w:spacing w:line="400" w:lineRule="exact"/>
        <w:ind w:left="2545" w:hanging="68"/>
        <w:jc w:val="left"/>
      </w:pPr>
      <w:r>
        <w:rPr>
          <w:rFonts w:ascii="Times New Roman" w:eastAsia="標楷體" w:hAnsi="Times New Roman"/>
          <w:sz w:val="28"/>
          <w:szCs w:val="28"/>
        </w:rPr>
        <w:lastRenderedPageBreak/>
        <w:t>(B)</w:t>
      </w:r>
      <w:proofErr w:type="gramStart"/>
      <w:r>
        <w:rPr>
          <w:rFonts w:ascii="Times New Roman" w:eastAsia="標楷體" w:hAnsi="Times New Roman"/>
          <w:sz w:val="28"/>
          <w:szCs w:val="28"/>
        </w:rPr>
        <w:t>勘估標</w:t>
      </w:r>
      <w:proofErr w:type="gramEnd"/>
      <w:r>
        <w:rPr>
          <w:rFonts w:ascii="Times New Roman" w:eastAsia="標楷體" w:hAnsi="Times New Roman"/>
          <w:sz w:val="28"/>
          <w:szCs w:val="28"/>
        </w:rPr>
        <w:t>的與比較標的區域因素比較表</w:t>
      </w:r>
    </w:p>
    <w:tbl>
      <w:tblPr>
        <w:tblW w:w="9939" w:type="dxa"/>
        <w:jc w:val="center"/>
        <w:tblCellMar>
          <w:left w:w="10" w:type="dxa"/>
          <w:right w:w="10" w:type="dxa"/>
        </w:tblCellMar>
        <w:tblLook w:val="0000" w:firstRow="0" w:lastRow="0" w:firstColumn="0" w:lastColumn="0" w:noHBand="0" w:noVBand="0"/>
      </w:tblPr>
      <w:tblGrid>
        <w:gridCol w:w="661"/>
        <w:gridCol w:w="2488"/>
        <w:gridCol w:w="1262"/>
        <w:gridCol w:w="1134"/>
        <w:gridCol w:w="709"/>
        <w:gridCol w:w="1134"/>
        <w:gridCol w:w="708"/>
        <w:gridCol w:w="1134"/>
        <w:gridCol w:w="709"/>
      </w:tblGrid>
      <w:tr w:rsidR="0018444C">
        <w:trPr>
          <w:cantSplit/>
          <w:trHeight w:val="452"/>
          <w:jc w:val="center"/>
        </w:trPr>
        <w:tc>
          <w:tcPr>
            <w:tcW w:w="661"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主要項目</w:t>
            </w:r>
          </w:p>
        </w:tc>
        <w:tc>
          <w:tcPr>
            <w:tcW w:w="248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次要項目</w:t>
            </w:r>
          </w:p>
        </w:tc>
        <w:tc>
          <w:tcPr>
            <w:tcW w:w="126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proofErr w:type="gramStart"/>
            <w:r>
              <w:rPr>
                <w:rFonts w:ascii="Times New Roman" w:eastAsia="標楷體" w:hAnsi="Times New Roman"/>
                <w:sz w:val="22"/>
              </w:rPr>
              <w:t>勘</w:t>
            </w:r>
            <w:proofErr w:type="gramEnd"/>
            <w:r>
              <w:rPr>
                <w:rFonts w:ascii="Times New Roman" w:eastAsia="標楷體" w:hAnsi="Times New Roman"/>
                <w:sz w:val="22"/>
              </w:rPr>
              <w:t>估建物</w:t>
            </w:r>
          </w:p>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比</w:t>
            </w:r>
            <w:proofErr w:type="gramStart"/>
            <w:r>
              <w:rPr>
                <w:rFonts w:ascii="Times New Roman" w:eastAsia="標楷體" w:hAnsi="Times New Roman"/>
                <w:sz w:val="22"/>
              </w:rPr>
              <w:t>準</w:t>
            </w:r>
            <w:proofErr w:type="gramEnd"/>
            <w:r>
              <w:rPr>
                <w:rFonts w:ascii="Times New Roman" w:eastAsia="標楷體" w:hAnsi="Times New Roman"/>
                <w:sz w:val="22"/>
              </w:rPr>
              <w:t>單元</w:t>
            </w:r>
            <w:r>
              <w:rPr>
                <w:rFonts w:ascii="Times New Roman" w:eastAsia="標楷體" w:hAnsi="Times New Roman"/>
                <w:sz w:val="22"/>
              </w:rPr>
              <w:t>)</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w:t>
            </w:r>
            <w:proofErr w:type="gramStart"/>
            <w:r>
              <w:rPr>
                <w:rFonts w:ascii="Times New Roman" w:eastAsia="標楷體" w:hAnsi="Times New Roman"/>
                <w:sz w:val="22"/>
              </w:rPr>
              <w:t>一</w:t>
            </w:r>
            <w:proofErr w:type="gramEnd"/>
          </w:p>
        </w:tc>
        <w:tc>
          <w:tcPr>
            <w:tcW w:w="70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比較標的二</w:t>
            </w:r>
          </w:p>
        </w:tc>
        <w:tc>
          <w:tcPr>
            <w:tcW w:w="70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比較標的三</w:t>
            </w:r>
          </w:p>
        </w:tc>
        <w:tc>
          <w:tcPr>
            <w:tcW w:w="709"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r>
      <w:tr w:rsidR="0018444C">
        <w:trPr>
          <w:cantSplit/>
          <w:trHeight w:val="289"/>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道路條件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pPr>
            <w:r>
              <w:rPr>
                <w:rFonts w:ascii="Times New Roman" w:eastAsia="標楷體" w:hAnsi="Times New Roman"/>
                <w:sz w:val="22"/>
              </w:rPr>
              <w:t>區域主要道路寬度</w:t>
            </w:r>
            <w:r>
              <w:rPr>
                <w:rFonts w:ascii="Times New Roman" w:eastAsia="標楷體" w:hAnsi="Times New Roman"/>
                <w:bCs/>
                <w:sz w:val="22"/>
              </w:rPr>
              <w:t>(M)</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道路系統及連續性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人車動線規畫及道路配置</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交通運輸條件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客運、公車便利性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鐵路運輸便利性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國道或快速道路便利性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65"/>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停車便利性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環境條件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商業活動強度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ind w:left="113" w:right="113"/>
              <w:jc w:val="cente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土地利用成熟度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古蹟、觀光遊憩設施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服務性設施</w:t>
            </w:r>
            <w:r>
              <w:rPr>
                <w:rFonts w:ascii="Times New Roman" w:eastAsia="標楷體" w:hAnsi="Times New Roman"/>
                <w:sz w:val="22"/>
              </w:rPr>
              <w:t>(</w:t>
            </w:r>
            <w:r>
              <w:rPr>
                <w:rFonts w:ascii="Times New Roman" w:eastAsia="標楷體" w:hAnsi="Times New Roman"/>
                <w:sz w:val="22"/>
              </w:rPr>
              <w:t>郵局</w:t>
            </w:r>
            <w:r>
              <w:rPr>
                <w:rFonts w:ascii="Times New Roman" w:eastAsia="標楷體" w:hAnsi="Times New Roman"/>
                <w:sz w:val="22"/>
              </w:rPr>
              <w:t>.</w:t>
            </w:r>
            <w:r>
              <w:rPr>
                <w:rFonts w:ascii="Times New Roman" w:eastAsia="標楷體" w:hAnsi="Times New Roman"/>
                <w:sz w:val="22"/>
              </w:rPr>
              <w:t>銀行</w:t>
            </w:r>
            <w:r>
              <w:rPr>
                <w:rFonts w:ascii="Times New Roman" w:eastAsia="標楷體" w:hAnsi="Times New Roman"/>
                <w:sz w:val="22"/>
              </w:rPr>
              <w:t>.</w:t>
            </w:r>
            <w:r>
              <w:rPr>
                <w:rFonts w:ascii="Times New Roman" w:eastAsia="標楷體" w:hAnsi="Times New Roman"/>
                <w:sz w:val="22"/>
              </w:rPr>
              <w:t>醫院</w:t>
            </w:r>
            <w:r>
              <w:rPr>
                <w:rFonts w:ascii="Times New Roman" w:eastAsia="標楷體" w:hAnsi="Times New Roman"/>
                <w:sz w:val="22"/>
              </w:rPr>
              <w:t>.</w:t>
            </w:r>
            <w:r>
              <w:rPr>
                <w:rFonts w:ascii="Times New Roman" w:eastAsia="標楷體" w:hAnsi="Times New Roman"/>
                <w:sz w:val="22"/>
              </w:rPr>
              <w:t>機關等設施</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學校</w:t>
            </w:r>
            <w:r>
              <w:rPr>
                <w:rFonts w:ascii="Times New Roman" w:eastAsia="標楷體" w:hAnsi="Times New Roman"/>
                <w:sz w:val="22"/>
              </w:rPr>
              <w:t>(</w:t>
            </w:r>
            <w:r>
              <w:rPr>
                <w:rFonts w:ascii="Times New Roman" w:eastAsia="標楷體" w:hAnsi="Times New Roman"/>
                <w:sz w:val="22"/>
              </w:rPr>
              <w:t>國小、國中、高中、大專院校</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w:t>
            </w:r>
            <w:r>
              <w:rPr>
                <w:rFonts w:ascii="Times New Roman" w:eastAsia="標楷體" w:hAnsi="Times New Roman"/>
                <w:sz w:val="22"/>
              </w:rPr>
              <w:t>(</w:t>
            </w:r>
            <w:r>
              <w:rPr>
                <w:rFonts w:ascii="Times New Roman" w:eastAsia="標楷體" w:hAnsi="Times New Roman"/>
                <w:sz w:val="22"/>
              </w:rPr>
              <w:t>傳統市場、超級市場、超大型購物中心</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廣場、公園、綠地</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嫌惡設施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排水之良否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自然條件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地勢坡度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災害影響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使用分區</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rPr>
            </w:pPr>
            <w:r>
              <w:rPr>
                <w:rFonts w:ascii="Times New Roman" w:eastAsia="標楷體" w:hAnsi="Times New Roman"/>
              </w:rPr>
              <w:t>行政條件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建築或用途管制</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其他</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市場供需情況</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其他</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重大建設影響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未來發展趨勢</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3149"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26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bl>
    <w:p w:rsidR="0018444C" w:rsidRDefault="0018444C">
      <w:pPr>
        <w:pStyle w:val="CCISa"/>
        <w:spacing w:line="400" w:lineRule="exact"/>
        <w:ind w:left="2550" w:hanging="73"/>
        <w:jc w:val="left"/>
        <w:rPr>
          <w:rFonts w:ascii="Times New Roman" w:eastAsia="標楷體" w:hAnsi="Times New Roman"/>
          <w:sz w:val="28"/>
          <w:szCs w:val="28"/>
          <w:u w:val="double"/>
        </w:rPr>
      </w:pPr>
    </w:p>
    <w:p w:rsidR="0018444C" w:rsidRDefault="00980E38">
      <w:pPr>
        <w:pStyle w:val="DefaultText"/>
        <w:spacing w:before="40" w:after="40" w:line="440" w:lineRule="exact"/>
        <w:ind w:left="1890" w:firstLine="12"/>
        <w:jc w:val="both"/>
      </w:pPr>
      <w:r>
        <w:rPr>
          <w:rFonts w:ascii="Times New Roman" w:eastAsia="標楷體" w:hAnsi="Times New Roman"/>
          <w:sz w:val="24"/>
          <w:szCs w:val="24"/>
        </w:rPr>
        <w:t>《注意須知》：參見前述「開發後總銷售金額評估」之《注意須知》內容。</w:t>
      </w:r>
    </w:p>
    <w:p w:rsidR="0018444C" w:rsidRDefault="00980E38">
      <w:pPr>
        <w:pStyle w:val="CCISa"/>
        <w:pageBreakBefore/>
        <w:spacing w:line="400" w:lineRule="exact"/>
        <w:ind w:left="2184"/>
      </w:pPr>
      <w:r>
        <w:rPr>
          <w:rFonts w:ascii="Times New Roman" w:eastAsia="標楷體" w:hAnsi="Times New Roman"/>
          <w:sz w:val="28"/>
          <w:szCs w:val="28"/>
        </w:rPr>
        <w:lastRenderedPageBreak/>
        <w:t xml:space="preserve">  (C)</w:t>
      </w:r>
      <w:proofErr w:type="gramStart"/>
      <w:r>
        <w:rPr>
          <w:rFonts w:ascii="Times New Roman" w:eastAsia="標楷體" w:hAnsi="Times New Roman"/>
          <w:sz w:val="28"/>
          <w:szCs w:val="28"/>
        </w:rPr>
        <w:t>勘估標</w:t>
      </w:r>
      <w:proofErr w:type="gramEnd"/>
      <w:r>
        <w:rPr>
          <w:rFonts w:ascii="Times New Roman" w:eastAsia="標楷體" w:hAnsi="Times New Roman"/>
          <w:sz w:val="28"/>
          <w:szCs w:val="28"/>
        </w:rPr>
        <w:t>的與比較標的個別因素比較表</w:t>
      </w:r>
    </w:p>
    <w:tbl>
      <w:tblPr>
        <w:tblW w:w="9939" w:type="dxa"/>
        <w:tblCellMar>
          <w:left w:w="10" w:type="dxa"/>
          <w:right w:w="10" w:type="dxa"/>
        </w:tblCellMar>
        <w:tblLook w:val="0000" w:firstRow="0" w:lastRow="0" w:firstColumn="0" w:lastColumn="0" w:noHBand="0" w:noVBand="0"/>
      </w:tblPr>
      <w:tblGrid>
        <w:gridCol w:w="661"/>
        <w:gridCol w:w="2488"/>
        <w:gridCol w:w="1262"/>
        <w:gridCol w:w="1134"/>
        <w:gridCol w:w="709"/>
        <w:gridCol w:w="1134"/>
        <w:gridCol w:w="708"/>
        <w:gridCol w:w="1134"/>
        <w:gridCol w:w="709"/>
      </w:tblGrid>
      <w:tr w:rsidR="0018444C">
        <w:trPr>
          <w:cantSplit/>
          <w:trHeight w:val="452"/>
        </w:trPr>
        <w:tc>
          <w:tcPr>
            <w:tcW w:w="661"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主要項目</w:t>
            </w:r>
          </w:p>
        </w:tc>
        <w:tc>
          <w:tcPr>
            <w:tcW w:w="248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次要項目</w:t>
            </w:r>
          </w:p>
        </w:tc>
        <w:tc>
          <w:tcPr>
            <w:tcW w:w="126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proofErr w:type="gramStart"/>
            <w:r>
              <w:rPr>
                <w:rFonts w:ascii="Times New Roman" w:eastAsia="標楷體" w:hAnsi="Times New Roman"/>
                <w:sz w:val="22"/>
              </w:rPr>
              <w:t>勘</w:t>
            </w:r>
            <w:proofErr w:type="gramEnd"/>
            <w:r>
              <w:rPr>
                <w:rFonts w:ascii="Times New Roman" w:eastAsia="標楷體" w:hAnsi="Times New Roman"/>
                <w:sz w:val="22"/>
              </w:rPr>
              <w:t>估建物</w:t>
            </w:r>
          </w:p>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比</w:t>
            </w:r>
            <w:proofErr w:type="gramStart"/>
            <w:r>
              <w:rPr>
                <w:rFonts w:ascii="Times New Roman" w:eastAsia="標楷體" w:hAnsi="Times New Roman"/>
                <w:sz w:val="22"/>
              </w:rPr>
              <w:t>準</w:t>
            </w:r>
            <w:proofErr w:type="gramEnd"/>
            <w:r>
              <w:rPr>
                <w:rFonts w:ascii="Times New Roman" w:eastAsia="標楷體" w:hAnsi="Times New Roman"/>
                <w:sz w:val="22"/>
              </w:rPr>
              <w:t>單元</w:t>
            </w:r>
            <w:r>
              <w:rPr>
                <w:rFonts w:ascii="Times New Roman" w:eastAsia="標楷體" w:hAnsi="Times New Roman"/>
                <w:sz w:val="22"/>
              </w:rPr>
              <w:t>)</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w:t>
            </w:r>
            <w:proofErr w:type="gramStart"/>
            <w:r>
              <w:rPr>
                <w:rFonts w:ascii="Times New Roman" w:eastAsia="標楷體" w:hAnsi="Times New Roman"/>
                <w:sz w:val="22"/>
              </w:rPr>
              <w:t>一</w:t>
            </w:r>
            <w:proofErr w:type="gramEnd"/>
          </w:p>
        </w:tc>
        <w:tc>
          <w:tcPr>
            <w:tcW w:w="70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比較標的二</w:t>
            </w:r>
          </w:p>
        </w:tc>
        <w:tc>
          <w:tcPr>
            <w:tcW w:w="70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比較標的三</w:t>
            </w:r>
          </w:p>
        </w:tc>
        <w:tc>
          <w:tcPr>
            <w:tcW w:w="709"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r>
      <w:tr w:rsidR="0018444C">
        <w:trPr>
          <w:cantSplit/>
          <w:trHeight w:val="289"/>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道路條件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pPr>
            <w:r>
              <w:rPr>
                <w:rFonts w:ascii="Times New Roman" w:eastAsia="標楷體" w:hAnsi="Times New Roman"/>
                <w:sz w:val="22"/>
              </w:rPr>
              <w:t>區域主要道路寬度</w:t>
            </w:r>
            <w:r>
              <w:rPr>
                <w:rFonts w:ascii="Times New Roman" w:eastAsia="標楷體" w:hAnsi="Times New Roman"/>
                <w:bCs/>
                <w:sz w:val="22"/>
              </w:rPr>
              <w:t>(M)</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道路系統及連續性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人車動線規畫及道路配置</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交通運輸條件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客運、公車便利性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鐵路運輸便利性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國道或快速道路便利性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65"/>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停車便利性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環境條件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商業活動強度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ind w:left="113" w:right="113"/>
              <w:jc w:val="cente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土地利用成熟度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古蹟、觀光遊憩設施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服務性設施</w:t>
            </w:r>
            <w:r>
              <w:rPr>
                <w:rFonts w:ascii="Times New Roman" w:eastAsia="標楷體" w:hAnsi="Times New Roman"/>
                <w:sz w:val="22"/>
              </w:rPr>
              <w:t>(</w:t>
            </w:r>
            <w:r>
              <w:rPr>
                <w:rFonts w:ascii="Times New Roman" w:eastAsia="標楷體" w:hAnsi="Times New Roman"/>
                <w:sz w:val="22"/>
              </w:rPr>
              <w:t>郵局</w:t>
            </w:r>
            <w:r>
              <w:rPr>
                <w:rFonts w:ascii="Times New Roman" w:eastAsia="標楷體" w:hAnsi="Times New Roman"/>
                <w:sz w:val="22"/>
              </w:rPr>
              <w:t>.</w:t>
            </w:r>
            <w:r>
              <w:rPr>
                <w:rFonts w:ascii="Times New Roman" w:eastAsia="標楷體" w:hAnsi="Times New Roman"/>
                <w:sz w:val="22"/>
              </w:rPr>
              <w:t>銀行</w:t>
            </w:r>
            <w:r>
              <w:rPr>
                <w:rFonts w:ascii="Times New Roman" w:eastAsia="標楷體" w:hAnsi="Times New Roman"/>
                <w:sz w:val="22"/>
              </w:rPr>
              <w:t>.</w:t>
            </w:r>
            <w:r>
              <w:rPr>
                <w:rFonts w:ascii="Times New Roman" w:eastAsia="標楷體" w:hAnsi="Times New Roman"/>
                <w:sz w:val="22"/>
              </w:rPr>
              <w:t>醫院</w:t>
            </w:r>
            <w:r>
              <w:rPr>
                <w:rFonts w:ascii="Times New Roman" w:eastAsia="標楷體" w:hAnsi="Times New Roman"/>
                <w:sz w:val="22"/>
              </w:rPr>
              <w:t>.</w:t>
            </w:r>
            <w:r>
              <w:rPr>
                <w:rFonts w:ascii="Times New Roman" w:eastAsia="標楷體" w:hAnsi="Times New Roman"/>
                <w:sz w:val="22"/>
              </w:rPr>
              <w:t>機關等設施</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學校</w:t>
            </w:r>
            <w:r>
              <w:rPr>
                <w:rFonts w:ascii="Times New Roman" w:eastAsia="標楷體" w:hAnsi="Times New Roman"/>
                <w:sz w:val="22"/>
              </w:rPr>
              <w:t>(</w:t>
            </w:r>
            <w:r>
              <w:rPr>
                <w:rFonts w:ascii="Times New Roman" w:eastAsia="標楷體" w:hAnsi="Times New Roman"/>
                <w:sz w:val="22"/>
              </w:rPr>
              <w:t>國小、國中、高中、大專院校</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w:t>
            </w:r>
            <w:r>
              <w:rPr>
                <w:rFonts w:ascii="Times New Roman" w:eastAsia="標楷體" w:hAnsi="Times New Roman"/>
                <w:sz w:val="22"/>
              </w:rPr>
              <w:t>(</w:t>
            </w:r>
            <w:r>
              <w:rPr>
                <w:rFonts w:ascii="Times New Roman" w:eastAsia="標楷體" w:hAnsi="Times New Roman"/>
                <w:sz w:val="22"/>
              </w:rPr>
              <w:t>傳統市場、超級市場、超大型購物中心</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廣場、公園、綠地</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嫌惡設施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排水之良否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自然條件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地勢坡度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災害影響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使用分區</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rPr>
            </w:pPr>
            <w:r>
              <w:rPr>
                <w:rFonts w:ascii="Times New Roman" w:eastAsia="標楷體" w:hAnsi="Times New Roman"/>
              </w:rPr>
              <w:t>行政條件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建築或用途管制</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其他</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市場供需情況</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其他</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重大建設影響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未來發展趨勢</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Pr>
        <w:tc>
          <w:tcPr>
            <w:tcW w:w="3149"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26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bl>
    <w:p w:rsidR="0018444C" w:rsidRDefault="0018444C">
      <w:pPr>
        <w:rPr>
          <w:rFonts w:ascii="Times New Roman" w:eastAsia="標楷體" w:hAnsi="Times New Roman"/>
        </w:rPr>
      </w:pPr>
    </w:p>
    <w:p w:rsidR="0018444C" w:rsidRDefault="00980E38">
      <w:pPr>
        <w:pStyle w:val="DefaultText"/>
        <w:spacing w:before="40" w:after="40" w:line="440" w:lineRule="exact"/>
        <w:ind w:left="1890" w:firstLine="12"/>
        <w:jc w:val="both"/>
      </w:pPr>
      <w:r>
        <w:rPr>
          <w:rFonts w:ascii="Times New Roman" w:eastAsia="標楷體" w:hAnsi="Times New Roman"/>
          <w:sz w:val="24"/>
        </w:rPr>
        <w:t>《注意須知</w:t>
      </w:r>
      <w:r>
        <w:rPr>
          <w:rFonts w:ascii="Times New Roman" w:eastAsia="標楷體" w:hAnsi="Times New Roman"/>
          <w:sz w:val="24"/>
          <w:szCs w:val="24"/>
        </w:rPr>
        <w:t>》：參見前述「開發後總銷售金額評估」之《注意須知》內容。</w:t>
      </w:r>
    </w:p>
    <w:p w:rsidR="0018444C" w:rsidRDefault="0018444C">
      <w:pPr>
        <w:pStyle w:val="DefaultText"/>
        <w:spacing w:before="40" w:after="40" w:line="440" w:lineRule="exact"/>
        <w:ind w:left="-249"/>
        <w:jc w:val="both"/>
        <w:rPr>
          <w:rFonts w:ascii="Times New Roman" w:eastAsia="標楷體" w:hAnsi="Times New Roman"/>
          <w:sz w:val="24"/>
          <w:u w:val="double"/>
        </w:rPr>
      </w:pPr>
    </w:p>
    <w:p w:rsidR="0018444C" w:rsidRDefault="0018444C">
      <w:pPr>
        <w:pageBreakBefore/>
        <w:widowControl/>
        <w:suppressAutoHyphens w:val="0"/>
      </w:pPr>
    </w:p>
    <w:p w:rsidR="0018444C" w:rsidRDefault="00980E38">
      <w:pPr>
        <w:pStyle w:val="CCISa"/>
        <w:spacing w:line="400" w:lineRule="exact"/>
        <w:ind w:left="-674"/>
        <w:jc w:val="center"/>
        <w:rPr>
          <w:rFonts w:ascii="Times New Roman" w:eastAsia="標楷體" w:hAnsi="Times New Roman"/>
          <w:sz w:val="28"/>
          <w:szCs w:val="28"/>
        </w:rPr>
      </w:pPr>
      <w:r>
        <w:rPr>
          <w:rFonts w:ascii="Times New Roman" w:eastAsia="標楷體" w:hAnsi="Times New Roman"/>
          <w:sz w:val="28"/>
          <w:szCs w:val="28"/>
        </w:rPr>
        <w:t>(D)</w:t>
      </w:r>
      <w:proofErr w:type="gramStart"/>
      <w:r>
        <w:rPr>
          <w:rFonts w:ascii="Times New Roman" w:eastAsia="標楷體" w:hAnsi="Times New Roman"/>
          <w:sz w:val="28"/>
          <w:szCs w:val="28"/>
        </w:rPr>
        <w:t>勘估標</w:t>
      </w:r>
      <w:proofErr w:type="gramEnd"/>
      <w:r>
        <w:rPr>
          <w:rFonts w:ascii="Times New Roman" w:eastAsia="標楷體" w:hAnsi="Times New Roman"/>
          <w:sz w:val="28"/>
          <w:szCs w:val="28"/>
        </w:rPr>
        <w:t>的與比較標的總調整表</w:t>
      </w:r>
    </w:p>
    <w:tbl>
      <w:tblPr>
        <w:tblW w:w="9072" w:type="dxa"/>
        <w:jc w:val="center"/>
        <w:tblLayout w:type="fixed"/>
        <w:tblCellMar>
          <w:left w:w="10" w:type="dxa"/>
          <w:right w:w="10" w:type="dxa"/>
        </w:tblCellMar>
        <w:tblLook w:val="0000" w:firstRow="0" w:lastRow="0" w:firstColumn="0" w:lastColumn="0" w:noHBand="0" w:noVBand="0"/>
      </w:tblPr>
      <w:tblGrid>
        <w:gridCol w:w="1276"/>
        <w:gridCol w:w="1694"/>
        <w:gridCol w:w="2133"/>
        <w:gridCol w:w="1984"/>
        <w:gridCol w:w="1985"/>
      </w:tblGrid>
      <w:tr w:rsidR="0018444C">
        <w:trPr>
          <w:cantSplit/>
          <w:trHeight w:hRule="exact" w:val="660"/>
          <w:jc w:val="center"/>
        </w:trPr>
        <w:tc>
          <w:tcPr>
            <w:tcW w:w="2970" w:type="dxa"/>
            <w:gridSpan w:val="2"/>
            <w:tcBorders>
              <w:top w:val="double" w:sz="4"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項目</w:t>
            </w:r>
          </w:p>
        </w:tc>
        <w:tc>
          <w:tcPr>
            <w:tcW w:w="2133" w:type="dxa"/>
            <w:tcBorders>
              <w:top w:val="double" w:sz="4"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center"/>
              <w:rPr>
                <w:rFonts w:ascii="Times New Roman" w:eastAsia="標楷體" w:hAnsi="Times New Roman"/>
                <w:sz w:val="22"/>
                <w:szCs w:val="22"/>
              </w:rPr>
            </w:pPr>
            <w:r>
              <w:rPr>
                <w:rFonts w:ascii="Times New Roman" w:eastAsia="標楷體" w:hAnsi="Times New Roman"/>
                <w:sz w:val="22"/>
                <w:szCs w:val="22"/>
              </w:rPr>
              <w:t>比較標的</w:t>
            </w:r>
            <w:proofErr w:type="gramStart"/>
            <w:r>
              <w:rPr>
                <w:rFonts w:ascii="Times New Roman" w:eastAsia="標楷體" w:hAnsi="Times New Roman"/>
                <w:sz w:val="22"/>
                <w:szCs w:val="22"/>
              </w:rPr>
              <w:t>一</w:t>
            </w:r>
            <w:proofErr w:type="gramEnd"/>
          </w:p>
        </w:tc>
        <w:tc>
          <w:tcPr>
            <w:tcW w:w="1984" w:type="dxa"/>
            <w:tcBorders>
              <w:top w:val="double" w:sz="4"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center"/>
              <w:rPr>
                <w:rFonts w:ascii="Times New Roman" w:eastAsia="標楷體" w:hAnsi="Times New Roman"/>
                <w:sz w:val="22"/>
                <w:szCs w:val="22"/>
              </w:rPr>
            </w:pPr>
            <w:r>
              <w:rPr>
                <w:rFonts w:ascii="Times New Roman" w:eastAsia="標楷體" w:hAnsi="Times New Roman"/>
                <w:sz w:val="22"/>
                <w:szCs w:val="22"/>
              </w:rPr>
              <w:t>比較標的二</w:t>
            </w:r>
          </w:p>
        </w:tc>
        <w:tc>
          <w:tcPr>
            <w:tcW w:w="1985" w:type="dxa"/>
            <w:tcBorders>
              <w:top w:val="double" w:sz="4"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center"/>
              <w:rPr>
                <w:rFonts w:ascii="Times New Roman" w:eastAsia="標楷體" w:hAnsi="Times New Roman"/>
                <w:sz w:val="22"/>
                <w:szCs w:val="22"/>
              </w:rPr>
            </w:pPr>
            <w:r>
              <w:rPr>
                <w:rFonts w:ascii="Times New Roman" w:eastAsia="標楷體" w:hAnsi="Times New Roman"/>
                <w:sz w:val="22"/>
                <w:szCs w:val="22"/>
              </w:rPr>
              <w:t>比較標的三</w:t>
            </w:r>
          </w:p>
        </w:tc>
      </w:tr>
      <w:tr w:rsidR="0018444C">
        <w:trPr>
          <w:cantSplit/>
          <w:trHeight w:hRule="exact" w:val="34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0"/>
              <w:spacing w:line="300" w:lineRule="exact"/>
              <w:jc w:val="both"/>
              <w:rPr>
                <w:rFonts w:ascii="Times New Roman" w:eastAsia="標楷體" w:hAnsi="Times New Roman"/>
                <w:sz w:val="22"/>
                <w:szCs w:val="22"/>
              </w:rPr>
            </w:pPr>
            <w:r>
              <w:rPr>
                <w:rFonts w:ascii="Times New Roman" w:eastAsia="標楷體" w:hAnsi="Times New Roman"/>
                <w:sz w:val="22"/>
                <w:szCs w:val="22"/>
              </w:rPr>
              <w:t>租金單價</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0"/>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價格型態</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情況因素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40"/>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調整後租金</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價格日期</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40"/>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調整後租金</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區域因素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40"/>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調整後租金</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1276" w:type="dxa"/>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個別因素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4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試算租金</w:t>
            </w:r>
            <w:r>
              <w:rPr>
                <w:rFonts w:ascii="Times New Roman" w:eastAsia="標楷體" w:hAnsi="Times New Roman"/>
                <w:sz w:val="22"/>
              </w:rPr>
              <w:t>(</w:t>
            </w:r>
            <w:r>
              <w:rPr>
                <w:rFonts w:ascii="Times New Roman" w:eastAsia="標楷體" w:hAnsi="Times New Roman"/>
                <w:sz w:val="22"/>
              </w:rPr>
              <w:t>元</w:t>
            </w:r>
            <w:r>
              <w:rPr>
                <w:rFonts w:ascii="Times New Roman" w:eastAsia="標楷體" w:hAnsi="Times New Roman"/>
                <w:sz w:val="22"/>
              </w:rPr>
              <w:t>/</w:t>
            </w:r>
            <w:r>
              <w:rPr>
                <w:rFonts w:ascii="Times New Roman" w:eastAsia="標楷體" w:hAnsi="Times New Roman"/>
                <w:sz w:val="22"/>
              </w:rPr>
              <w:t>坪</w:t>
            </w:r>
            <w:r>
              <w:rPr>
                <w:rFonts w:ascii="Times New Roman" w:eastAsia="標楷體" w:hAnsi="Times New Roman"/>
                <w:sz w:val="22"/>
              </w:rPr>
              <w:t>/</w:t>
            </w:r>
            <w:r>
              <w:rPr>
                <w:rFonts w:ascii="Times New Roman" w:eastAsia="標楷體" w:hAnsi="Times New Roman"/>
                <w:sz w:val="22"/>
              </w:rPr>
              <w:t>月</w:t>
            </w:r>
            <w:r>
              <w:rPr>
                <w:rFonts w:ascii="Times New Roman" w:eastAsia="標楷體" w:hAnsi="Times New Roman"/>
                <w:sz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比較標的加權數</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40"/>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加權數計算後租金</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40"/>
          <w:jc w:val="center"/>
        </w:trPr>
        <w:tc>
          <w:tcPr>
            <w:tcW w:w="2970"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最後推定比較租金</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r>
              <w:rPr>
                <w:rFonts w:ascii="Times New Roman" w:eastAsia="標楷體" w:hAnsi="Times New Roman"/>
                <w:sz w:val="22"/>
                <w:szCs w:val="22"/>
              </w:rPr>
              <w:t>月</w:t>
            </w:r>
            <w:r>
              <w:rPr>
                <w:rFonts w:ascii="Times New Roman" w:eastAsia="標楷體" w:hAnsi="Times New Roman"/>
                <w:sz w:val="22"/>
                <w:szCs w:val="22"/>
              </w:rPr>
              <w:t>)</w:t>
            </w:r>
          </w:p>
        </w:tc>
        <w:tc>
          <w:tcPr>
            <w:tcW w:w="6102"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r0"/>
              <w:spacing w:line="300" w:lineRule="exact"/>
              <w:jc w:val="both"/>
              <w:rPr>
                <w:rFonts w:ascii="Times New Roman" w:eastAsia="標楷體" w:hAnsi="Times New Roman"/>
                <w:sz w:val="22"/>
                <w:szCs w:val="22"/>
              </w:rPr>
            </w:pPr>
          </w:p>
        </w:tc>
      </w:tr>
    </w:tbl>
    <w:p w:rsidR="0018444C" w:rsidRDefault="0018444C">
      <w:pPr>
        <w:pStyle w:val="CCISa"/>
        <w:spacing w:line="400" w:lineRule="exact"/>
        <w:ind w:left="-674"/>
        <w:jc w:val="center"/>
        <w:rPr>
          <w:rFonts w:ascii="Times New Roman" w:eastAsia="標楷體" w:hAnsi="Times New Roman"/>
          <w:szCs w:val="24"/>
        </w:rPr>
      </w:pPr>
    </w:p>
    <w:p w:rsidR="0018444C" w:rsidRDefault="00980E38">
      <w:pPr>
        <w:pStyle w:val="DefaultText"/>
        <w:spacing w:before="40" w:after="40" w:line="440" w:lineRule="exact"/>
        <w:ind w:left="1560"/>
        <w:jc w:val="both"/>
      </w:pPr>
      <w:r>
        <w:rPr>
          <w:rFonts w:ascii="Times New Roman" w:eastAsia="標楷體" w:hAnsi="Times New Roman"/>
          <w:sz w:val="24"/>
        </w:rPr>
        <w:t>《注意須知</w:t>
      </w:r>
      <w:r>
        <w:rPr>
          <w:rFonts w:ascii="Times New Roman" w:eastAsia="標楷體" w:hAnsi="Times New Roman"/>
          <w:sz w:val="24"/>
          <w:szCs w:val="24"/>
        </w:rPr>
        <w:t>》：參見前述「開發後總銷售金額評估」之《注意須知》內容。</w:t>
      </w:r>
    </w:p>
    <w:p w:rsidR="0018444C" w:rsidRDefault="00980E38">
      <w:pPr>
        <w:pStyle w:val="DefaultText"/>
        <w:spacing w:before="40" w:after="40" w:line="440" w:lineRule="exact"/>
        <w:ind w:left="1560"/>
        <w:jc w:val="both"/>
      </w:pPr>
      <w:r>
        <w:rPr>
          <w:rFonts w:ascii="Times New Roman" w:eastAsia="標楷體" w:hAnsi="Times New Roman"/>
          <w:szCs w:val="28"/>
        </w:rPr>
        <w:t>B.</w:t>
      </w:r>
      <w:r>
        <w:rPr>
          <w:rFonts w:ascii="Times New Roman" w:eastAsia="標楷體" w:hAnsi="Times New Roman"/>
          <w:szCs w:val="28"/>
        </w:rPr>
        <w:t>年總收入推估：</w:t>
      </w:r>
    </w:p>
    <w:p w:rsidR="0018444C" w:rsidRDefault="00980E38">
      <w:pPr>
        <w:pStyle w:val="DefaultText"/>
        <w:spacing w:before="40" w:after="40" w:line="440" w:lineRule="exact"/>
        <w:ind w:left="1890" w:firstLine="12"/>
        <w:jc w:val="both"/>
      </w:pPr>
      <w:r>
        <w:rPr>
          <w:rFonts w:ascii="Times New Roman" w:eastAsia="標楷體" w:hAnsi="Times New Roman"/>
          <w:sz w:val="24"/>
        </w:rPr>
        <w:t>《注意須知</w:t>
      </w:r>
      <w:r>
        <w:rPr>
          <w:rFonts w:ascii="Times New Roman" w:eastAsia="標楷體" w:hAnsi="Times New Roman"/>
          <w:sz w:val="24"/>
          <w:szCs w:val="24"/>
        </w:rPr>
        <w:t>》：年總收入，指價格日期當時</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的按法定用途出租或營運，在正常情況下所獲得之租金或收入之數額，其中包括</w:t>
      </w:r>
      <w:r>
        <w:rPr>
          <w:rFonts w:ascii="Times New Roman" w:eastAsia="標楷體" w:hAnsi="Times New Roman"/>
          <w:sz w:val="24"/>
          <w:szCs w:val="24"/>
        </w:rPr>
        <w:t>1.</w:t>
      </w:r>
      <w:r>
        <w:rPr>
          <w:rFonts w:ascii="Times New Roman" w:eastAsia="標楷體" w:hAnsi="Times New Roman"/>
          <w:sz w:val="24"/>
          <w:szCs w:val="24"/>
        </w:rPr>
        <w:t>每期收入之租金、</w:t>
      </w:r>
      <w:r>
        <w:rPr>
          <w:rFonts w:ascii="Times New Roman" w:eastAsia="標楷體" w:hAnsi="Times New Roman"/>
          <w:sz w:val="24"/>
          <w:szCs w:val="24"/>
        </w:rPr>
        <w:t>2.</w:t>
      </w:r>
      <w:r>
        <w:rPr>
          <w:rFonts w:ascii="Times New Roman" w:eastAsia="標楷體" w:hAnsi="Times New Roman"/>
          <w:sz w:val="24"/>
          <w:szCs w:val="24"/>
        </w:rPr>
        <w:t>權利</w:t>
      </w:r>
      <w:proofErr w:type="gramStart"/>
      <w:r>
        <w:rPr>
          <w:rFonts w:ascii="Times New Roman" w:eastAsia="標楷體" w:hAnsi="Times New Roman"/>
          <w:sz w:val="24"/>
          <w:szCs w:val="24"/>
        </w:rPr>
        <w:t>金攤算</w:t>
      </w:r>
      <w:proofErr w:type="gramEnd"/>
      <w:r>
        <w:rPr>
          <w:rFonts w:ascii="Times New Roman" w:eastAsia="標楷體" w:hAnsi="Times New Roman"/>
          <w:sz w:val="24"/>
          <w:szCs w:val="24"/>
        </w:rPr>
        <w:t>為每期之租金收入、</w:t>
      </w:r>
      <w:r>
        <w:rPr>
          <w:rFonts w:ascii="Times New Roman" w:eastAsia="標楷體" w:hAnsi="Times New Roman"/>
          <w:sz w:val="24"/>
          <w:szCs w:val="24"/>
        </w:rPr>
        <w:t>3.</w:t>
      </w:r>
      <w:r>
        <w:rPr>
          <w:rFonts w:ascii="Times New Roman" w:eastAsia="標楷體" w:hAnsi="Times New Roman"/>
          <w:sz w:val="24"/>
          <w:szCs w:val="24"/>
        </w:rPr>
        <w:t>押金或保證金運用收益、</w:t>
      </w:r>
      <w:r>
        <w:rPr>
          <w:rFonts w:ascii="Times New Roman" w:eastAsia="標楷體" w:hAnsi="Times New Roman"/>
          <w:sz w:val="24"/>
          <w:szCs w:val="24"/>
        </w:rPr>
        <w:t>4.</w:t>
      </w:r>
      <w:r>
        <w:rPr>
          <w:rFonts w:ascii="Times New Roman" w:eastAsia="標楷體" w:hAnsi="Times New Roman"/>
          <w:sz w:val="24"/>
          <w:szCs w:val="24"/>
        </w:rPr>
        <w:t>其他營運收入等。推估時得按地上樓層、地下車位及其他收入來源合計。各樓層租金收入推估並請考慮樓層別效用比計算。並依不動產估價技術規則第三十三條第一項規定：「客觀淨收益應以</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的作最有效使用之客觀淨收益為基準，並參酌鄰近類似不動產在最有效使用情況下之收益推算之。」推估之。</w:t>
      </w:r>
    </w:p>
    <w:p w:rsidR="0018444C" w:rsidRDefault="00980E38">
      <w:pPr>
        <w:pStyle w:val="CCISa"/>
        <w:spacing w:line="400" w:lineRule="exact"/>
        <w:ind w:left="1843"/>
        <w:rPr>
          <w:rFonts w:ascii="Times New Roman" w:eastAsia="標楷體" w:hAnsi="Times New Roman"/>
          <w:sz w:val="28"/>
          <w:szCs w:val="28"/>
        </w:rPr>
      </w:pPr>
      <w:r>
        <w:rPr>
          <w:rFonts w:ascii="Times New Roman" w:eastAsia="標楷體" w:hAnsi="Times New Roman"/>
          <w:sz w:val="28"/>
          <w:szCs w:val="28"/>
        </w:rPr>
        <w:t>C.</w:t>
      </w:r>
      <w:r>
        <w:rPr>
          <w:rFonts w:ascii="Times New Roman" w:eastAsia="標楷體" w:hAnsi="Times New Roman"/>
          <w:sz w:val="28"/>
          <w:szCs w:val="28"/>
        </w:rPr>
        <w:t>有效總收入推估：</w:t>
      </w:r>
    </w:p>
    <w:p w:rsidR="0018444C" w:rsidRDefault="00980E38">
      <w:pPr>
        <w:pStyle w:val="DefaultText"/>
        <w:spacing w:before="40" w:after="40" w:line="440" w:lineRule="exact"/>
        <w:ind w:left="1890" w:firstLine="12"/>
        <w:jc w:val="both"/>
      </w:pPr>
      <w:r>
        <w:rPr>
          <w:rFonts w:ascii="Times New Roman" w:eastAsia="標楷體" w:hAnsi="Times New Roman"/>
          <w:sz w:val="24"/>
        </w:rPr>
        <w:t>《注意須知</w:t>
      </w:r>
      <w:r>
        <w:rPr>
          <w:rFonts w:ascii="Times New Roman" w:eastAsia="標楷體" w:hAnsi="Times New Roman"/>
          <w:sz w:val="24"/>
          <w:szCs w:val="24"/>
        </w:rPr>
        <w:t>》：推算閒置及其他原因所造成之收入損失，以總收入扣除收入損失後之餘額為</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的之有效總收入。</w:t>
      </w:r>
    </w:p>
    <w:p w:rsidR="0018444C" w:rsidRDefault="00980E38">
      <w:pPr>
        <w:pStyle w:val="CCISa"/>
        <w:spacing w:line="400" w:lineRule="exact"/>
        <w:ind w:left="1843"/>
        <w:rPr>
          <w:rFonts w:ascii="Times New Roman" w:eastAsia="標楷體" w:hAnsi="Times New Roman"/>
          <w:sz w:val="28"/>
          <w:szCs w:val="28"/>
        </w:rPr>
      </w:pPr>
      <w:r>
        <w:rPr>
          <w:rFonts w:ascii="Times New Roman" w:eastAsia="標楷體" w:hAnsi="Times New Roman"/>
          <w:sz w:val="28"/>
          <w:szCs w:val="28"/>
        </w:rPr>
        <w:t>D.</w:t>
      </w:r>
      <w:r>
        <w:rPr>
          <w:rFonts w:ascii="Times New Roman" w:eastAsia="標楷體" w:hAnsi="Times New Roman"/>
          <w:sz w:val="28"/>
          <w:szCs w:val="28"/>
        </w:rPr>
        <w:t>總費用推估：</w:t>
      </w:r>
    </w:p>
    <w:p w:rsidR="0018444C" w:rsidRDefault="00980E38">
      <w:pPr>
        <w:pStyle w:val="DefaultText"/>
        <w:spacing w:before="40" w:after="40" w:line="440" w:lineRule="exact"/>
        <w:ind w:left="1890" w:firstLine="12"/>
        <w:jc w:val="both"/>
      </w:pPr>
      <w:r>
        <w:rPr>
          <w:rFonts w:ascii="Times New Roman" w:eastAsia="標楷體" w:hAnsi="Times New Roman"/>
          <w:sz w:val="24"/>
        </w:rPr>
        <w:t>《注意須知</w:t>
      </w:r>
      <w:r>
        <w:rPr>
          <w:rFonts w:ascii="Times New Roman" w:eastAsia="標楷體" w:hAnsi="Times New Roman"/>
          <w:sz w:val="24"/>
          <w:szCs w:val="24"/>
        </w:rPr>
        <w:t>》：請依不動產估價技術規則規定詳加計算填載。</w:t>
      </w:r>
    </w:p>
    <w:p w:rsidR="0018444C" w:rsidRDefault="00980E38">
      <w:pPr>
        <w:pStyle w:val="CCISa"/>
        <w:spacing w:line="400" w:lineRule="exact"/>
        <w:ind w:left="1843"/>
        <w:rPr>
          <w:rFonts w:ascii="Times New Roman" w:eastAsia="標楷體" w:hAnsi="Times New Roman"/>
          <w:sz w:val="28"/>
          <w:szCs w:val="28"/>
        </w:rPr>
      </w:pPr>
      <w:r>
        <w:rPr>
          <w:rFonts w:ascii="Times New Roman" w:eastAsia="標楷體" w:hAnsi="Times New Roman"/>
          <w:sz w:val="28"/>
          <w:szCs w:val="28"/>
        </w:rPr>
        <w:t>E.</w:t>
      </w:r>
      <w:r>
        <w:rPr>
          <w:rFonts w:ascii="Times New Roman" w:eastAsia="標楷體" w:hAnsi="Times New Roman"/>
          <w:sz w:val="28"/>
          <w:szCs w:val="28"/>
        </w:rPr>
        <w:t>淨收益推估：</w:t>
      </w:r>
    </w:p>
    <w:p w:rsidR="0018444C" w:rsidRDefault="00980E38">
      <w:pPr>
        <w:pStyle w:val="DefaultText"/>
        <w:spacing w:before="40" w:after="40" w:line="440" w:lineRule="exact"/>
        <w:ind w:left="1890" w:firstLine="12"/>
        <w:jc w:val="both"/>
      </w:pPr>
      <w:r>
        <w:rPr>
          <w:rFonts w:ascii="Times New Roman" w:eastAsia="標楷體" w:hAnsi="Times New Roman"/>
          <w:sz w:val="24"/>
        </w:rPr>
        <w:t>《注意須知</w:t>
      </w:r>
      <w:r>
        <w:rPr>
          <w:rFonts w:ascii="Times New Roman" w:eastAsia="標楷體" w:hAnsi="Times New Roman"/>
          <w:sz w:val="24"/>
          <w:szCs w:val="24"/>
        </w:rPr>
        <w:t>》：請依不動產估價技術規則規定詳加計算填載。</w:t>
      </w:r>
    </w:p>
    <w:p w:rsidR="0018444C" w:rsidRDefault="00980E38">
      <w:pPr>
        <w:pStyle w:val="CCISa"/>
        <w:spacing w:line="400" w:lineRule="exact"/>
        <w:ind w:left="1843"/>
        <w:rPr>
          <w:rFonts w:ascii="Times New Roman" w:eastAsia="標楷體" w:hAnsi="Times New Roman"/>
          <w:sz w:val="28"/>
          <w:szCs w:val="28"/>
        </w:rPr>
      </w:pPr>
      <w:r>
        <w:rPr>
          <w:rFonts w:ascii="Times New Roman" w:eastAsia="標楷體" w:hAnsi="Times New Roman"/>
          <w:sz w:val="28"/>
          <w:szCs w:val="28"/>
        </w:rPr>
        <w:t>F.</w:t>
      </w:r>
      <w:r>
        <w:rPr>
          <w:rFonts w:ascii="Times New Roman" w:eastAsia="標楷體" w:hAnsi="Times New Roman"/>
          <w:sz w:val="28"/>
          <w:szCs w:val="28"/>
        </w:rPr>
        <w:t>收益資本化率推估：</w:t>
      </w:r>
    </w:p>
    <w:p w:rsidR="0018444C" w:rsidRDefault="00980E38">
      <w:pPr>
        <w:pStyle w:val="DefaultText"/>
        <w:spacing w:before="40" w:after="40" w:line="440" w:lineRule="exact"/>
        <w:ind w:left="1890" w:firstLine="12"/>
        <w:jc w:val="both"/>
      </w:pPr>
      <w:r>
        <w:rPr>
          <w:rFonts w:ascii="Times New Roman" w:eastAsia="標楷體" w:hAnsi="Times New Roman"/>
          <w:sz w:val="24"/>
        </w:rPr>
        <w:lastRenderedPageBreak/>
        <w:t>《注意須知</w:t>
      </w:r>
      <w:r>
        <w:rPr>
          <w:rFonts w:ascii="Times New Roman" w:eastAsia="標楷體" w:hAnsi="Times New Roman"/>
          <w:sz w:val="24"/>
          <w:szCs w:val="24"/>
        </w:rPr>
        <w:t>》：請依不動產估價技術規則規定詳加計算填載。</w:t>
      </w:r>
    </w:p>
    <w:p w:rsidR="0018444C" w:rsidRDefault="00980E38">
      <w:pPr>
        <w:pStyle w:val="CCISa"/>
        <w:spacing w:line="400" w:lineRule="exact"/>
        <w:ind w:left="1843"/>
        <w:rPr>
          <w:rFonts w:ascii="Times New Roman" w:eastAsia="標楷體" w:hAnsi="Times New Roman"/>
          <w:sz w:val="28"/>
          <w:szCs w:val="28"/>
        </w:rPr>
      </w:pPr>
      <w:r>
        <w:rPr>
          <w:rFonts w:ascii="Times New Roman" w:eastAsia="標楷體" w:hAnsi="Times New Roman"/>
          <w:sz w:val="28"/>
          <w:szCs w:val="28"/>
        </w:rPr>
        <w:t>G.</w:t>
      </w:r>
      <w:r>
        <w:rPr>
          <w:rFonts w:ascii="Times New Roman" w:eastAsia="標楷體" w:hAnsi="Times New Roman"/>
          <w:sz w:val="28"/>
          <w:szCs w:val="28"/>
        </w:rPr>
        <w:t>收益價格評估：</w:t>
      </w:r>
    </w:p>
    <w:p w:rsidR="0018444C" w:rsidRDefault="00980E38">
      <w:pPr>
        <w:pStyle w:val="DefaultText"/>
        <w:spacing w:before="40" w:after="40" w:line="440" w:lineRule="exact"/>
        <w:ind w:left="1890" w:firstLine="12"/>
        <w:jc w:val="both"/>
      </w:pPr>
      <w:r>
        <w:rPr>
          <w:rFonts w:ascii="Times New Roman" w:eastAsia="標楷體" w:hAnsi="Times New Roman"/>
          <w:sz w:val="24"/>
        </w:rPr>
        <w:t>《注意須知</w:t>
      </w:r>
      <w:r>
        <w:rPr>
          <w:rFonts w:ascii="Times New Roman" w:eastAsia="標楷體" w:hAnsi="Times New Roman"/>
          <w:sz w:val="24"/>
          <w:szCs w:val="24"/>
        </w:rPr>
        <w:t>》：請依不動產估價技術規則規定詳加計算填載。</w:t>
      </w:r>
    </w:p>
    <w:p w:rsidR="0018444C" w:rsidRDefault="00980E38">
      <w:pPr>
        <w:pStyle w:val="DefaultText"/>
        <w:snapToGrid w:val="0"/>
        <w:spacing w:before="40" w:after="40" w:line="440" w:lineRule="exact"/>
        <w:ind w:left="1360"/>
        <w:jc w:val="both"/>
        <w:rPr>
          <w:rFonts w:ascii="Times New Roman" w:eastAsia="標楷體" w:hAnsi="Times New Roman"/>
        </w:rPr>
      </w:pPr>
      <w:r>
        <w:rPr>
          <w:rFonts w:ascii="Times New Roman" w:eastAsia="標楷體" w:hAnsi="Times New Roman"/>
        </w:rPr>
        <w:t>5.</w:t>
      </w:r>
      <w:r>
        <w:rPr>
          <w:rFonts w:ascii="Times New Roman" w:eastAsia="標楷體" w:hAnsi="Times New Roman"/>
        </w:rPr>
        <w:t>開發成本及各項費用評估</w:t>
      </w:r>
    </w:p>
    <w:p w:rsidR="0018444C" w:rsidRDefault="00980E38">
      <w:pPr>
        <w:pStyle w:val="CCISa"/>
        <w:spacing w:line="400" w:lineRule="exact"/>
        <w:ind w:left="2040" w:hanging="338"/>
      </w:pPr>
      <w:r>
        <w:rPr>
          <w:rFonts w:ascii="Times New Roman" w:eastAsia="標楷體" w:hAnsi="Times New Roman"/>
          <w:sz w:val="24"/>
          <w:szCs w:val="24"/>
        </w:rPr>
        <w:t>各項成本費用：經計算後為</w:t>
      </w:r>
      <w:r>
        <w:rPr>
          <w:rFonts w:ascii="Times New Roman" w:eastAsia="標楷體" w:hAnsi="Times New Roman"/>
          <w:sz w:val="24"/>
          <w:szCs w:val="24"/>
        </w:rPr>
        <w:t>____</w:t>
      </w:r>
      <w:r>
        <w:rPr>
          <w:rFonts w:ascii="Times New Roman" w:eastAsia="標楷體" w:hAnsi="Times New Roman"/>
          <w:sz w:val="24"/>
          <w:szCs w:val="24"/>
        </w:rPr>
        <w:t>元，見「含容積移入之土地開發分析價格表」。</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numPr>
          <w:ilvl w:val="0"/>
          <w:numId w:val="39"/>
        </w:numPr>
        <w:spacing w:before="40" w:after="40" w:line="440" w:lineRule="exact"/>
        <w:ind w:hanging="280"/>
        <w:jc w:val="both"/>
      </w:pPr>
      <w:r>
        <w:rPr>
          <w:rFonts w:ascii="Times New Roman" w:eastAsia="標楷體" w:hAnsi="Times New Roman"/>
          <w:sz w:val="24"/>
          <w:szCs w:val="24"/>
        </w:rPr>
        <w:t>營造成本依據四號公報，並參考</w:t>
      </w:r>
      <w:r>
        <w:rPr>
          <w:rFonts w:ascii="Times New Roman" w:eastAsia="標楷體" w:hAnsi="Times New Roman"/>
          <w:color w:val="FF0000"/>
          <w:sz w:val="24"/>
          <w:szCs w:val="24"/>
        </w:rPr>
        <w:t>委託者提供</w:t>
      </w:r>
      <w:r>
        <w:rPr>
          <w:rFonts w:ascii="Times New Roman" w:eastAsia="標楷體" w:hAnsi="Times New Roman"/>
          <w:sz w:val="24"/>
          <w:szCs w:val="24"/>
        </w:rPr>
        <w:t>之建材設備、特殊建材、特殊建築工法說明調整之，該項資料若委託者無法提供，則由估價師依當地合理房價水準，參考中華民國不動產估價師全國聯合會四號公報標準造價推估其合理造價水準，並考量地下室開挖層數、樓層高度、有無連續壁及建築工程類物價指數等因素調整等因素調整，並敘明。</w:t>
      </w:r>
    </w:p>
    <w:p w:rsidR="0018444C" w:rsidRDefault="00980E38">
      <w:pPr>
        <w:pStyle w:val="DefaultText"/>
        <w:numPr>
          <w:ilvl w:val="0"/>
          <w:numId w:val="39"/>
        </w:numPr>
        <w:spacing w:before="40" w:after="40" w:line="440" w:lineRule="exact"/>
        <w:ind w:hanging="280"/>
        <w:jc w:val="both"/>
      </w:pPr>
      <w:r>
        <w:rPr>
          <w:rFonts w:ascii="Times New Roman" w:eastAsia="標楷體" w:hAnsi="Times New Roman"/>
          <w:sz w:val="24"/>
          <w:szCs w:val="24"/>
        </w:rPr>
        <w:t>資本利息綜合利率計算之土地開發年數與建築工期，土地開發年期應依不動產估價技術規則第</w:t>
      </w:r>
      <w:r>
        <w:rPr>
          <w:rFonts w:ascii="Times New Roman" w:eastAsia="標楷體" w:hAnsi="Times New Roman"/>
          <w:sz w:val="24"/>
          <w:szCs w:val="24"/>
        </w:rPr>
        <w:t>80</w:t>
      </w:r>
      <w:r>
        <w:rPr>
          <w:rFonts w:ascii="Times New Roman" w:eastAsia="標楷體" w:hAnsi="Times New Roman"/>
          <w:sz w:val="24"/>
          <w:szCs w:val="24"/>
        </w:rPr>
        <w:t>條規定計算，建築工期則依不動產估價技術規則第</w:t>
      </w:r>
      <w:r>
        <w:rPr>
          <w:rFonts w:ascii="Times New Roman" w:eastAsia="標楷體" w:hAnsi="Times New Roman"/>
          <w:sz w:val="24"/>
          <w:szCs w:val="24"/>
        </w:rPr>
        <w:t>60</w:t>
      </w:r>
      <w:r>
        <w:rPr>
          <w:rFonts w:ascii="Times New Roman" w:eastAsia="標楷體" w:hAnsi="Times New Roman"/>
          <w:sz w:val="24"/>
          <w:szCs w:val="24"/>
        </w:rPr>
        <w:t>條規定計算。</w:t>
      </w:r>
    </w:p>
    <w:p w:rsidR="0018444C" w:rsidRDefault="00980E38">
      <w:pPr>
        <w:pStyle w:val="DefaultText"/>
        <w:snapToGrid w:val="0"/>
        <w:spacing w:before="40" w:after="40" w:line="440" w:lineRule="exact"/>
        <w:ind w:left="1418"/>
        <w:jc w:val="both"/>
        <w:rPr>
          <w:rFonts w:ascii="Times New Roman" w:eastAsia="標楷體" w:hAnsi="Times New Roman"/>
        </w:rPr>
      </w:pPr>
      <w:r>
        <w:rPr>
          <w:rFonts w:ascii="Times New Roman" w:eastAsia="標楷體" w:hAnsi="Times New Roman"/>
        </w:rPr>
        <w:t>6.</w:t>
      </w:r>
      <w:r>
        <w:rPr>
          <w:rFonts w:ascii="Times New Roman" w:eastAsia="標楷體" w:hAnsi="Times New Roman"/>
        </w:rPr>
        <w:t>含容積移入之土地開發分析價格</w:t>
      </w:r>
    </w:p>
    <w:p w:rsidR="0018444C" w:rsidRDefault="00980E38">
      <w:pPr>
        <w:pStyle w:val="CCISa"/>
        <w:spacing w:line="400" w:lineRule="exact"/>
        <w:ind w:left="1560" w:firstLine="480"/>
        <w:rPr>
          <w:rFonts w:ascii="Times New Roman" w:eastAsia="標楷體" w:hAnsi="Times New Roman"/>
          <w:sz w:val="24"/>
          <w:szCs w:val="24"/>
        </w:rPr>
      </w:pPr>
      <w:r>
        <w:rPr>
          <w:rFonts w:ascii="Times New Roman" w:eastAsia="標楷體" w:hAnsi="Times New Roman"/>
          <w:sz w:val="24"/>
          <w:szCs w:val="24"/>
        </w:rPr>
        <w:t>經土地開發分析法評估後，求取</w:t>
      </w:r>
      <w:proofErr w:type="gramStart"/>
      <w:r>
        <w:rPr>
          <w:rFonts w:ascii="Times New Roman" w:eastAsia="標楷體" w:hAnsi="Times New Roman"/>
          <w:sz w:val="24"/>
          <w:szCs w:val="24"/>
        </w:rPr>
        <w:t>勘</w:t>
      </w:r>
      <w:proofErr w:type="gramEnd"/>
      <w:r>
        <w:rPr>
          <w:rFonts w:ascii="Times New Roman" w:eastAsia="標楷體" w:hAnsi="Times New Roman"/>
          <w:sz w:val="24"/>
          <w:szCs w:val="24"/>
        </w:rPr>
        <w:t>估建物土地含容積移入時總值為</w:t>
      </w:r>
      <w:r>
        <w:rPr>
          <w:rFonts w:ascii="Times New Roman" w:eastAsia="標楷體" w:hAnsi="Times New Roman"/>
          <w:sz w:val="24"/>
          <w:szCs w:val="24"/>
        </w:rPr>
        <w:t xml:space="preserve"> </w:t>
      </w:r>
      <w:r>
        <w:rPr>
          <w:rFonts w:ascii="Times New Roman" w:eastAsia="標楷體" w:hAnsi="Times New Roman"/>
          <w:sz w:val="24"/>
          <w:szCs w:val="24"/>
        </w:rPr>
        <w:t>元。土地開發分析價格試算表如下表：</w:t>
      </w:r>
    </w:p>
    <w:p w:rsidR="0018444C" w:rsidRDefault="0018444C">
      <w:pPr>
        <w:pageBreakBefore/>
        <w:widowControl/>
        <w:rPr>
          <w:rFonts w:ascii="Times New Roman" w:eastAsia="標楷體" w:hAnsi="Times New Roman"/>
        </w:rPr>
      </w:pPr>
    </w:p>
    <w:p w:rsidR="0018444C" w:rsidRDefault="00980E38">
      <w:pPr>
        <w:pStyle w:val="CCISa"/>
        <w:spacing w:line="400" w:lineRule="exact"/>
        <w:ind w:left="1560" w:hanging="1560"/>
        <w:jc w:val="center"/>
      </w:pPr>
      <w:r>
        <w:rPr>
          <w:rFonts w:ascii="Times New Roman" w:eastAsia="標楷體" w:hAnsi="Times New Roman"/>
          <w:sz w:val="28"/>
          <w:szCs w:val="24"/>
        </w:rPr>
        <w:t>含容積移入之土地開發分析價格表</w:t>
      </w:r>
    </w:p>
    <w:tbl>
      <w:tblPr>
        <w:tblW w:w="10841" w:type="dxa"/>
        <w:jc w:val="center"/>
        <w:tblCellMar>
          <w:left w:w="10" w:type="dxa"/>
          <w:right w:w="10" w:type="dxa"/>
        </w:tblCellMar>
        <w:tblLook w:val="0000" w:firstRow="0" w:lastRow="0" w:firstColumn="0" w:lastColumn="0" w:noHBand="0" w:noVBand="0"/>
      </w:tblPr>
      <w:tblGrid>
        <w:gridCol w:w="1380"/>
        <w:gridCol w:w="1701"/>
        <w:gridCol w:w="1740"/>
        <w:gridCol w:w="1540"/>
        <w:gridCol w:w="1520"/>
        <w:gridCol w:w="2960"/>
      </w:tblGrid>
      <w:tr w:rsidR="0018444C">
        <w:trPr>
          <w:trHeight w:val="340"/>
          <w:jc w:val="center"/>
        </w:trPr>
        <w:tc>
          <w:tcPr>
            <w:tcW w:w="10841" w:type="dxa"/>
            <w:gridSpan w:val="6"/>
            <w:tcBorders>
              <w:top w:val="double" w:sz="6" w:space="0" w:color="000000"/>
              <w:left w:val="double" w:sz="6" w:space="0" w:color="000000"/>
              <w:bottom w:val="single" w:sz="6" w:space="0" w:color="000000"/>
              <w:right w:val="double" w:sz="6" w:space="0" w:color="000000"/>
            </w:tcBorders>
            <w:shd w:val="clear" w:color="auto" w:fill="FFFFFF"/>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土地開發分析法計算表</w:t>
            </w:r>
          </w:p>
        </w:tc>
      </w:tr>
      <w:tr w:rsidR="0018444C">
        <w:trPr>
          <w:trHeight w:val="340"/>
          <w:jc w:val="center"/>
        </w:trPr>
        <w:tc>
          <w:tcPr>
            <w:tcW w:w="1380" w:type="dxa"/>
            <w:vMerge w:val="restart"/>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基本資料</w:t>
            </w:r>
          </w:p>
          <w:p w:rsidR="0018444C" w:rsidRDefault="00980E38">
            <w:pPr>
              <w:jc w:val="center"/>
              <w:rPr>
                <w:rFonts w:ascii="Times New Roman" w:eastAsia="標楷體" w:hAnsi="Times New Roman"/>
              </w:rPr>
            </w:pPr>
            <w:r>
              <w:rPr>
                <w:rFonts w:ascii="Times New Roman" w:eastAsia="標楷體" w:hAnsi="Times New Roman"/>
              </w:rPr>
              <w:t>或比</w:t>
            </w:r>
            <w:proofErr w:type="gramStart"/>
            <w:r>
              <w:rPr>
                <w:rFonts w:ascii="Times New Roman" w:eastAsia="標楷體" w:hAnsi="Times New Roman"/>
              </w:rPr>
              <w:t>準</w:t>
            </w:r>
            <w:proofErr w:type="gramEnd"/>
            <w:r>
              <w:rPr>
                <w:rFonts w:ascii="Times New Roman" w:eastAsia="標楷體" w:hAnsi="Times New Roman"/>
              </w:rPr>
              <w:t>地</w:t>
            </w:r>
            <w:proofErr w:type="gramStart"/>
            <w:r>
              <w:rPr>
                <w:rFonts w:ascii="Times New Roman" w:eastAsia="標楷體" w:hAnsi="Times New Roman"/>
              </w:rPr>
              <w:t>）</w:t>
            </w:r>
            <w:proofErr w:type="gramEnd"/>
          </w:p>
          <w:p w:rsidR="0018444C" w:rsidRDefault="00980E38">
            <w:pPr>
              <w:jc w:val="center"/>
              <w:rPr>
                <w:rFonts w:ascii="Times New Roman" w:eastAsia="標楷體" w:hAnsi="Times New Roman"/>
              </w:rPr>
            </w:pPr>
            <w:proofErr w:type="gramStart"/>
            <w:r>
              <w:rPr>
                <w:rFonts w:ascii="Times New Roman" w:eastAsia="標楷體" w:hAnsi="Times New Roman"/>
              </w:rPr>
              <w:t>勘</w:t>
            </w:r>
            <w:proofErr w:type="gramEnd"/>
            <w:r>
              <w:rPr>
                <w:rFonts w:ascii="Times New Roman" w:eastAsia="標楷體" w:hAnsi="Times New Roman"/>
              </w:rPr>
              <w:t>估建物</w:t>
            </w:r>
            <w:proofErr w:type="gramStart"/>
            <w:r>
              <w:rPr>
                <w:rFonts w:ascii="Times New Roman" w:eastAsia="標楷體" w:hAnsi="Times New Roman"/>
              </w:rPr>
              <w:t>（</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土地座落</w:t>
            </w:r>
          </w:p>
        </w:tc>
        <w:tc>
          <w:tcPr>
            <w:tcW w:w="7760" w:type="dxa"/>
            <w:gridSpan w:val="4"/>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土地面積</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proofErr w:type="gramStart"/>
            <w:r>
              <w:rPr>
                <w:rFonts w:ascii="Times New Roman" w:eastAsia="標楷體" w:hAnsi="Times New Roman"/>
              </w:rPr>
              <w:t>㎡</w:t>
            </w:r>
            <w:proofErr w:type="gramEnd"/>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坪</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使用分區</w:t>
            </w:r>
          </w:p>
        </w:tc>
        <w:tc>
          <w:tcPr>
            <w:tcW w:w="7760" w:type="dxa"/>
            <w:gridSpan w:val="4"/>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建蔽率％</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proofErr w:type="gramStart"/>
            <w:r>
              <w:rPr>
                <w:rFonts w:ascii="Times New Roman" w:eastAsia="標楷體" w:hAnsi="Times New Roman"/>
              </w:rPr>
              <w:t>實設容積率</w:t>
            </w:r>
            <w:proofErr w:type="gramEnd"/>
            <w:r>
              <w:rPr>
                <w:rFonts w:ascii="Times New Roman" w:eastAsia="標楷體" w:hAnsi="Times New Roman"/>
              </w:rPr>
              <w:t>％</w:t>
            </w:r>
          </w:p>
        </w:tc>
        <w:tc>
          <w:tcPr>
            <w:tcW w:w="4480"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val="restart"/>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規劃</w:t>
            </w:r>
          </w:p>
          <w:p w:rsidR="0018444C" w:rsidRDefault="00980E38">
            <w:pPr>
              <w:jc w:val="center"/>
              <w:rPr>
                <w:rFonts w:ascii="Times New Roman" w:eastAsia="標楷體" w:hAnsi="Times New Roman"/>
              </w:rPr>
            </w:pPr>
            <w:r>
              <w:rPr>
                <w:rFonts w:ascii="Times New Roman" w:eastAsia="標楷體" w:hAnsi="Times New Roman"/>
              </w:rPr>
              <w:t>開發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規劃樓層數</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地上層數</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地下層數</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結構種類</w:t>
            </w:r>
          </w:p>
        </w:tc>
        <w:tc>
          <w:tcPr>
            <w:tcW w:w="7760" w:type="dxa"/>
            <w:gridSpan w:val="4"/>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地下室開挖率</w:t>
            </w:r>
            <w:r>
              <w:rPr>
                <w:rFonts w:ascii="Times New Roman" w:eastAsia="標楷體" w:hAnsi="Times New Roman"/>
              </w:rPr>
              <w:t>%</w:t>
            </w:r>
          </w:p>
        </w:tc>
        <w:tc>
          <w:tcPr>
            <w:tcW w:w="7760" w:type="dxa"/>
            <w:gridSpan w:val="4"/>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val="restart"/>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總銷售金額計算</w:t>
            </w:r>
            <w:r>
              <w:rPr>
                <w:rFonts w:ascii="Times New Roman" w:eastAsia="標楷體" w:hAnsi="Times New Roman"/>
              </w:rPr>
              <w:t>(s)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樓層</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用途</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可銷售面積</w:t>
            </w:r>
            <w:r>
              <w:rPr>
                <w:rFonts w:ascii="Times New Roman" w:eastAsia="標楷體" w:hAnsi="Times New Roman"/>
              </w:rPr>
              <w:br/>
              <w:t>(</w:t>
            </w:r>
            <w:r>
              <w:rPr>
                <w:rFonts w:ascii="Times New Roman" w:eastAsia="標楷體" w:hAnsi="Times New Roman"/>
              </w:rPr>
              <w:t>坪</w:t>
            </w: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平均銷售單價</w:t>
            </w:r>
            <w:r>
              <w:rPr>
                <w:rFonts w:ascii="Times New Roman" w:eastAsia="標楷體" w:hAnsi="Times New Roman"/>
              </w:rPr>
              <w:t>(</w:t>
            </w:r>
            <w:r>
              <w:rPr>
                <w:rFonts w:ascii="Times New Roman" w:eastAsia="標楷體" w:hAnsi="Times New Roman"/>
              </w:rPr>
              <w:t>元</w:t>
            </w:r>
            <w:r>
              <w:rPr>
                <w:rFonts w:ascii="Times New Roman" w:eastAsia="標楷體" w:hAnsi="Times New Roman"/>
              </w:rPr>
              <w:t>/</w:t>
            </w:r>
            <w:r>
              <w:rPr>
                <w:rFonts w:ascii="Times New Roman" w:eastAsia="標楷體" w:hAnsi="Times New Roman"/>
              </w:rPr>
              <w:t>坪</w:t>
            </w:r>
            <w:r>
              <w:rPr>
                <w:rFonts w:ascii="Times New Roman" w:eastAsia="標楷體" w:hAnsi="Times New Roman"/>
              </w:rPr>
              <w:t>)</w:t>
            </w:r>
          </w:p>
        </w:tc>
        <w:tc>
          <w:tcPr>
            <w:tcW w:w="2960" w:type="dxa"/>
            <w:tcBorders>
              <w:top w:val="single" w:sz="6" w:space="0" w:color="000000"/>
              <w:left w:val="single" w:sz="6" w:space="0" w:color="000000"/>
              <w:bottom w:val="single" w:sz="6" w:space="0" w:color="000000"/>
              <w:right w:val="doub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總銷售金額</w:t>
            </w:r>
            <w:r>
              <w:rPr>
                <w:rFonts w:ascii="Times New Roman" w:eastAsia="標楷體" w:hAnsi="Times New Roman"/>
              </w:rPr>
              <w:br/>
              <w:t>(</w:t>
            </w:r>
            <w:r>
              <w:rPr>
                <w:rFonts w:ascii="Times New Roman" w:eastAsia="標楷體" w:hAnsi="Times New Roman"/>
              </w:rPr>
              <w:t>元</w:t>
            </w: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合計</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3081" w:type="dxa"/>
            <w:gridSpan w:val="2"/>
            <w:tcBorders>
              <w:top w:val="single" w:sz="6" w:space="0" w:color="000000"/>
              <w:left w:val="doub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利潤率計算（</w:t>
            </w:r>
            <w:r>
              <w:rPr>
                <w:rFonts w:ascii="Times New Roman" w:eastAsia="標楷體" w:hAnsi="Times New Roman"/>
              </w:rPr>
              <w:t>R</w:t>
            </w:r>
            <w:r>
              <w:rPr>
                <w:rFonts w:ascii="Times New Roman" w:eastAsia="標楷體" w:hAnsi="Times New Roman"/>
              </w:rPr>
              <w:t>）</w:t>
            </w:r>
          </w:p>
        </w:tc>
        <w:tc>
          <w:tcPr>
            <w:tcW w:w="7760" w:type="dxa"/>
            <w:gridSpan w:val="4"/>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val="restart"/>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(i)</w:t>
            </w:r>
          </w:p>
          <w:p w:rsidR="0018444C" w:rsidRDefault="00980E38">
            <w:pPr>
              <w:jc w:val="center"/>
              <w:rPr>
                <w:rFonts w:ascii="Times New Roman" w:eastAsia="標楷體" w:hAnsi="Times New Roman"/>
              </w:rPr>
            </w:pPr>
            <w:r>
              <w:rPr>
                <w:rFonts w:ascii="Times New Roman" w:eastAsia="標楷體" w:hAnsi="Times New Roman"/>
              </w:rPr>
              <w:t>合利率計算</w:t>
            </w:r>
          </w:p>
          <w:p w:rsidR="0018444C" w:rsidRDefault="00980E38">
            <w:pPr>
              <w:jc w:val="center"/>
              <w:rPr>
                <w:rFonts w:ascii="Times New Roman" w:eastAsia="標楷體" w:hAnsi="Times New Roman"/>
              </w:rPr>
            </w:pPr>
            <w:r>
              <w:rPr>
                <w:rFonts w:ascii="Times New Roman" w:eastAsia="標楷體" w:hAnsi="Times New Roman"/>
              </w:rPr>
              <w:t>資本利息綜</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資金來源</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利率</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資金比例</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年利率</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資本利息綜合利率</w:t>
            </w:r>
            <w:r>
              <w:rPr>
                <w:rFonts w:ascii="Times New Roman" w:eastAsia="標楷體" w:hAnsi="Times New Roman"/>
              </w:rPr>
              <w:t>(i)</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自有資金</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vMerge w:val="restart"/>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依不動產估價技術規則第</w:t>
            </w:r>
            <w:r>
              <w:rPr>
                <w:rFonts w:ascii="Times New Roman" w:eastAsia="標楷體" w:hAnsi="Times New Roman"/>
              </w:rPr>
              <w:t>79</w:t>
            </w:r>
            <w:r>
              <w:rPr>
                <w:rFonts w:ascii="Times New Roman" w:eastAsia="標楷體" w:hAnsi="Times New Roman"/>
              </w:rPr>
              <w:t>條辦理。</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借貸資金</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c>
          <w:tcPr>
            <w:tcW w:w="2960" w:type="dxa"/>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color w:val="FF0000"/>
              </w:rPr>
            </w:pPr>
            <w:r>
              <w:rPr>
                <w:rFonts w:ascii="Times New Roman" w:eastAsia="標楷體" w:hAnsi="Times New Roman"/>
                <w:color w:val="FF0000"/>
              </w:rPr>
              <w:t>土地價值比率</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color w:val="FF0000"/>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pPr>
            <w:r>
              <w:rPr>
                <w:rFonts w:ascii="Times New Roman" w:eastAsia="標楷體" w:hAnsi="Times New Roman"/>
                <w:color w:val="FF0000"/>
              </w:rPr>
              <w:t>土地價值比率</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color w:val="FF0000"/>
              </w:rPr>
            </w:pPr>
          </w:p>
        </w:tc>
        <w:tc>
          <w:tcPr>
            <w:tcW w:w="2960" w:type="dxa"/>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開發年數</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18444C" w:rsidRDefault="00980E38">
            <w:pPr>
              <w:jc w:val="center"/>
            </w:pPr>
            <w:r>
              <w:rPr>
                <w:rFonts w:ascii="Times New Roman" w:eastAsia="標楷體" w:hAnsi="Times New Roman"/>
                <w:color w:val="FF0000"/>
              </w:rPr>
              <w:t>建築工期</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18444C" w:rsidRDefault="0018444C">
            <w:pPr>
              <w:jc w:val="center"/>
              <w:rPr>
                <w:rFonts w:ascii="Times New Roman" w:eastAsia="標楷體" w:hAnsi="Times New Roman"/>
              </w:rPr>
            </w:pPr>
          </w:p>
        </w:tc>
        <w:tc>
          <w:tcPr>
            <w:tcW w:w="2960" w:type="dxa"/>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r>
      <w:tr w:rsidR="0018444C">
        <w:trPr>
          <w:trHeight w:val="340"/>
          <w:jc w:val="center"/>
        </w:trPr>
        <w:tc>
          <w:tcPr>
            <w:tcW w:w="1380" w:type="dxa"/>
            <w:vMerge w:val="restart"/>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成本計算</w:t>
            </w:r>
            <w:r>
              <w:rPr>
                <w:rFonts w:ascii="Times New Roman" w:eastAsia="標楷體" w:hAnsi="Times New Roman"/>
              </w:rPr>
              <w:t>(C)+(M)</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項目</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細項</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單價；費率</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金額</w:t>
            </w:r>
            <w:r>
              <w:rPr>
                <w:rFonts w:ascii="Times New Roman" w:eastAsia="標楷體" w:hAnsi="Times New Roman"/>
              </w:rPr>
              <w:t>(</w:t>
            </w:r>
            <w:r>
              <w:rPr>
                <w:rFonts w:ascii="Times New Roman" w:eastAsia="標楷體" w:hAnsi="Times New Roman"/>
              </w:rPr>
              <w:t>元</w:t>
            </w:r>
            <w:r>
              <w:rPr>
                <w:rFonts w:ascii="Times New Roman" w:eastAsia="標楷體" w:hAnsi="Times New Roman"/>
              </w:rPr>
              <w:t>)</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備註</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直接成本</w:t>
            </w:r>
            <w:r>
              <w:rPr>
                <w:rFonts w:ascii="Times New Roman" w:eastAsia="標楷體" w:hAnsi="Times New Roman"/>
              </w:rPr>
              <w:t xml:space="preserve"> (C)</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營造或施工費單價</w:t>
            </w:r>
            <w:r>
              <w:rPr>
                <w:rFonts w:ascii="Times New Roman" w:eastAsia="標楷體" w:hAnsi="Times New Roman"/>
              </w:rPr>
              <w:t>(</w:t>
            </w:r>
            <w:r>
              <w:rPr>
                <w:rFonts w:ascii="Times New Roman" w:eastAsia="標楷體" w:hAnsi="Times New Roman"/>
              </w:rPr>
              <w:t>元</w:t>
            </w:r>
            <w:r>
              <w:rPr>
                <w:rFonts w:ascii="Times New Roman" w:eastAsia="標楷體" w:hAnsi="Times New Roman"/>
              </w:rPr>
              <w:t>/</w:t>
            </w:r>
            <w:r>
              <w:rPr>
                <w:rFonts w:ascii="Times New Roman" w:eastAsia="標楷體" w:hAnsi="Times New Roman"/>
              </w:rPr>
              <w:t>坪</w:t>
            </w:r>
            <w:r>
              <w:rPr>
                <w:rFonts w:ascii="Times New Roman" w:eastAsia="標楷體" w:hAnsi="Times New Roman"/>
              </w:rPr>
              <w:t>)</w:t>
            </w:r>
          </w:p>
        </w:tc>
        <w:tc>
          <w:tcPr>
            <w:tcW w:w="15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按中華民國不動產估價師公會全國聯合會第四號公報計算</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間接成本</w:t>
            </w:r>
            <w:r>
              <w:rPr>
                <w:rFonts w:ascii="Times New Roman" w:eastAsia="標楷體" w:hAnsi="Times New Roman"/>
              </w:rPr>
              <w:t xml:space="preserve"> (M)</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規劃設計費</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按實際營造施工費之</w:t>
            </w:r>
            <w:r>
              <w:rPr>
                <w:rFonts w:ascii="Times New Roman" w:eastAsia="標楷體" w:hAnsi="Times New Roman"/>
              </w:rPr>
              <w:t>2%~3%</w:t>
            </w:r>
            <w:r>
              <w:rPr>
                <w:rFonts w:ascii="Times New Roman" w:eastAsia="標楷體" w:hAnsi="Times New Roman"/>
              </w:rPr>
              <w:t>推估</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廣告費銷售費</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總銷售金額之</w:t>
            </w:r>
            <w:r>
              <w:rPr>
                <w:rFonts w:ascii="Times New Roman" w:eastAsia="標楷體" w:hAnsi="Times New Roman"/>
              </w:rPr>
              <w:t>3%~7%</w:t>
            </w:r>
            <w:r>
              <w:rPr>
                <w:rFonts w:ascii="Times New Roman" w:eastAsia="標楷體" w:hAnsi="Times New Roman"/>
              </w:rPr>
              <w:t>推估</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管理費</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不含公寓大廈管理條例規定設立公共基金者，按總銷售金額之</w:t>
            </w:r>
            <w:r>
              <w:rPr>
                <w:rFonts w:ascii="Times New Roman" w:eastAsia="標楷體" w:hAnsi="Times New Roman"/>
              </w:rPr>
              <w:t>1.5%~3%</w:t>
            </w:r>
            <w:r>
              <w:rPr>
                <w:rFonts w:ascii="Times New Roman" w:eastAsia="標楷體" w:hAnsi="Times New Roman"/>
              </w:rPr>
              <w:t>推估。含公寓大廈管理條例規定設立公共基金者，按總銷售金額之</w:t>
            </w:r>
            <w:r>
              <w:rPr>
                <w:rFonts w:ascii="Times New Roman" w:eastAsia="標楷體" w:hAnsi="Times New Roman"/>
              </w:rPr>
              <w:t>4%~5%</w:t>
            </w:r>
            <w:r>
              <w:rPr>
                <w:rFonts w:ascii="Times New Roman" w:eastAsia="標楷體" w:hAnsi="Times New Roman"/>
              </w:rPr>
              <w:t>推估</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稅捐及其他負擔</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總銷售金額之</w:t>
            </w:r>
            <w:r>
              <w:rPr>
                <w:rFonts w:ascii="Times New Roman" w:eastAsia="標楷體" w:hAnsi="Times New Roman"/>
              </w:rPr>
              <w:t>0.5%~1.2%</w:t>
            </w:r>
            <w:r>
              <w:rPr>
                <w:rFonts w:ascii="Times New Roman" w:eastAsia="標楷體" w:hAnsi="Times New Roman"/>
              </w:rPr>
              <w:t>推估</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34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合計</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535"/>
          <w:jc w:val="center"/>
        </w:trPr>
        <w:tc>
          <w:tcPr>
            <w:tcW w:w="4821" w:type="dxa"/>
            <w:gridSpan w:val="3"/>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土地總價格</w:t>
            </w:r>
            <w:r>
              <w:rPr>
                <w:rFonts w:ascii="Times New Roman" w:eastAsia="標楷體" w:hAnsi="Times New Roman"/>
              </w:rPr>
              <w:t>(V)</w:t>
            </w:r>
            <w:r>
              <w:rPr>
                <w:rFonts w:ascii="Times New Roman" w:eastAsia="標楷體" w:hAnsi="Times New Roman"/>
              </w:rPr>
              <w:br/>
              <w:t>(</w:t>
            </w:r>
            <w:r>
              <w:rPr>
                <w:rFonts w:ascii="Times New Roman" w:eastAsia="標楷體" w:hAnsi="Times New Roman"/>
              </w:rPr>
              <w:t>公式</w:t>
            </w:r>
            <w:r>
              <w:rPr>
                <w:rFonts w:ascii="Times New Roman" w:eastAsia="標楷體" w:hAnsi="Times New Roman"/>
              </w:rPr>
              <w:t>) V=S÷(1+R)÷(1+i)-(C+M)</w:t>
            </w:r>
          </w:p>
        </w:tc>
        <w:tc>
          <w:tcPr>
            <w:tcW w:w="6020"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18444C">
            <w:pPr>
              <w:ind w:left="152"/>
              <w:jc w:val="center"/>
              <w:rPr>
                <w:rFonts w:ascii="Times New Roman" w:eastAsia="標楷體" w:hAnsi="Times New Roman"/>
              </w:rPr>
            </w:pPr>
          </w:p>
        </w:tc>
      </w:tr>
      <w:tr w:rsidR="0018444C">
        <w:trPr>
          <w:trHeight w:val="535"/>
          <w:jc w:val="center"/>
        </w:trPr>
        <w:tc>
          <w:tcPr>
            <w:tcW w:w="4821" w:type="dxa"/>
            <w:gridSpan w:val="3"/>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土地單價</w:t>
            </w:r>
          </w:p>
        </w:tc>
        <w:tc>
          <w:tcPr>
            <w:tcW w:w="3060" w:type="dxa"/>
            <w:gridSpan w:val="2"/>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2960" w:type="dxa"/>
            <w:tcBorders>
              <w:top w:val="single" w:sz="6"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ind w:left="152"/>
              <w:jc w:val="center"/>
              <w:rPr>
                <w:rFonts w:ascii="Times New Roman" w:eastAsia="標楷體" w:hAnsi="Times New Roman"/>
              </w:rPr>
            </w:pPr>
            <w:r>
              <w:rPr>
                <w:rFonts w:ascii="Times New Roman" w:eastAsia="標楷體" w:hAnsi="Times New Roman"/>
              </w:rPr>
              <w:t>土地總價格以單價表示</w:t>
            </w:r>
          </w:p>
        </w:tc>
      </w:tr>
    </w:tbl>
    <w:p w:rsidR="0018444C" w:rsidRDefault="0018444C">
      <w:pPr>
        <w:pStyle w:val="DefaultText"/>
        <w:spacing w:before="40" w:after="40" w:line="440" w:lineRule="exact"/>
        <w:ind w:left="1560"/>
        <w:jc w:val="both"/>
        <w:rPr>
          <w:rFonts w:ascii="Times New Roman" w:eastAsia="標楷體" w:hAnsi="Times New Roman"/>
          <w:sz w:val="24"/>
          <w:szCs w:val="24"/>
        </w:rPr>
      </w:pPr>
    </w:p>
    <w:p w:rsidR="0018444C" w:rsidRDefault="0018444C">
      <w:pPr>
        <w:pStyle w:val="DefaultText"/>
        <w:spacing w:before="40" w:after="40" w:line="440" w:lineRule="exact"/>
        <w:ind w:left="1560"/>
        <w:jc w:val="both"/>
        <w:rPr>
          <w:rFonts w:ascii="Times New Roman" w:eastAsia="標楷體" w:hAnsi="Times New Roman"/>
          <w:sz w:val="24"/>
          <w:szCs w:val="24"/>
        </w:rPr>
      </w:pP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於計算</w:t>
      </w:r>
      <w:proofErr w:type="gramStart"/>
      <w:r>
        <w:rPr>
          <w:rFonts w:ascii="Times New Roman" w:eastAsia="標楷體" w:hAnsi="Times New Roman"/>
          <w:sz w:val="24"/>
          <w:szCs w:val="24"/>
        </w:rPr>
        <w:t>勘</w:t>
      </w:r>
      <w:proofErr w:type="gramEnd"/>
      <w:r>
        <w:rPr>
          <w:rFonts w:ascii="Times New Roman" w:eastAsia="標楷體" w:hAnsi="Times New Roman"/>
          <w:sz w:val="24"/>
          <w:szCs w:val="24"/>
        </w:rPr>
        <w:t>估土地含容積移入之價值時，其投資利潤利率請參閱下表調整之：</w:t>
      </w:r>
    </w:p>
    <w:p w:rsidR="0018444C" w:rsidRDefault="00980E38">
      <w:pPr>
        <w:pStyle w:val="DefaultText"/>
        <w:spacing w:before="40" w:after="40" w:line="440" w:lineRule="exact"/>
        <w:ind w:left="1560"/>
        <w:jc w:val="both"/>
      </w:pPr>
      <w:r>
        <w:rPr>
          <w:rFonts w:ascii="Times New Roman" w:eastAsia="標楷體" w:hAnsi="Times New Roman"/>
          <w:color w:val="FF0000"/>
        </w:rPr>
        <w:t>利潤率約為新北房價</w:t>
      </w:r>
      <w:r>
        <w:rPr>
          <w:rFonts w:ascii="Times New Roman" w:eastAsia="標楷體" w:hAnsi="Times New Roman"/>
          <w:color w:val="FF0000"/>
        </w:rPr>
        <w:t>20-30</w:t>
      </w:r>
      <w:r>
        <w:rPr>
          <w:rFonts w:ascii="Times New Roman" w:eastAsia="標楷體" w:hAnsi="Times New Roman"/>
          <w:color w:val="FF0000"/>
        </w:rPr>
        <w:t>萬</w:t>
      </w:r>
    </w:p>
    <w:tbl>
      <w:tblPr>
        <w:tblW w:w="8418" w:type="dxa"/>
        <w:tblInd w:w="1729" w:type="dxa"/>
        <w:tblCellMar>
          <w:left w:w="10" w:type="dxa"/>
          <w:right w:w="10" w:type="dxa"/>
        </w:tblCellMar>
        <w:tblLook w:val="0000" w:firstRow="0" w:lastRow="0" w:firstColumn="0" w:lastColumn="0" w:noHBand="0" w:noVBand="0"/>
      </w:tblPr>
      <w:tblGrid>
        <w:gridCol w:w="1364"/>
        <w:gridCol w:w="1009"/>
        <w:gridCol w:w="984"/>
        <w:gridCol w:w="1010"/>
        <w:gridCol w:w="1021"/>
        <w:gridCol w:w="1010"/>
        <w:gridCol w:w="1010"/>
        <w:gridCol w:w="1010"/>
      </w:tblGrid>
      <w:tr w:rsidR="0018444C">
        <w:trPr>
          <w:trHeight w:val="585"/>
        </w:trPr>
        <w:tc>
          <w:tcPr>
            <w:tcW w:w="136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color w:val="FF0000"/>
              </w:rPr>
            </w:pPr>
            <w:r>
              <w:rPr>
                <w:rFonts w:ascii="Times New Roman" w:eastAsia="標楷體" w:hAnsi="Times New Roman"/>
                <w:color w:val="FF0000"/>
              </w:rPr>
              <w:t>開發年期</w:t>
            </w:r>
            <w:r>
              <w:rPr>
                <w:rFonts w:ascii="Times New Roman" w:eastAsia="標楷體" w:hAnsi="Times New Roman"/>
                <w:color w:val="FF0000"/>
              </w:rPr>
              <w:t>(</w:t>
            </w:r>
            <w:r>
              <w:rPr>
                <w:rFonts w:ascii="Times New Roman" w:eastAsia="標楷體" w:hAnsi="Times New Roman"/>
                <w:color w:val="FF0000"/>
              </w:rPr>
              <w:t>年</w:t>
            </w:r>
            <w:r>
              <w:rPr>
                <w:rFonts w:ascii="Times New Roman" w:eastAsia="標楷體" w:hAnsi="Times New Roman"/>
                <w:color w:val="FF0000"/>
              </w:rPr>
              <w:t>)</w:t>
            </w:r>
          </w:p>
        </w:tc>
        <w:tc>
          <w:tcPr>
            <w:tcW w:w="1009"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未滿</w:t>
            </w:r>
            <w:r>
              <w:rPr>
                <w:rFonts w:ascii="Times New Roman" w:eastAsia="標楷體" w:hAnsi="Times New Roman" w:cs="Times New Roman"/>
                <w:color w:val="FF0000"/>
                <w:sz w:val="20"/>
                <w:szCs w:val="20"/>
              </w:rPr>
              <w:t>1.5</w:t>
            </w:r>
          </w:p>
        </w:tc>
        <w:tc>
          <w:tcPr>
            <w:tcW w:w="984"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1.5</w:t>
            </w:r>
            <w:r>
              <w:rPr>
                <w:rFonts w:ascii="Times New Roman" w:eastAsia="標楷體" w:hAnsi="Times New Roman" w:cs="Times New Roman"/>
                <w:color w:val="FF0000"/>
                <w:sz w:val="20"/>
                <w:szCs w:val="20"/>
              </w:rPr>
              <w:t>以上</w:t>
            </w:r>
            <w:r>
              <w:rPr>
                <w:rFonts w:ascii="Times New Roman" w:eastAsia="標楷體" w:hAnsi="Times New Roman" w:cs="Times New Roman"/>
                <w:color w:val="FF0000"/>
                <w:sz w:val="20"/>
                <w:szCs w:val="20"/>
              </w:rPr>
              <w:t>~</w:t>
            </w:r>
            <w:r>
              <w:rPr>
                <w:rFonts w:ascii="Times New Roman" w:eastAsia="標楷體" w:hAnsi="Times New Roman" w:cs="Times New Roman"/>
                <w:color w:val="FF0000"/>
                <w:sz w:val="20"/>
                <w:szCs w:val="20"/>
              </w:rPr>
              <w:t>未滿</w:t>
            </w:r>
            <w:r>
              <w:rPr>
                <w:rFonts w:ascii="Times New Roman" w:eastAsia="標楷體" w:hAnsi="Times New Roman" w:cs="Times New Roman"/>
                <w:color w:val="FF0000"/>
                <w:sz w:val="20"/>
                <w:szCs w:val="20"/>
              </w:rPr>
              <w:t>2.0</w:t>
            </w:r>
          </w:p>
        </w:tc>
        <w:tc>
          <w:tcPr>
            <w:tcW w:w="101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2.0</w:t>
            </w:r>
            <w:r>
              <w:rPr>
                <w:rFonts w:ascii="Times New Roman" w:eastAsia="標楷體" w:hAnsi="Times New Roman" w:cs="Times New Roman"/>
                <w:color w:val="FF0000"/>
                <w:sz w:val="20"/>
                <w:szCs w:val="20"/>
              </w:rPr>
              <w:t>以上</w:t>
            </w:r>
            <w:r>
              <w:rPr>
                <w:rFonts w:ascii="Times New Roman" w:eastAsia="標楷體" w:hAnsi="Times New Roman" w:cs="Times New Roman"/>
                <w:color w:val="FF0000"/>
                <w:sz w:val="20"/>
                <w:szCs w:val="20"/>
              </w:rPr>
              <w:t>~</w:t>
            </w:r>
            <w:r>
              <w:rPr>
                <w:rFonts w:ascii="Times New Roman" w:eastAsia="標楷體" w:hAnsi="Times New Roman" w:cs="Times New Roman"/>
                <w:color w:val="FF0000"/>
                <w:sz w:val="20"/>
                <w:szCs w:val="20"/>
              </w:rPr>
              <w:t>未滿</w:t>
            </w:r>
            <w:r>
              <w:rPr>
                <w:rFonts w:ascii="Times New Roman" w:eastAsia="標楷體" w:hAnsi="Times New Roman" w:cs="Times New Roman"/>
                <w:color w:val="FF0000"/>
                <w:sz w:val="20"/>
                <w:szCs w:val="20"/>
              </w:rPr>
              <w:t xml:space="preserve">2.5 </w:t>
            </w:r>
          </w:p>
        </w:tc>
        <w:tc>
          <w:tcPr>
            <w:tcW w:w="1021"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2.5~</w:t>
            </w:r>
            <w:r>
              <w:rPr>
                <w:rFonts w:ascii="Times New Roman" w:eastAsia="標楷體" w:hAnsi="Times New Roman" w:cs="Times New Roman"/>
                <w:color w:val="FF0000"/>
                <w:sz w:val="20"/>
                <w:szCs w:val="20"/>
              </w:rPr>
              <w:t>未滿</w:t>
            </w:r>
            <w:r>
              <w:rPr>
                <w:rFonts w:ascii="Times New Roman" w:eastAsia="標楷體" w:hAnsi="Times New Roman" w:cs="Times New Roman"/>
                <w:color w:val="FF0000"/>
                <w:sz w:val="20"/>
                <w:szCs w:val="20"/>
              </w:rPr>
              <w:t xml:space="preserve">3.0 </w:t>
            </w:r>
          </w:p>
        </w:tc>
        <w:tc>
          <w:tcPr>
            <w:tcW w:w="1010"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3.0</w:t>
            </w:r>
            <w:r>
              <w:rPr>
                <w:rFonts w:ascii="Times New Roman" w:eastAsia="標楷體" w:hAnsi="Times New Roman" w:cs="Times New Roman"/>
                <w:color w:val="FF0000"/>
                <w:sz w:val="20"/>
                <w:szCs w:val="20"/>
              </w:rPr>
              <w:t>以上</w:t>
            </w:r>
            <w:r>
              <w:rPr>
                <w:rFonts w:ascii="Times New Roman" w:eastAsia="標楷體" w:hAnsi="Times New Roman" w:cs="Times New Roman"/>
                <w:color w:val="FF0000"/>
                <w:sz w:val="20"/>
                <w:szCs w:val="20"/>
              </w:rPr>
              <w:t>~</w:t>
            </w:r>
            <w:r>
              <w:rPr>
                <w:rFonts w:ascii="Times New Roman" w:eastAsia="標楷體" w:hAnsi="Times New Roman" w:cs="Times New Roman"/>
                <w:color w:val="FF0000"/>
                <w:sz w:val="20"/>
                <w:szCs w:val="20"/>
              </w:rPr>
              <w:t>未滿</w:t>
            </w:r>
            <w:r>
              <w:rPr>
                <w:rFonts w:ascii="Times New Roman" w:eastAsia="標楷體" w:hAnsi="Times New Roman" w:cs="Times New Roman"/>
                <w:color w:val="FF0000"/>
                <w:sz w:val="20"/>
                <w:szCs w:val="20"/>
              </w:rPr>
              <w:t>3.5</w:t>
            </w:r>
          </w:p>
        </w:tc>
        <w:tc>
          <w:tcPr>
            <w:tcW w:w="1010"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3.5</w:t>
            </w:r>
            <w:r>
              <w:rPr>
                <w:rFonts w:ascii="Times New Roman" w:eastAsia="標楷體" w:hAnsi="Times New Roman" w:cs="Times New Roman"/>
                <w:color w:val="FF0000"/>
                <w:sz w:val="20"/>
                <w:szCs w:val="20"/>
              </w:rPr>
              <w:t>以上</w:t>
            </w:r>
            <w:r>
              <w:rPr>
                <w:rFonts w:ascii="Times New Roman" w:eastAsia="標楷體" w:hAnsi="Times New Roman" w:cs="Times New Roman"/>
                <w:color w:val="FF0000"/>
                <w:sz w:val="20"/>
                <w:szCs w:val="20"/>
              </w:rPr>
              <w:t>~</w:t>
            </w:r>
            <w:r>
              <w:rPr>
                <w:rFonts w:ascii="Times New Roman" w:eastAsia="標楷體" w:hAnsi="Times New Roman" w:cs="Times New Roman"/>
                <w:color w:val="FF0000"/>
                <w:sz w:val="20"/>
                <w:szCs w:val="20"/>
              </w:rPr>
              <w:t>未滿</w:t>
            </w:r>
            <w:r>
              <w:rPr>
                <w:rFonts w:ascii="Times New Roman" w:eastAsia="標楷體" w:hAnsi="Times New Roman" w:cs="Times New Roman"/>
                <w:color w:val="FF0000"/>
                <w:sz w:val="20"/>
                <w:szCs w:val="20"/>
              </w:rPr>
              <w:t>4.0</w:t>
            </w:r>
          </w:p>
        </w:tc>
        <w:tc>
          <w:tcPr>
            <w:tcW w:w="1010"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4.0</w:t>
            </w:r>
            <w:r>
              <w:rPr>
                <w:rFonts w:ascii="Times New Roman" w:eastAsia="標楷體" w:hAnsi="Times New Roman" w:cs="Times New Roman"/>
                <w:color w:val="FF0000"/>
                <w:sz w:val="20"/>
                <w:szCs w:val="20"/>
              </w:rPr>
              <w:t>以上</w:t>
            </w:r>
          </w:p>
        </w:tc>
      </w:tr>
      <w:tr w:rsidR="0018444C">
        <w:trPr>
          <w:trHeight w:val="345"/>
        </w:trPr>
        <w:tc>
          <w:tcPr>
            <w:tcW w:w="136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color w:val="FF0000"/>
              </w:rPr>
            </w:pPr>
            <w:r>
              <w:rPr>
                <w:rFonts w:ascii="Times New Roman" w:eastAsia="標楷體" w:hAnsi="Times New Roman"/>
                <w:color w:val="FF0000"/>
              </w:rPr>
              <w:t>投資利潤率</w:t>
            </w:r>
            <w:r>
              <w:rPr>
                <w:rFonts w:ascii="Times New Roman" w:eastAsia="標楷體" w:hAnsi="Times New Roman"/>
                <w:color w:val="FF0000"/>
              </w:rPr>
              <w:t>(%)</w:t>
            </w:r>
          </w:p>
        </w:tc>
        <w:tc>
          <w:tcPr>
            <w:tcW w:w="100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14</w:t>
            </w:r>
          </w:p>
        </w:tc>
        <w:tc>
          <w:tcPr>
            <w:tcW w:w="984"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15</w:t>
            </w:r>
          </w:p>
        </w:tc>
        <w:tc>
          <w:tcPr>
            <w:tcW w:w="1010"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16</w:t>
            </w:r>
          </w:p>
        </w:tc>
        <w:tc>
          <w:tcPr>
            <w:tcW w:w="102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17</w:t>
            </w:r>
          </w:p>
        </w:tc>
        <w:tc>
          <w:tcPr>
            <w:tcW w:w="101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18</w:t>
            </w:r>
          </w:p>
        </w:tc>
        <w:tc>
          <w:tcPr>
            <w:tcW w:w="101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19</w:t>
            </w:r>
          </w:p>
        </w:tc>
        <w:tc>
          <w:tcPr>
            <w:tcW w:w="101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20</w:t>
            </w:r>
          </w:p>
        </w:tc>
      </w:tr>
    </w:tbl>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若設定利潤率與表格不同時應予說明。</w:t>
      </w:r>
    </w:p>
    <w:p w:rsidR="0018444C" w:rsidRDefault="0018444C">
      <w:pPr>
        <w:pStyle w:val="DefaultText"/>
        <w:spacing w:before="40" w:after="40" w:line="440" w:lineRule="exact"/>
        <w:ind w:left="1560"/>
        <w:jc w:val="both"/>
        <w:rPr>
          <w:rFonts w:ascii="Times New Roman" w:eastAsia="標楷體" w:hAnsi="Times New Roman"/>
          <w:strike/>
          <w:sz w:val="24"/>
          <w:szCs w:val="24"/>
          <w:u w:val="single"/>
        </w:rPr>
      </w:pPr>
    </w:p>
    <w:p w:rsidR="0018444C" w:rsidRDefault="0018444C">
      <w:pPr>
        <w:pageBreakBefore/>
        <w:jc w:val="center"/>
        <w:rPr>
          <w:rFonts w:ascii="Times New Roman" w:eastAsia="標楷體" w:hAnsi="Times New Roman"/>
        </w:rPr>
      </w:pPr>
    </w:p>
    <w:p w:rsidR="0018444C" w:rsidRDefault="00980E38">
      <w:pPr>
        <w:pStyle w:val="3"/>
        <w:numPr>
          <w:ilvl w:val="0"/>
          <w:numId w:val="34"/>
        </w:numPr>
        <w:rPr>
          <w:rFonts w:ascii="Times New Roman" w:hAnsi="Times New Roman"/>
        </w:rPr>
      </w:pPr>
      <w:bookmarkStart w:id="296" w:name="_Toc488152834"/>
      <w:bookmarkStart w:id="297" w:name="_Toc488163387"/>
      <w:r>
        <w:rPr>
          <w:rFonts w:ascii="Times New Roman" w:hAnsi="Times New Roman"/>
        </w:rPr>
        <w:t>比較法之估算過程：</w:t>
      </w:r>
      <w:bookmarkEnd w:id="296"/>
      <w:bookmarkEnd w:id="297"/>
    </w:p>
    <w:p w:rsidR="0018444C" w:rsidRDefault="00980E38">
      <w:pPr>
        <w:pStyle w:val="DefaultText"/>
        <w:numPr>
          <w:ilvl w:val="0"/>
          <w:numId w:val="48"/>
        </w:numPr>
        <w:tabs>
          <w:tab w:val="center" w:pos="1985"/>
        </w:tabs>
        <w:spacing w:before="40" w:after="40" w:line="440" w:lineRule="exact"/>
        <w:ind w:left="1985" w:hanging="425"/>
        <w:rPr>
          <w:rFonts w:ascii="Times New Roman" w:eastAsia="標楷體" w:hAnsi="Times New Roman"/>
        </w:rPr>
      </w:pPr>
      <w:r>
        <w:rPr>
          <w:rFonts w:ascii="Times New Roman" w:eastAsia="標楷體" w:hAnsi="Times New Roman"/>
        </w:rPr>
        <w:t>有關比較法評估過程，本事務所</w:t>
      </w:r>
      <w:proofErr w:type="gramStart"/>
      <w:r>
        <w:rPr>
          <w:rFonts w:ascii="Times New Roman" w:eastAsia="標楷體" w:hAnsi="Times New Roman"/>
        </w:rPr>
        <w:t>採</w:t>
      </w:r>
      <w:proofErr w:type="gramEnd"/>
      <w:r>
        <w:rPr>
          <w:rFonts w:ascii="Times New Roman" w:eastAsia="標楷體" w:hAnsi="Times New Roman"/>
        </w:rPr>
        <w:t>百分率調整法評估之。</w:t>
      </w:r>
    </w:p>
    <w:p w:rsidR="0018444C" w:rsidRDefault="00980E38">
      <w:pPr>
        <w:pStyle w:val="DefaultText"/>
        <w:numPr>
          <w:ilvl w:val="0"/>
          <w:numId w:val="48"/>
        </w:numPr>
        <w:tabs>
          <w:tab w:val="center" w:pos="1985"/>
        </w:tabs>
        <w:spacing w:before="40" w:after="40" w:line="440" w:lineRule="exact"/>
        <w:ind w:left="1985" w:hanging="425"/>
        <w:rPr>
          <w:rFonts w:ascii="Times New Roman" w:eastAsia="標楷體" w:hAnsi="Times New Roman"/>
          <w:szCs w:val="28"/>
        </w:rPr>
      </w:pPr>
      <w:r>
        <w:rPr>
          <w:rFonts w:ascii="Times New Roman" w:eastAsia="標楷體" w:hAnsi="Times New Roman"/>
          <w:szCs w:val="28"/>
        </w:rPr>
        <w:t>百分率調整法係經比較標的與</w:t>
      </w:r>
      <w:proofErr w:type="gramStart"/>
      <w:r>
        <w:rPr>
          <w:rFonts w:ascii="Times New Roman" w:eastAsia="標楷體" w:hAnsi="Times New Roman"/>
          <w:szCs w:val="28"/>
        </w:rPr>
        <w:t>勘</w:t>
      </w:r>
      <w:proofErr w:type="gramEnd"/>
      <w:r>
        <w:rPr>
          <w:rFonts w:ascii="Times New Roman" w:eastAsia="標楷體" w:hAnsi="Times New Roman"/>
          <w:szCs w:val="28"/>
        </w:rPr>
        <w:t>估建物各項個別因素及區域因素條件進行分析，並判定各項因素之差異百分比率（</w:t>
      </w:r>
      <w:proofErr w:type="gramStart"/>
      <w:r>
        <w:rPr>
          <w:rFonts w:ascii="Times New Roman" w:eastAsia="標楷體" w:hAnsi="Times New Roman"/>
          <w:szCs w:val="28"/>
        </w:rPr>
        <w:t>超極</w:t>
      </w:r>
      <w:proofErr w:type="gramEnd"/>
      <w:r>
        <w:rPr>
          <w:rFonts w:ascii="Times New Roman" w:eastAsia="標楷體" w:hAnsi="Times New Roman"/>
          <w:szCs w:val="28"/>
        </w:rPr>
        <w:t>優＞極優＞優＞稍優＞普通＞</w:t>
      </w:r>
      <w:proofErr w:type="gramStart"/>
      <w:r>
        <w:rPr>
          <w:rFonts w:ascii="Times New Roman" w:eastAsia="標楷體" w:hAnsi="Times New Roman"/>
          <w:szCs w:val="28"/>
        </w:rPr>
        <w:t>稍劣＞劣＞極</w:t>
      </w:r>
      <w:proofErr w:type="gramEnd"/>
      <w:r>
        <w:rPr>
          <w:rFonts w:ascii="Times New Roman" w:eastAsia="標楷體" w:hAnsi="Times New Roman"/>
          <w:szCs w:val="28"/>
        </w:rPr>
        <w:t>劣＞</w:t>
      </w:r>
      <w:proofErr w:type="gramStart"/>
      <w:r>
        <w:rPr>
          <w:rFonts w:ascii="Times New Roman" w:eastAsia="標楷體" w:hAnsi="Times New Roman"/>
          <w:szCs w:val="28"/>
        </w:rPr>
        <w:t>超極</w:t>
      </w:r>
      <w:proofErr w:type="gramEnd"/>
      <w:r>
        <w:rPr>
          <w:rFonts w:ascii="Times New Roman" w:eastAsia="標楷體" w:hAnsi="Times New Roman"/>
          <w:szCs w:val="28"/>
        </w:rPr>
        <w:t>劣），計算出</w:t>
      </w:r>
      <w:proofErr w:type="gramStart"/>
      <w:r>
        <w:rPr>
          <w:rFonts w:ascii="Times New Roman" w:eastAsia="標楷體" w:hAnsi="Times New Roman"/>
          <w:szCs w:val="28"/>
        </w:rPr>
        <w:t>勘</w:t>
      </w:r>
      <w:proofErr w:type="gramEnd"/>
      <w:r>
        <w:rPr>
          <w:rFonts w:ascii="Times New Roman" w:eastAsia="標楷體" w:hAnsi="Times New Roman"/>
          <w:szCs w:val="28"/>
        </w:rPr>
        <w:t>估建物比較價格之方法。</w:t>
      </w:r>
    </w:p>
    <w:p w:rsidR="0018444C" w:rsidRDefault="00980E38">
      <w:pPr>
        <w:pStyle w:val="DefaultText"/>
        <w:numPr>
          <w:ilvl w:val="0"/>
          <w:numId w:val="48"/>
        </w:numPr>
        <w:tabs>
          <w:tab w:val="center" w:pos="1985"/>
        </w:tabs>
        <w:spacing w:before="40" w:after="40" w:line="440" w:lineRule="exact"/>
        <w:ind w:left="1985" w:hanging="425"/>
      </w:pPr>
      <w:r>
        <w:rPr>
          <w:rFonts w:ascii="Times New Roman" w:eastAsia="標楷體" w:hAnsi="Times New Roman"/>
          <w:szCs w:val="28"/>
        </w:rPr>
        <w:t>各項因素條件等級</w:t>
      </w:r>
      <w:r>
        <w:rPr>
          <w:rFonts w:ascii="Times New Roman" w:eastAsia="標楷體" w:hAnsi="Times New Roman"/>
          <w:szCs w:val="28"/>
        </w:rPr>
        <w:t>:</w:t>
      </w:r>
      <w:proofErr w:type="gramStart"/>
      <w:r>
        <w:rPr>
          <w:rFonts w:ascii="Times New Roman" w:eastAsia="標楷體" w:hAnsi="Times New Roman"/>
          <w:szCs w:val="28"/>
        </w:rPr>
        <w:t>超極</w:t>
      </w:r>
      <w:proofErr w:type="gramEnd"/>
      <w:r>
        <w:rPr>
          <w:rFonts w:ascii="Times New Roman" w:eastAsia="標楷體" w:hAnsi="Times New Roman"/>
          <w:szCs w:val="28"/>
        </w:rPr>
        <w:t>優＞極優＞優＞</w:t>
      </w:r>
      <w:proofErr w:type="gramStart"/>
      <w:r>
        <w:rPr>
          <w:rFonts w:ascii="Times New Roman" w:eastAsia="標楷體" w:hAnsi="Times New Roman"/>
          <w:szCs w:val="28"/>
        </w:rPr>
        <w:t>稍優</w:t>
      </w:r>
      <w:proofErr w:type="gramEnd"/>
      <w:r>
        <w:rPr>
          <w:rFonts w:ascii="Times New Roman" w:eastAsia="標楷體" w:hAnsi="Times New Roman"/>
          <w:szCs w:val="28"/>
        </w:rPr>
        <w:t>＞普通＞</w:t>
      </w:r>
      <w:proofErr w:type="gramStart"/>
      <w:r>
        <w:rPr>
          <w:rFonts w:ascii="Times New Roman" w:eastAsia="標楷體" w:hAnsi="Times New Roman"/>
          <w:szCs w:val="28"/>
        </w:rPr>
        <w:t>稍劣＞劣＞極</w:t>
      </w:r>
      <w:proofErr w:type="gramEnd"/>
      <w:r>
        <w:rPr>
          <w:rFonts w:ascii="Times New Roman" w:eastAsia="標楷體" w:hAnsi="Times New Roman"/>
          <w:szCs w:val="28"/>
        </w:rPr>
        <w:t>劣＞</w:t>
      </w:r>
      <w:proofErr w:type="gramStart"/>
      <w:r>
        <w:rPr>
          <w:rFonts w:ascii="Times New Roman" w:eastAsia="標楷體" w:hAnsi="Times New Roman"/>
          <w:szCs w:val="28"/>
        </w:rPr>
        <w:t>超極</w:t>
      </w:r>
      <w:proofErr w:type="gramEnd"/>
      <w:r>
        <w:rPr>
          <w:rFonts w:ascii="Times New Roman" w:eastAsia="標楷體" w:hAnsi="Times New Roman"/>
          <w:szCs w:val="28"/>
        </w:rPr>
        <w:t>劣，各等級係以比較標的與</w:t>
      </w:r>
      <w:proofErr w:type="gramStart"/>
      <w:r>
        <w:rPr>
          <w:rFonts w:ascii="Times New Roman" w:eastAsia="標楷體" w:hAnsi="Times New Roman"/>
          <w:szCs w:val="28"/>
        </w:rPr>
        <w:t>勘估標</w:t>
      </w:r>
      <w:proofErr w:type="gramEnd"/>
      <w:r>
        <w:rPr>
          <w:rFonts w:ascii="Times New Roman" w:eastAsia="標楷體" w:hAnsi="Times New Roman"/>
          <w:szCs w:val="28"/>
        </w:rPr>
        <w:t>的各項條件之客觀比較而來。</w:t>
      </w:r>
    </w:p>
    <w:p w:rsidR="0018444C" w:rsidRDefault="00980E38">
      <w:pPr>
        <w:pStyle w:val="DefaultText"/>
        <w:numPr>
          <w:ilvl w:val="0"/>
          <w:numId w:val="48"/>
        </w:numPr>
        <w:tabs>
          <w:tab w:val="center" w:pos="1985"/>
        </w:tabs>
        <w:spacing w:before="40" w:after="40" w:line="440" w:lineRule="exact"/>
        <w:ind w:left="1985" w:hanging="425"/>
      </w:pPr>
      <w:r>
        <w:rPr>
          <w:rFonts w:ascii="Times New Roman" w:eastAsia="標楷體" w:hAnsi="Times New Roman"/>
        </w:rPr>
        <w:t>對於比較案例之相關資料，本事務所已</w:t>
      </w:r>
      <w:proofErr w:type="gramStart"/>
      <w:r>
        <w:rPr>
          <w:rFonts w:ascii="Times New Roman" w:eastAsia="標楷體" w:hAnsi="Times New Roman"/>
        </w:rPr>
        <w:t>儘</w:t>
      </w:r>
      <w:proofErr w:type="gramEnd"/>
      <w:r>
        <w:rPr>
          <w:rFonts w:ascii="Times New Roman" w:eastAsia="標楷體" w:hAnsi="Times New Roman"/>
        </w:rPr>
        <w:t>可能向資料提供者進行查證，如</w:t>
      </w:r>
      <w:r>
        <w:rPr>
          <w:rFonts w:ascii="Times New Roman" w:eastAsia="標楷體" w:hAnsi="Times New Roman"/>
          <w:szCs w:val="28"/>
        </w:rPr>
        <w:t>有不足係屬無法查證或查證有困難。</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以比較法評估含容積移入後之基地價格時，比較案例以二個以上成交案例為原則，若因交易案例稀少或條件差異過大，無法採用二個以上成交案例應於報告書中說明。</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比較案例所在區位等區域因素，以及面積、容積等個別因素應與</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的條件相近，不宜採用小面積透天</w:t>
      </w:r>
      <w:proofErr w:type="gramStart"/>
      <w:r>
        <w:rPr>
          <w:rFonts w:ascii="Times New Roman" w:eastAsia="標楷體" w:hAnsi="Times New Roman"/>
          <w:sz w:val="24"/>
          <w:szCs w:val="24"/>
        </w:rPr>
        <w:t>厝</w:t>
      </w:r>
      <w:proofErr w:type="gramEnd"/>
      <w:r>
        <w:rPr>
          <w:rFonts w:ascii="Times New Roman" w:eastAsia="標楷體" w:hAnsi="Times New Roman"/>
          <w:sz w:val="24"/>
          <w:szCs w:val="24"/>
        </w:rPr>
        <w:t>土地與可獨立開發</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的相比。若比較案例稀少則不在此限，但應於報告書中述明理由。</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比較案例之選擇，應以區域因素及個別因素相近者優先選取為原則，其次為期日因素相近者。價格日期調整應敘明調整之理由及依據。</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各項調整率若超過不動產估價技術規則第</w:t>
      </w:r>
      <w:r>
        <w:rPr>
          <w:rFonts w:ascii="Times New Roman" w:eastAsia="標楷體" w:hAnsi="Times New Roman"/>
          <w:sz w:val="24"/>
          <w:szCs w:val="24"/>
        </w:rPr>
        <w:t>25</w:t>
      </w:r>
      <w:r>
        <w:rPr>
          <w:rFonts w:ascii="Times New Roman" w:eastAsia="標楷體" w:hAnsi="Times New Roman"/>
          <w:sz w:val="24"/>
          <w:szCs w:val="24"/>
        </w:rPr>
        <w:t>條之限制時，應敘明理由或排除該比較標的之適用。</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比較案例之資料來源應敘明於條件分析表。</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比較法案例不宜採用持分交易案例。</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比較法案例應查證交易當時之允建容積（或實際容積）與法定容積有無不同，並</w:t>
      </w:r>
      <w:proofErr w:type="gramStart"/>
      <w:r>
        <w:rPr>
          <w:rFonts w:ascii="Times New Roman" w:eastAsia="標楷體" w:hAnsi="Times New Roman"/>
          <w:sz w:val="24"/>
          <w:szCs w:val="24"/>
        </w:rPr>
        <w:t>應以允建</w:t>
      </w:r>
      <w:proofErr w:type="gramEnd"/>
      <w:r>
        <w:rPr>
          <w:rFonts w:ascii="Times New Roman" w:eastAsia="標楷體" w:hAnsi="Times New Roman"/>
          <w:sz w:val="24"/>
          <w:szCs w:val="24"/>
        </w:rPr>
        <w:t>容積（或實際容積）為比較基礎。</w:t>
      </w:r>
    </w:p>
    <w:p w:rsidR="0018444C" w:rsidRDefault="00980E38">
      <w:pPr>
        <w:pStyle w:val="DefaultText"/>
        <w:pageBreakBefore/>
        <w:numPr>
          <w:ilvl w:val="0"/>
          <w:numId w:val="49"/>
        </w:numPr>
        <w:tabs>
          <w:tab w:val="center" w:pos="-14335"/>
        </w:tabs>
        <w:spacing w:before="40" w:after="40" w:line="440" w:lineRule="exact"/>
      </w:pPr>
      <w:r>
        <w:rPr>
          <w:rFonts w:ascii="Times New Roman" w:eastAsia="標楷體" w:hAnsi="Times New Roman"/>
          <w:bCs/>
          <w:szCs w:val="28"/>
        </w:rPr>
        <w:lastRenderedPageBreak/>
        <w:t>含容積移入之基地</w:t>
      </w:r>
      <w:r>
        <w:rPr>
          <w:rFonts w:ascii="Times New Roman" w:eastAsia="標楷體" w:hAnsi="Times New Roman"/>
          <w:szCs w:val="28"/>
        </w:rPr>
        <w:t>與比較標的條件分析：</w:t>
      </w:r>
    </w:p>
    <w:tbl>
      <w:tblPr>
        <w:tblW w:w="5000" w:type="pct"/>
        <w:tblCellMar>
          <w:left w:w="10" w:type="dxa"/>
          <w:right w:w="10" w:type="dxa"/>
        </w:tblCellMar>
        <w:tblLook w:val="0000" w:firstRow="0" w:lastRow="0" w:firstColumn="0" w:lastColumn="0" w:noHBand="0" w:noVBand="0"/>
      </w:tblPr>
      <w:tblGrid>
        <w:gridCol w:w="1773"/>
        <w:gridCol w:w="2056"/>
        <w:gridCol w:w="2106"/>
        <w:gridCol w:w="2106"/>
        <w:gridCol w:w="2106"/>
      </w:tblGrid>
      <w:tr w:rsidR="0018444C">
        <w:trPr>
          <w:trHeight w:val="454"/>
        </w:trPr>
        <w:tc>
          <w:tcPr>
            <w:tcW w:w="1758"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項</w:t>
            </w:r>
            <w:r>
              <w:rPr>
                <w:rFonts w:ascii="Times New Roman" w:eastAsia="標楷體" w:hAnsi="Times New Roman"/>
                <w:bCs/>
                <w:szCs w:val="24"/>
              </w:rPr>
              <w:t xml:space="preserve">    </w:t>
            </w:r>
            <w:r>
              <w:rPr>
                <w:rFonts w:ascii="Times New Roman" w:eastAsia="標楷體" w:hAnsi="Times New Roman"/>
                <w:bCs/>
                <w:szCs w:val="24"/>
              </w:rPr>
              <w:t>目</w:t>
            </w:r>
          </w:p>
        </w:tc>
        <w:tc>
          <w:tcPr>
            <w:tcW w:w="203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proofErr w:type="gramStart"/>
            <w:r>
              <w:rPr>
                <w:rFonts w:ascii="Times New Roman" w:eastAsia="標楷體" w:hAnsi="Times New Roman"/>
                <w:bCs/>
                <w:szCs w:val="24"/>
              </w:rPr>
              <w:t>勘估標</w:t>
            </w:r>
            <w:proofErr w:type="gramEnd"/>
            <w:r>
              <w:rPr>
                <w:rFonts w:ascii="Times New Roman" w:eastAsia="標楷體" w:hAnsi="Times New Roman"/>
                <w:bCs/>
                <w:szCs w:val="24"/>
              </w:rPr>
              <w:t>的</w:t>
            </w:r>
          </w:p>
        </w:tc>
        <w:tc>
          <w:tcPr>
            <w:tcW w:w="208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比較標的</w:t>
            </w:r>
            <w:proofErr w:type="gramStart"/>
            <w:r>
              <w:rPr>
                <w:rFonts w:ascii="Times New Roman" w:eastAsia="標楷體" w:hAnsi="Times New Roman"/>
                <w:bCs/>
                <w:szCs w:val="24"/>
              </w:rPr>
              <w:t>一</w:t>
            </w:r>
            <w:proofErr w:type="gramEnd"/>
          </w:p>
        </w:tc>
        <w:tc>
          <w:tcPr>
            <w:tcW w:w="208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比較標的二</w:t>
            </w:r>
          </w:p>
        </w:tc>
        <w:tc>
          <w:tcPr>
            <w:tcW w:w="2088"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比較標的三</w:t>
            </w: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標示</w:t>
            </w:r>
            <w:r>
              <w:rPr>
                <w:rFonts w:ascii="Times New Roman" w:eastAsia="標楷體" w:hAnsi="Times New Roman"/>
                <w:bCs/>
                <w:szCs w:val="24"/>
              </w:rPr>
              <w:t>(</w:t>
            </w:r>
            <w:r>
              <w:rPr>
                <w:rFonts w:ascii="Times New Roman" w:eastAsia="標楷體" w:hAnsi="Times New Roman"/>
                <w:bCs/>
                <w:szCs w:val="24"/>
              </w:rPr>
              <w:t>縣市</w:t>
            </w:r>
            <w:r>
              <w:rPr>
                <w:rFonts w:ascii="Times New Roman" w:eastAsia="標楷體" w:hAnsi="Times New Roman"/>
                <w:bCs/>
                <w:szCs w:val="24"/>
              </w:rPr>
              <w:t>/</w:t>
            </w:r>
            <w:r>
              <w:rPr>
                <w:rFonts w:ascii="Times New Roman" w:eastAsia="標楷體" w:hAnsi="Times New Roman"/>
                <w:bCs/>
                <w:szCs w:val="24"/>
              </w:rPr>
              <w:t>區</w:t>
            </w:r>
            <w:r>
              <w:rPr>
                <w:rFonts w:ascii="Times New Roman" w:eastAsia="標楷體" w:hAnsi="Times New Roman"/>
                <w:bCs/>
                <w:szCs w:val="24"/>
              </w:rPr>
              <w:t>/</w:t>
            </w:r>
            <w:r>
              <w:rPr>
                <w:rFonts w:ascii="Times New Roman" w:eastAsia="標楷體" w:hAnsi="Times New Roman"/>
                <w:bCs/>
                <w:szCs w:val="24"/>
              </w:rPr>
              <w:t>地段號</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價格型態</w:t>
            </w:r>
            <w:r>
              <w:rPr>
                <w:rFonts w:ascii="Times New Roman" w:eastAsia="標楷體" w:hAnsi="Times New Roman"/>
                <w:bCs/>
                <w:szCs w:val="24"/>
              </w:rPr>
              <w:t>(</w:t>
            </w:r>
            <w:r>
              <w:rPr>
                <w:rFonts w:ascii="Times New Roman" w:eastAsia="標楷體" w:hAnsi="Times New Roman"/>
                <w:bCs/>
                <w:szCs w:val="24"/>
              </w:rPr>
              <w:t>如擬售價格、成交價格等</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pPr>
            <w:r>
              <w:rPr>
                <w:rFonts w:ascii="Times New Roman" w:eastAsia="標楷體" w:hAnsi="Times New Roman"/>
                <w:bCs/>
                <w:szCs w:val="24"/>
              </w:rPr>
              <w:t>交易總價</w:t>
            </w:r>
            <w:r>
              <w:rPr>
                <w:rFonts w:ascii="Times New Roman" w:eastAsia="標楷體" w:hAnsi="Times New Roman"/>
                <w:bCs/>
                <w:szCs w:val="24"/>
              </w:rPr>
              <w:t>(</w:t>
            </w:r>
            <w:r>
              <w:rPr>
                <w:rFonts w:ascii="Times New Roman" w:eastAsia="標楷體" w:hAnsi="Times New Roman"/>
                <w:szCs w:val="24"/>
              </w:rPr>
              <w:t>元</w:t>
            </w:r>
            <w:r>
              <w:rPr>
                <w:rFonts w:ascii="Times New Roman" w:eastAsia="標楷體" w:hAnsi="Times New Roman"/>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交易總面積</w:t>
            </w:r>
            <w:r>
              <w:rPr>
                <w:rFonts w:ascii="Times New Roman" w:eastAsia="標楷體" w:hAnsi="Times New Roman"/>
                <w:bCs/>
                <w:szCs w:val="24"/>
              </w:rPr>
              <w:t>(</w:t>
            </w:r>
            <w:r>
              <w:rPr>
                <w:rFonts w:ascii="Times New Roman" w:eastAsia="標楷體" w:hAnsi="Times New Roman"/>
                <w:bCs/>
                <w:szCs w:val="24"/>
              </w:rPr>
              <w:t>坪</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bCs/>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pPr>
            <w:r>
              <w:rPr>
                <w:rFonts w:ascii="Times New Roman" w:eastAsia="標楷體" w:hAnsi="Times New Roman"/>
                <w:bCs/>
                <w:szCs w:val="24"/>
              </w:rPr>
              <w:t>交易單價</w:t>
            </w:r>
            <w:r>
              <w:rPr>
                <w:rFonts w:ascii="Times New Roman" w:eastAsia="標楷體" w:hAnsi="Times New Roman"/>
                <w:bCs/>
                <w:szCs w:val="24"/>
              </w:rPr>
              <w:t>(</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坪</w:t>
            </w:r>
            <w:r>
              <w:rPr>
                <w:rFonts w:ascii="Times New Roman" w:eastAsia="標楷體" w:hAnsi="Times New Roman"/>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bCs/>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勘察日期</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價格日期</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使用分區</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法定建蔽率</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法定容積率</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允建容積率</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土地形狀</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地形地勢</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proofErr w:type="gramStart"/>
            <w:r>
              <w:rPr>
                <w:rFonts w:ascii="Times New Roman" w:eastAsia="標楷體" w:hAnsi="Times New Roman"/>
                <w:bCs/>
                <w:szCs w:val="24"/>
              </w:rPr>
              <w:t>臨路條件</w:t>
            </w:r>
            <w:proofErr w:type="gramEnd"/>
            <w:r>
              <w:rPr>
                <w:rFonts w:ascii="Times New Roman" w:eastAsia="標楷體" w:hAnsi="Times New Roman"/>
                <w:bCs/>
                <w:szCs w:val="24"/>
              </w:rPr>
              <w:t>(</w:t>
            </w:r>
            <w:r>
              <w:rPr>
                <w:rFonts w:ascii="Times New Roman" w:eastAsia="標楷體" w:hAnsi="Times New Roman"/>
                <w:bCs/>
                <w:szCs w:val="24"/>
              </w:rPr>
              <w:t>如單面臨路、雙面臨路</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臨路路寬</w:t>
            </w:r>
            <w:r>
              <w:rPr>
                <w:rFonts w:ascii="Times New Roman" w:eastAsia="標楷體" w:hAnsi="Times New Roman"/>
                <w:bCs/>
                <w:szCs w:val="24"/>
              </w:rPr>
              <w:t>(M)</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道路種別</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寬度</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深度</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交通條件</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公共設施</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整體條件</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交易價格</w:t>
            </w:r>
            <w:r>
              <w:rPr>
                <w:rFonts w:ascii="Times New Roman" w:eastAsia="標楷體" w:hAnsi="Times New Roman"/>
                <w:bCs/>
                <w:szCs w:val="24"/>
              </w:rPr>
              <w:br/>
              <w:t>(</w:t>
            </w:r>
            <w:r>
              <w:rPr>
                <w:rFonts w:ascii="Times New Roman" w:eastAsia="標楷體" w:hAnsi="Times New Roman"/>
                <w:bCs/>
                <w:szCs w:val="24"/>
              </w:rPr>
              <w:t>元</w:t>
            </w:r>
            <w:r>
              <w:rPr>
                <w:rFonts w:ascii="Times New Roman" w:eastAsia="標楷體" w:hAnsi="Times New Roman"/>
                <w:bCs/>
                <w:szCs w:val="24"/>
              </w:rPr>
              <w:t>/</w:t>
            </w:r>
            <w:r>
              <w:rPr>
                <w:rFonts w:ascii="Times New Roman" w:eastAsia="標楷體" w:hAnsi="Times New Roman"/>
                <w:bCs/>
                <w:szCs w:val="24"/>
              </w:rPr>
              <w:t>坪</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bCs/>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議價空間</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bCs/>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成交</w:t>
            </w:r>
            <w:r>
              <w:rPr>
                <w:rFonts w:ascii="Times New Roman" w:eastAsia="標楷體" w:hAnsi="Times New Roman"/>
                <w:bCs/>
                <w:szCs w:val="24"/>
              </w:rPr>
              <w:t>(</w:t>
            </w:r>
            <w:r>
              <w:rPr>
                <w:rFonts w:ascii="Times New Roman" w:eastAsia="標楷體" w:hAnsi="Times New Roman"/>
                <w:bCs/>
                <w:szCs w:val="24"/>
              </w:rPr>
              <w:t>預估</w:t>
            </w:r>
            <w:r>
              <w:rPr>
                <w:rFonts w:ascii="Times New Roman" w:eastAsia="標楷體" w:hAnsi="Times New Roman"/>
                <w:bCs/>
                <w:szCs w:val="24"/>
              </w:rPr>
              <w:t>)</w:t>
            </w:r>
            <w:r>
              <w:rPr>
                <w:rFonts w:ascii="Times New Roman" w:eastAsia="標楷體" w:hAnsi="Times New Roman"/>
                <w:bCs/>
                <w:szCs w:val="24"/>
              </w:rPr>
              <w:t>價格</w:t>
            </w:r>
            <w:r>
              <w:rPr>
                <w:rFonts w:ascii="Times New Roman" w:eastAsia="標楷體" w:hAnsi="Times New Roman"/>
                <w:bCs/>
                <w:szCs w:val="24"/>
              </w:rPr>
              <w:br/>
              <w:t>(</w:t>
            </w:r>
            <w:r>
              <w:rPr>
                <w:rFonts w:ascii="Times New Roman" w:eastAsia="標楷體" w:hAnsi="Times New Roman"/>
                <w:bCs/>
                <w:szCs w:val="24"/>
              </w:rPr>
              <w:t>元</w:t>
            </w:r>
            <w:r>
              <w:rPr>
                <w:rFonts w:ascii="Times New Roman" w:eastAsia="標楷體" w:hAnsi="Times New Roman"/>
                <w:bCs/>
                <w:szCs w:val="24"/>
              </w:rPr>
              <w:t>/</w:t>
            </w:r>
            <w:r>
              <w:rPr>
                <w:rFonts w:ascii="Times New Roman" w:eastAsia="標楷體" w:hAnsi="Times New Roman"/>
                <w:bCs/>
                <w:szCs w:val="24"/>
              </w:rPr>
              <w:t>坪</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bCs/>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資料來源</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bCs/>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lastRenderedPageBreak/>
              <w:t>備註</w:t>
            </w:r>
          </w:p>
        </w:tc>
        <w:tc>
          <w:tcPr>
            <w:tcW w:w="203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18444C" w:rsidRDefault="0018444C">
            <w:pPr>
              <w:spacing w:line="320" w:lineRule="exact"/>
              <w:rPr>
                <w:rFonts w:ascii="Times New Roman" w:eastAsia="標楷體" w:hAnsi="Times New Roman"/>
                <w:szCs w:val="24"/>
              </w:rPr>
            </w:pPr>
          </w:p>
        </w:tc>
        <w:tc>
          <w:tcPr>
            <w:tcW w:w="208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bl>
    <w:p w:rsidR="0018444C" w:rsidRDefault="0018444C">
      <w:pPr>
        <w:pStyle w:val="DefaultText"/>
        <w:tabs>
          <w:tab w:val="center" w:pos="1985"/>
        </w:tabs>
        <w:spacing w:before="40" w:after="40" w:line="440" w:lineRule="exact"/>
        <w:ind w:left="1985"/>
        <w:rPr>
          <w:rFonts w:ascii="Times New Roman" w:eastAsia="標楷體" w:hAnsi="Times New Roman"/>
          <w:szCs w:val="28"/>
        </w:rPr>
      </w:pPr>
    </w:p>
    <w:p w:rsidR="0018444C" w:rsidRDefault="0018444C">
      <w:pPr>
        <w:rPr>
          <w:rFonts w:ascii="Times New Roman" w:eastAsia="標楷體" w:hAnsi="Times New Roman"/>
          <w:szCs w:val="28"/>
        </w:rPr>
      </w:pPr>
    </w:p>
    <w:p w:rsidR="0018444C" w:rsidRDefault="0018444C">
      <w:pPr>
        <w:rPr>
          <w:rFonts w:ascii="Times New Roman" w:eastAsia="標楷體" w:hAnsi="Times New Roman"/>
          <w:sz w:val="28"/>
          <w:szCs w:val="28"/>
        </w:rPr>
      </w:pPr>
    </w:p>
    <w:p w:rsidR="0018444C" w:rsidRDefault="00980E38">
      <w:pPr>
        <w:pStyle w:val="DefaultText"/>
        <w:numPr>
          <w:ilvl w:val="0"/>
          <w:numId w:val="49"/>
        </w:numPr>
        <w:tabs>
          <w:tab w:val="center" w:pos="1985"/>
        </w:tabs>
        <w:spacing w:before="40" w:after="40" w:line="440" w:lineRule="exact"/>
        <w:ind w:left="1985" w:hanging="425"/>
      </w:pPr>
      <w:r>
        <w:rPr>
          <w:rFonts w:ascii="Times New Roman" w:eastAsia="標楷體" w:hAnsi="Times New Roman"/>
          <w:bCs/>
          <w:szCs w:val="28"/>
        </w:rPr>
        <w:t>含容積移入之基地</w:t>
      </w:r>
      <w:r>
        <w:rPr>
          <w:rFonts w:ascii="Times New Roman" w:eastAsia="標楷體" w:hAnsi="Times New Roman"/>
        </w:rPr>
        <w:t>與比較標的區域因素比較表：</w:t>
      </w:r>
    </w:p>
    <w:tbl>
      <w:tblPr>
        <w:tblW w:w="9939" w:type="dxa"/>
        <w:jc w:val="center"/>
        <w:tblCellMar>
          <w:left w:w="10" w:type="dxa"/>
          <w:right w:w="10" w:type="dxa"/>
        </w:tblCellMar>
        <w:tblLook w:val="0000" w:firstRow="0" w:lastRow="0" w:firstColumn="0" w:lastColumn="0" w:noHBand="0" w:noVBand="0"/>
      </w:tblPr>
      <w:tblGrid>
        <w:gridCol w:w="661"/>
        <w:gridCol w:w="2488"/>
        <w:gridCol w:w="1262"/>
        <w:gridCol w:w="1134"/>
        <w:gridCol w:w="709"/>
        <w:gridCol w:w="1134"/>
        <w:gridCol w:w="708"/>
        <w:gridCol w:w="1134"/>
        <w:gridCol w:w="709"/>
      </w:tblGrid>
      <w:tr w:rsidR="0018444C">
        <w:trPr>
          <w:cantSplit/>
          <w:trHeight w:val="452"/>
          <w:jc w:val="center"/>
        </w:trPr>
        <w:tc>
          <w:tcPr>
            <w:tcW w:w="661"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主要項目</w:t>
            </w:r>
          </w:p>
        </w:tc>
        <w:tc>
          <w:tcPr>
            <w:tcW w:w="248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次要項目</w:t>
            </w:r>
          </w:p>
        </w:tc>
        <w:tc>
          <w:tcPr>
            <w:tcW w:w="126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proofErr w:type="gramStart"/>
            <w:r>
              <w:rPr>
                <w:rFonts w:ascii="Times New Roman" w:eastAsia="標楷體" w:hAnsi="Times New Roman"/>
                <w:sz w:val="22"/>
              </w:rPr>
              <w:t>勘</w:t>
            </w:r>
            <w:proofErr w:type="gramEnd"/>
            <w:r>
              <w:rPr>
                <w:rFonts w:ascii="Times New Roman" w:eastAsia="標楷體" w:hAnsi="Times New Roman"/>
                <w:sz w:val="22"/>
              </w:rPr>
              <w:t>估建物</w:t>
            </w:r>
          </w:p>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比</w:t>
            </w:r>
            <w:proofErr w:type="gramStart"/>
            <w:r>
              <w:rPr>
                <w:rFonts w:ascii="Times New Roman" w:eastAsia="標楷體" w:hAnsi="Times New Roman"/>
                <w:sz w:val="22"/>
              </w:rPr>
              <w:t>準</w:t>
            </w:r>
            <w:proofErr w:type="gramEnd"/>
            <w:r>
              <w:rPr>
                <w:rFonts w:ascii="Times New Roman" w:eastAsia="標楷體" w:hAnsi="Times New Roman"/>
                <w:sz w:val="22"/>
              </w:rPr>
              <w:t>單元</w:t>
            </w:r>
            <w:r>
              <w:rPr>
                <w:rFonts w:ascii="Times New Roman" w:eastAsia="標楷體" w:hAnsi="Times New Roman"/>
                <w:sz w:val="22"/>
              </w:rPr>
              <w:t>)</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w:t>
            </w:r>
            <w:proofErr w:type="gramStart"/>
            <w:r>
              <w:rPr>
                <w:rFonts w:ascii="Times New Roman" w:eastAsia="標楷體" w:hAnsi="Times New Roman"/>
                <w:sz w:val="22"/>
              </w:rPr>
              <w:t>一</w:t>
            </w:r>
            <w:proofErr w:type="gramEnd"/>
          </w:p>
        </w:tc>
        <w:tc>
          <w:tcPr>
            <w:tcW w:w="70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比較標的二</w:t>
            </w:r>
          </w:p>
        </w:tc>
        <w:tc>
          <w:tcPr>
            <w:tcW w:w="70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比較標的三</w:t>
            </w:r>
          </w:p>
        </w:tc>
        <w:tc>
          <w:tcPr>
            <w:tcW w:w="709"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r>
      <w:tr w:rsidR="0018444C">
        <w:trPr>
          <w:cantSplit/>
          <w:trHeight w:val="289"/>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道路條件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pPr>
            <w:r>
              <w:rPr>
                <w:rFonts w:ascii="Times New Roman" w:eastAsia="標楷體" w:hAnsi="Times New Roman"/>
                <w:sz w:val="22"/>
              </w:rPr>
              <w:t>區域主要道路寬度</w:t>
            </w:r>
            <w:r>
              <w:rPr>
                <w:rFonts w:ascii="Times New Roman" w:eastAsia="標楷體" w:hAnsi="Times New Roman"/>
                <w:bCs/>
                <w:sz w:val="22"/>
              </w:rPr>
              <w:t>(M)</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道路系統及連續性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人車動線規畫及道路配置</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交通運輸條件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客運、公車便利性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鐵路運輸便利性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國道或快速道路便利性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65"/>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停車便利性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環境條件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商業活動強度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ind w:left="113" w:right="113"/>
              <w:jc w:val="cente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土地利用成熟度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古蹟、觀光遊憩設施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服務性設施</w:t>
            </w:r>
            <w:r>
              <w:rPr>
                <w:rFonts w:ascii="Times New Roman" w:eastAsia="標楷體" w:hAnsi="Times New Roman"/>
                <w:sz w:val="22"/>
              </w:rPr>
              <w:t>(</w:t>
            </w:r>
            <w:r>
              <w:rPr>
                <w:rFonts w:ascii="Times New Roman" w:eastAsia="標楷體" w:hAnsi="Times New Roman"/>
                <w:sz w:val="22"/>
              </w:rPr>
              <w:t>郵局</w:t>
            </w:r>
            <w:r>
              <w:rPr>
                <w:rFonts w:ascii="Times New Roman" w:eastAsia="標楷體" w:hAnsi="Times New Roman"/>
                <w:sz w:val="22"/>
              </w:rPr>
              <w:t>.</w:t>
            </w:r>
            <w:r>
              <w:rPr>
                <w:rFonts w:ascii="Times New Roman" w:eastAsia="標楷體" w:hAnsi="Times New Roman"/>
                <w:sz w:val="22"/>
              </w:rPr>
              <w:t>銀行</w:t>
            </w:r>
            <w:r>
              <w:rPr>
                <w:rFonts w:ascii="Times New Roman" w:eastAsia="標楷體" w:hAnsi="Times New Roman"/>
                <w:sz w:val="22"/>
              </w:rPr>
              <w:t>.</w:t>
            </w:r>
            <w:r>
              <w:rPr>
                <w:rFonts w:ascii="Times New Roman" w:eastAsia="標楷體" w:hAnsi="Times New Roman"/>
                <w:sz w:val="22"/>
              </w:rPr>
              <w:t>醫院</w:t>
            </w:r>
            <w:r>
              <w:rPr>
                <w:rFonts w:ascii="Times New Roman" w:eastAsia="標楷體" w:hAnsi="Times New Roman"/>
                <w:sz w:val="22"/>
              </w:rPr>
              <w:t>.</w:t>
            </w:r>
            <w:r>
              <w:rPr>
                <w:rFonts w:ascii="Times New Roman" w:eastAsia="標楷體" w:hAnsi="Times New Roman"/>
                <w:sz w:val="22"/>
              </w:rPr>
              <w:t>機關等設施</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學校</w:t>
            </w:r>
            <w:r>
              <w:rPr>
                <w:rFonts w:ascii="Times New Roman" w:eastAsia="標楷體" w:hAnsi="Times New Roman"/>
                <w:sz w:val="22"/>
              </w:rPr>
              <w:t>(</w:t>
            </w:r>
            <w:r>
              <w:rPr>
                <w:rFonts w:ascii="Times New Roman" w:eastAsia="標楷體" w:hAnsi="Times New Roman"/>
                <w:sz w:val="22"/>
              </w:rPr>
              <w:t>國小、國中、高中、大專院校</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w:t>
            </w:r>
            <w:r>
              <w:rPr>
                <w:rFonts w:ascii="Times New Roman" w:eastAsia="標楷體" w:hAnsi="Times New Roman"/>
                <w:sz w:val="22"/>
              </w:rPr>
              <w:t>(</w:t>
            </w:r>
            <w:r>
              <w:rPr>
                <w:rFonts w:ascii="Times New Roman" w:eastAsia="標楷體" w:hAnsi="Times New Roman"/>
                <w:sz w:val="22"/>
              </w:rPr>
              <w:t>傳統市場、超級市場、超大型購物中心</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廣場、公園、綠地</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嫌惡設施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排水之良否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自然條件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地勢坡度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災害影響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使用分區</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rPr>
            </w:pPr>
            <w:r>
              <w:rPr>
                <w:rFonts w:ascii="Times New Roman" w:eastAsia="標楷體" w:hAnsi="Times New Roman"/>
              </w:rPr>
              <w:t>行政條件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建築或用途管制</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其他</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市場供需情況</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其他</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重大建設影響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未來發展趨勢</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3149"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26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bl>
    <w:p w:rsidR="0018444C" w:rsidRDefault="00980E38">
      <w:pPr>
        <w:pStyle w:val="DefaultText"/>
        <w:spacing w:before="40" w:after="40" w:line="440" w:lineRule="exact"/>
        <w:ind w:left="1560"/>
        <w:jc w:val="both"/>
      </w:pPr>
      <w:r>
        <w:rPr>
          <w:rFonts w:ascii="Times New Roman" w:eastAsia="標楷體" w:hAnsi="Times New Roman"/>
          <w:sz w:val="24"/>
          <w:szCs w:val="24"/>
        </w:rPr>
        <w:t>《注意須知》：</w:t>
      </w:r>
      <w:r>
        <w:rPr>
          <w:rFonts w:ascii="Times New Roman" w:eastAsia="標楷體" w:hAnsi="Times New Roman"/>
          <w:sz w:val="23"/>
          <w:szCs w:val="23"/>
        </w:rPr>
        <w:t>參見前述「開發後總銷售金額評估」之《注意須知》內容</w:t>
      </w:r>
      <w:r>
        <w:rPr>
          <w:rFonts w:ascii="Times New Roman" w:eastAsia="標楷體" w:hAnsi="Times New Roman"/>
          <w:bCs/>
          <w:sz w:val="24"/>
          <w:szCs w:val="24"/>
        </w:rPr>
        <w:t>。</w:t>
      </w:r>
    </w:p>
    <w:p w:rsidR="0018444C" w:rsidRDefault="0018444C">
      <w:pPr>
        <w:pStyle w:val="DefaultText"/>
        <w:tabs>
          <w:tab w:val="center" w:pos="1985"/>
        </w:tabs>
        <w:spacing w:before="40" w:after="40" w:line="440" w:lineRule="exact"/>
        <w:ind w:left="1985"/>
        <w:rPr>
          <w:rFonts w:ascii="Times New Roman" w:eastAsia="標楷體" w:hAnsi="Times New Roman"/>
        </w:rPr>
      </w:pPr>
    </w:p>
    <w:p w:rsidR="0018444C" w:rsidRDefault="00980E38">
      <w:pPr>
        <w:pStyle w:val="DefaultText"/>
        <w:pageBreakBefore/>
        <w:numPr>
          <w:ilvl w:val="0"/>
          <w:numId w:val="49"/>
        </w:numPr>
        <w:tabs>
          <w:tab w:val="center" w:pos="-14335"/>
        </w:tabs>
        <w:spacing w:before="40" w:after="40" w:line="440" w:lineRule="exact"/>
      </w:pPr>
      <w:r>
        <w:rPr>
          <w:rFonts w:ascii="Times New Roman" w:eastAsia="標楷體" w:hAnsi="Times New Roman"/>
          <w:bCs/>
          <w:szCs w:val="28"/>
        </w:rPr>
        <w:lastRenderedPageBreak/>
        <w:t>含容積移入之基地</w:t>
      </w:r>
      <w:r>
        <w:rPr>
          <w:rFonts w:ascii="Times New Roman" w:eastAsia="標楷體" w:hAnsi="Times New Roman"/>
        </w:rPr>
        <w:t>與比較標的個別因素比較表：</w:t>
      </w:r>
    </w:p>
    <w:tbl>
      <w:tblPr>
        <w:tblW w:w="5000" w:type="pct"/>
        <w:tblCellMar>
          <w:left w:w="10" w:type="dxa"/>
          <w:right w:w="10" w:type="dxa"/>
        </w:tblCellMar>
        <w:tblLook w:val="0000" w:firstRow="0" w:lastRow="0" w:firstColumn="0" w:lastColumn="0" w:noHBand="0" w:noVBand="0"/>
      </w:tblPr>
      <w:tblGrid>
        <w:gridCol w:w="459"/>
        <w:gridCol w:w="2527"/>
        <w:gridCol w:w="887"/>
        <w:gridCol w:w="1138"/>
        <w:gridCol w:w="954"/>
        <w:gridCol w:w="1138"/>
        <w:gridCol w:w="954"/>
        <w:gridCol w:w="1138"/>
        <w:gridCol w:w="952"/>
      </w:tblGrid>
      <w:tr w:rsidR="0018444C">
        <w:trPr>
          <w:trHeight w:val="645"/>
        </w:trPr>
        <w:tc>
          <w:tcPr>
            <w:tcW w:w="45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項目</w:t>
            </w:r>
          </w:p>
        </w:tc>
        <w:tc>
          <w:tcPr>
            <w:tcW w:w="2506"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比較細項</w:t>
            </w:r>
          </w:p>
        </w:tc>
        <w:tc>
          <w:tcPr>
            <w:tcW w:w="879"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proofErr w:type="gramStart"/>
            <w:r>
              <w:rPr>
                <w:rFonts w:ascii="Times New Roman" w:eastAsia="標楷體" w:hAnsi="Times New Roman"/>
                <w:szCs w:val="24"/>
              </w:rPr>
              <w:t>勘</w:t>
            </w:r>
            <w:proofErr w:type="gramEnd"/>
            <w:r>
              <w:rPr>
                <w:rFonts w:ascii="Times New Roman" w:eastAsia="標楷體" w:hAnsi="Times New Roman"/>
                <w:szCs w:val="24"/>
              </w:rPr>
              <w:t>估</w:t>
            </w:r>
            <w:r>
              <w:rPr>
                <w:rFonts w:ascii="Times New Roman" w:eastAsia="標楷體" w:hAnsi="Times New Roman"/>
                <w:szCs w:val="24"/>
              </w:rPr>
              <w:br/>
            </w:r>
            <w:r>
              <w:rPr>
                <w:rFonts w:ascii="Times New Roman" w:eastAsia="標楷體" w:hAnsi="Times New Roman"/>
                <w:szCs w:val="24"/>
              </w:rPr>
              <w:t>標的</w:t>
            </w:r>
          </w:p>
        </w:tc>
        <w:tc>
          <w:tcPr>
            <w:tcW w:w="1128"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比較</w:t>
            </w:r>
            <w:r>
              <w:rPr>
                <w:rFonts w:ascii="Times New Roman" w:eastAsia="標楷體" w:hAnsi="Times New Roman"/>
                <w:szCs w:val="24"/>
              </w:rPr>
              <w:br/>
            </w:r>
            <w:r>
              <w:rPr>
                <w:rFonts w:ascii="Times New Roman" w:eastAsia="標楷體" w:hAnsi="Times New Roman"/>
                <w:szCs w:val="24"/>
              </w:rPr>
              <w:t>標的</w:t>
            </w:r>
            <w:proofErr w:type="gramStart"/>
            <w:r>
              <w:rPr>
                <w:rFonts w:ascii="Times New Roman" w:eastAsia="標楷體" w:hAnsi="Times New Roman"/>
                <w:szCs w:val="24"/>
              </w:rPr>
              <w:t>ㄧ</w:t>
            </w:r>
            <w:proofErr w:type="gramEnd"/>
          </w:p>
        </w:tc>
        <w:tc>
          <w:tcPr>
            <w:tcW w:w="946"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調整</w:t>
            </w:r>
            <w:r>
              <w:rPr>
                <w:rFonts w:ascii="Times New Roman" w:eastAsia="標楷體" w:hAnsi="Times New Roman"/>
                <w:szCs w:val="24"/>
              </w:rPr>
              <w:br/>
            </w:r>
            <w:r>
              <w:rPr>
                <w:rFonts w:ascii="Times New Roman" w:eastAsia="標楷體" w:hAnsi="Times New Roman"/>
                <w:szCs w:val="24"/>
              </w:rPr>
              <w:t>百分率</w:t>
            </w:r>
          </w:p>
        </w:tc>
        <w:tc>
          <w:tcPr>
            <w:tcW w:w="1128"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比較</w:t>
            </w:r>
            <w:r>
              <w:rPr>
                <w:rFonts w:ascii="Times New Roman" w:eastAsia="標楷體" w:hAnsi="Times New Roman"/>
                <w:szCs w:val="24"/>
              </w:rPr>
              <w:br/>
            </w:r>
            <w:r>
              <w:rPr>
                <w:rFonts w:ascii="Times New Roman" w:eastAsia="標楷體" w:hAnsi="Times New Roman"/>
                <w:szCs w:val="24"/>
              </w:rPr>
              <w:t>標的二</w:t>
            </w:r>
          </w:p>
        </w:tc>
        <w:tc>
          <w:tcPr>
            <w:tcW w:w="946"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調整</w:t>
            </w:r>
            <w:r>
              <w:rPr>
                <w:rFonts w:ascii="Times New Roman" w:eastAsia="標楷體" w:hAnsi="Times New Roman"/>
                <w:szCs w:val="24"/>
              </w:rPr>
              <w:br/>
            </w:r>
            <w:r>
              <w:rPr>
                <w:rFonts w:ascii="Times New Roman" w:eastAsia="標楷體" w:hAnsi="Times New Roman"/>
                <w:szCs w:val="24"/>
              </w:rPr>
              <w:t>百分率</w:t>
            </w:r>
          </w:p>
        </w:tc>
        <w:tc>
          <w:tcPr>
            <w:tcW w:w="1128"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比較</w:t>
            </w:r>
            <w:r>
              <w:rPr>
                <w:rFonts w:ascii="Times New Roman" w:eastAsia="標楷體" w:hAnsi="Times New Roman"/>
                <w:szCs w:val="24"/>
              </w:rPr>
              <w:br/>
            </w:r>
            <w:r>
              <w:rPr>
                <w:rFonts w:ascii="Times New Roman" w:eastAsia="標楷體" w:hAnsi="Times New Roman"/>
                <w:szCs w:val="24"/>
              </w:rPr>
              <w:t>標的三</w:t>
            </w:r>
          </w:p>
        </w:tc>
        <w:tc>
          <w:tcPr>
            <w:tcW w:w="944" w:type="dxa"/>
            <w:tcBorders>
              <w:top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調整</w:t>
            </w:r>
            <w:r>
              <w:rPr>
                <w:rFonts w:ascii="Times New Roman" w:eastAsia="標楷體" w:hAnsi="Times New Roman"/>
                <w:szCs w:val="24"/>
              </w:rPr>
              <w:br/>
            </w:r>
            <w:r>
              <w:rPr>
                <w:rFonts w:ascii="Times New Roman" w:eastAsia="標楷體" w:hAnsi="Times New Roman"/>
                <w:szCs w:val="24"/>
              </w:rPr>
              <w:t>百分率</w:t>
            </w:r>
          </w:p>
        </w:tc>
      </w:tr>
      <w:tr w:rsidR="0018444C">
        <w:trPr>
          <w:trHeight w:val="330"/>
        </w:trPr>
        <w:tc>
          <w:tcPr>
            <w:tcW w:w="456" w:type="dxa"/>
            <w:vMerge w:val="restart"/>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宗地條件</w:t>
            </w: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土地使用分區</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總價與單價關係</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面積</w:t>
            </w:r>
            <w:r>
              <w:rPr>
                <w:rFonts w:ascii="Times New Roman" w:eastAsia="標楷體" w:hAnsi="Times New Roman"/>
                <w:szCs w:val="24"/>
              </w:rPr>
              <w:t>(</w:t>
            </w:r>
            <w:r>
              <w:rPr>
                <w:rFonts w:ascii="Times New Roman" w:eastAsia="標楷體" w:hAnsi="Times New Roman"/>
                <w:szCs w:val="24"/>
              </w:rPr>
              <w:t>坪</w:t>
            </w:r>
            <w:r>
              <w:rPr>
                <w:rFonts w:ascii="Times New Roman" w:eastAsia="標楷體" w:hAnsi="Times New Roman"/>
                <w:szCs w:val="24"/>
              </w:rPr>
              <w:t>)</w:t>
            </w:r>
            <w:r>
              <w:rPr>
                <w:rFonts w:ascii="Times New Roman" w:eastAsia="標楷體" w:hAnsi="Times New Roman"/>
                <w:szCs w:val="24"/>
              </w:rPr>
              <w:t>與規劃潛力</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pPr>
            <w:r>
              <w:rPr>
                <w:rFonts w:ascii="Times New Roman" w:eastAsia="標楷體" w:hAnsi="Times New Roman"/>
                <w:szCs w:val="24"/>
              </w:rPr>
              <w:t>法定建蔽率</w:t>
            </w:r>
            <w:r>
              <w:rPr>
                <w:rFonts w:ascii="Times New Roman" w:eastAsia="標楷體" w:hAnsi="Times New Roman"/>
                <w:sz w:val="22"/>
              </w:rPr>
              <w:t>(%)</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pPr>
            <w:r>
              <w:rPr>
                <w:rFonts w:ascii="Times New Roman" w:eastAsia="標楷體" w:hAnsi="Times New Roman"/>
                <w:szCs w:val="24"/>
              </w:rPr>
              <w:t>法定容積率</w:t>
            </w:r>
            <w:r>
              <w:rPr>
                <w:rFonts w:ascii="Times New Roman" w:eastAsia="標楷體" w:hAnsi="Times New Roman"/>
                <w:sz w:val="22"/>
              </w:rPr>
              <w:t>(%)</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pPr>
            <w:r>
              <w:rPr>
                <w:rFonts w:ascii="Times New Roman" w:eastAsia="標楷體" w:hAnsi="Times New Roman"/>
                <w:szCs w:val="24"/>
              </w:rPr>
              <w:t>允建容積率</w:t>
            </w:r>
            <w:r>
              <w:rPr>
                <w:rFonts w:ascii="Times New Roman" w:eastAsia="標楷體" w:hAnsi="Times New Roman"/>
                <w:sz w:val="22"/>
              </w:rPr>
              <w:t>(%)</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土地形狀</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地形地勢</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寬深度比</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鄰地使用</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開發限制</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小計</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2" w:type="dxa"/>
            <w:gridSpan w:val="2"/>
            <w:tcBorders>
              <w:top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val="restart"/>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道路條件</w:t>
            </w: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proofErr w:type="gramStart"/>
            <w:r>
              <w:rPr>
                <w:rFonts w:ascii="Times New Roman" w:eastAsia="標楷體" w:hAnsi="Times New Roman"/>
                <w:szCs w:val="24"/>
              </w:rPr>
              <w:t>臨路條件</w:t>
            </w:r>
            <w:proofErr w:type="gramEnd"/>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proofErr w:type="gramStart"/>
            <w:r>
              <w:rPr>
                <w:rFonts w:ascii="Times New Roman" w:eastAsia="標楷體" w:hAnsi="Times New Roman"/>
                <w:szCs w:val="24"/>
              </w:rPr>
              <w:t>臨路寬度</w:t>
            </w:r>
            <w:proofErr w:type="gramEnd"/>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道路種別</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道路鋪設</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道路規劃</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小計</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2" w:type="dxa"/>
            <w:gridSpan w:val="2"/>
            <w:tcBorders>
              <w:top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val="restart"/>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接近條件</w:t>
            </w: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接近車站程度</w:t>
            </w:r>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接近學校程度</w:t>
            </w:r>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接近市場程度</w:t>
            </w:r>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接近公園程度</w:t>
            </w:r>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接近停車場程度</w:t>
            </w:r>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接近服務設施程度</w:t>
            </w:r>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小計</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2" w:type="dxa"/>
            <w:gridSpan w:val="2"/>
            <w:tcBorders>
              <w:top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val="restart"/>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環境條件</w:t>
            </w: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嫌惡設施有無</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日照</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通風</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景觀有無</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停車方便性</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商業聚集度</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Cs w:val="24"/>
              </w:rPr>
            </w:pPr>
            <w:r>
              <w:rPr>
                <w:rFonts w:ascii="Times New Roman" w:eastAsia="標楷體" w:hAnsi="Times New Roman"/>
                <w:szCs w:val="24"/>
              </w:rPr>
              <w:t xml:space="preserve">　</w:t>
            </w: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小計</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2" w:type="dxa"/>
            <w:gridSpan w:val="2"/>
            <w:tcBorders>
              <w:top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2962"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其他</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2962"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個別因素調整百分率</w:t>
            </w:r>
          </w:p>
        </w:tc>
        <w:tc>
          <w:tcPr>
            <w:tcW w:w="879" w:type="dxa"/>
            <w:tcBorders>
              <w:bottom w:val="doub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2" w:type="dxa"/>
            <w:gridSpan w:val="2"/>
            <w:tcBorders>
              <w:top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bl>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numPr>
          <w:ilvl w:val="0"/>
          <w:numId w:val="39"/>
        </w:numPr>
        <w:suppressAutoHyphens w:val="0"/>
        <w:spacing w:before="40" w:after="40" w:line="440" w:lineRule="exact"/>
        <w:ind w:hanging="280"/>
        <w:jc w:val="both"/>
        <w:textAlignment w:val="auto"/>
      </w:pPr>
      <w:r>
        <w:rPr>
          <w:rFonts w:ascii="Times New Roman" w:eastAsia="標楷體" w:hAnsi="Times New Roman"/>
          <w:sz w:val="24"/>
          <w:szCs w:val="24"/>
        </w:rPr>
        <w:t>上表填載項目可視</w:t>
      </w:r>
      <w:r>
        <w:rPr>
          <w:rFonts w:ascii="Times New Roman" w:eastAsia="標楷體" w:hAnsi="Times New Roman"/>
          <w:color w:val="FF0000"/>
          <w:sz w:val="24"/>
          <w:szCs w:val="24"/>
        </w:rPr>
        <w:t>實際影響價格情形增減</w:t>
      </w:r>
      <w:r>
        <w:rPr>
          <w:rFonts w:ascii="Times New Roman" w:eastAsia="標楷體" w:hAnsi="Times New Roman"/>
          <w:sz w:val="24"/>
          <w:szCs w:val="24"/>
        </w:rPr>
        <w:t>調整</w:t>
      </w:r>
      <w:r>
        <w:rPr>
          <w:rFonts w:ascii="Times New Roman" w:eastAsia="標楷體" w:hAnsi="Times New Roman"/>
          <w:bCs/>
          <w:sz w:val="24"/>
          <w:szCs w:val="24"/>
        </w:rPr>
        <w:t>，無特殊原因必須刪除者皆應填載。</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lastRenderedPageBreak/>
        <w:t>獎勵面積樓地板調整，應考量比較標的地主可能取得部分，</w:t>
      </w:r>
      <w:proofErr w:type="gramStart"/>
      <w:r>
        <w:rPr>
          <w:rFonts w:ascii="Times New Roman" w:eastAsia="標楷體" w:hAnsi="Times New Roman"/>
          <w:sz w:val="24"/>
          <w:szCs w:val="24"/>
        </w:rPr>
        <w:t>非均以上限</w:t>
      </w:r>
      <w:proofErr w:type="gramEnd"/>
      <w:r>
        <w:rPr>
          <w:rFonts w:ascii="Times New Roman" w:eastAsia="標楷體" w:hAnsi="Times New Roman"/>
          <w:sz w:val="24"/>
          <w:szCs w:val="24"/>
        </w:rPr>
        <w:t>比較之；另應考量取得獎勵面積所須負擔的成本。</w:t>
      </w:r>
    </w:p>
    <w:p w:rsidR="0018444C" w:rsidRDefault="00980E38">
      <w:pPr>
        <w:pStyle w:val="DefaultText"/>
        <w:numPr>
          <w:ilvl w:val="0"/>
          <w:numId w:val="39"/>
        </w:numPr>
        <w:spacing w:before="40" w:after="40" w:line="440" w:lineRule="exact"/>
        <w:ind w:hanging="280"/>
        <w:jc w:val="both"/>
        <w:rPr>
          <w:rFonts w:ascii="Times New Roman" w:eastAsia="標楷體" w:hAnsi="Times New Roman"/>
          <w:color w:val="FF0000"/>
          <w:sz w:val="24"/>
          <w:szCs w:val="24"/>
        </w:rPr>
      </w:pPr>
      <w:r>
        <w:rPr>
          <w:rFonts w:ascii="Times New Roman" w:eastAsia="標楷體" w:hAnsi="Times New Roman"/>
          <w:color w:val="FF0000"/>
          <w:sz w:val="24"/>
          <w:szCs w:val="24"/>
        </w:rPr>
        <w:t>法定容積率及允建容積率差異的調整率應以土地開發分析方式試算</w:t>
      </w:r>
      <w:r>
        <w:rPr>
          <w:rFonts w:ascii="Times New Roman" w:eastAsia="標楷體" w:hAnsi="Times New Roman"/>
          <w:color w:val="FF0000"/>
          <w:sz w:val="24"/>
          <w:szCs w:val="24"/>
        </w:rPr>
        <w:t>(</w:t>
      </w:r>
      <w:r>
        <w:rPr>
          <w:rFonts w:ascii="Times New Roman" w:eastAsia="標楷體" w:hAnsi="Times New Roman"/>
          <w:color w:val="FF0000"/>
          <w:sz w:val="24"/>
          <w:szCs w:val="24"/>
        </w:rPr>
        <w:t>詳列土地開發分析法計算過程</w:t>
      </w:r>
      <w:r>
        <w:rPr>
          <w:rFonts w:ascii="Times New Roman" w:eastAsia="標楷體" w:hAnsi="Times New Roman"/>
          <w:color w:val="FF0000"/>
          <w:sz w:val="24"/>
          <w:szCs w:val="24"/>
        </w:rPr>
        <w:t>)</w:t>
      </w:r>
      <w:r>
        <w:rPr>
          <w:rFonts w:ascii="Times New Roman" w:eastAsia="標楷體" w:hAnsi="Times New Roman"/>
          <w:color w:val="FF0000"/>
          <w:sz w:val="24"/>
          <w:szCs w:val="24"/>
        </w:rPr>
        <w:t>，並檢附於報告書中。</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比較調整分析表之比較項目可量化呈現者</w:t>
      </w:r>
      <w:proofErr w:type="gramStart"/>
      <w:r>
        <w:rPr>
          <w:rFonts w:ascii="Times New Roman" w:eastAsia="標楷體" w:hAnsi="Times New Roman"/>
          <w:sz w:val="24"/>
          <w:szCs w:val="24"/>
        </w:rPr>
        <w:t>（</w:t>
      </w:r>
      <w:proofErr w:type="gramEnd"/>
      <w:r>
        <w:rPr>
          <w:rFonts w:ascii="Times New Roman" w:eastAsia="標楷體" w:hAnsi="Times New Roman"/>
          <w:sz w:val="24"/>
          <w:szCs w:val="24"/>
        </w:rPr>
        <w:t>如：面前道路寬度、接近車站程度等</w:t>
      </w:r>
      <w:proofErr w:type="gramStart"/>
      <w:r>
        <w:rPr>
          <w:rFonts w:ascii="Times New Roman" w:eastAsia="標楷體" w:hAnsi="Times New Roman"/>
          <w:sz w:val="24"/>
          <w:szCs w:val="24"/>
        </w:rPr>
        <w:t>）</w:t>
      </w:r>
      <w:proofErr w:type="gramEnd"/>
      <w:r>
        <w:rPr>
          <w:rFonts w:ascii="Times New Roman" w:eastAsia="標楷體" w:hAnsi="Times New Roman"/>
          <w:sz w:val="24"/>
          <w:szCs w:val="24"/>
        </w:rPr>
        <w:t>，應以數值呈現，並註明設施名稱</w:t>
      </w:r>
      <w:r>
        <w:rPr>
          <w:rFonts w:ascii="Times New Roman" w:eastAsia="標楷體" w:hAnsi="Times New Roman"/>
          <w:sz w:val="24"/>
          <w:szCs w:val="24"/>
        </w:rPr>
        <w:t>(</w:t>
      </w:r>
      <w:r>
        <w:rPr>
          <w:rFonts w:ascii="Times New Roman" w:eastAsia="標楷體" w:hAnsi="Times New Roman"/>
          <w:sz w:val="24"/>
          <w:szCs w:val="24"/>
        </w:rPr>
        <w:t>如</w:t>
      </w:r>
      <w:r>
        <w:rPr>
          <w:rFonts w:ascii="Times New Roman" w:eastAsia="標楷體" w:hAnsi="Times New Roman"/>
          <w:sz w:val="24"/>
          <w:szCs w:val="24"/>
        </w:rPr>
        <w:t>:</w:t>
      </w:r>
      <w:r>
        <w:rPr>
          <w:rFonts w:ascii="Times New Roman" w:eastAsia="標楷體" w:hAnsi="Times New Roman"/>
          <w:sz w:val="24"/>
          <w:szCs w:val="24"/>
        </w:rPr>
        <w:t>台南火車站</w:t>
      </w:r>
      <w:r>
        <w:rPr>
          <w:rFonts w:ascii="Times New Roman" w:eastAsia="標楷體" w:hAnsi="Times New Roman"/>
          <w:sz w:val="24"/>
          <w:szCs w:val="24"/>
        </w:rPr>
        <w:t>)</w:t>
      </w:r>
      <w:r>
        <w:rPr>
          <w:rFonts w:ascii="Times New Roman" w:eastAsia="標楷體" w:hAnsi="Times New Roman"/>
          <w:sz w:val="24"/>
          <w:szCs w:val="24"/>
        </w:rPr>
        <w:t>；若無法量化，則以優劣程度等文字呈現。</w:t>
      </w:r>
    </w:p>
    <w:p w:rsidR="0018444C" w:rsidRDefault="00980E38">
      <w:pPr>
        <w:pStyle w:val="DefaultText"/>
        <w:numPr>
          <w:ilvl w:val="0"/>
          <w:numId w:val="49"/>
        </w:numPr>
        <w:tabs>
          <w:tab w:val="center" w:pos="-14335"/>
        </w:tabs>
        <w:spacing w:before="40" w:after="40" w:line="440" w:lineRule="exact"/>
      </w:pPr>
      <w:r>
        <w:rPr>
          <w:rFonts w:ascii="Times New Roman" w:eastAsia="標楷體" w:hAnsi="Times New Roman"/>
          <w:bCs/>
          <w:szCs w:val="28"/>
        </w:rPr>
        <w:t>含容積移入之基地</w:t>
      </w:r>
      <w:r>
        <w:rPr>
          <w:rFonts w:ascii="Times New Roman" w:eastAsia="標楷體" w:hAnsi="Times New Roman"/>
        </w:rPr>
        <w:t>與比較標的總</w:t>
      </w:r>
      <w:proofErr w:type="gramStart"/>
      <w:r>
        <w:rPr>
          <w:rFonts w:ascii="Times New Roman" w:eastAsia="標楷體" w:hAnsi="Times New Roman"/>
        </w:rPr>
        <w:t>調整率表</w:t>
      </w:r>
      <w:proofErr w:type="gramEnd"/>
      <w:r>
        <w:rPr>
          <w:rFonts w:ascii="Times New Roman" w:eastAsia="標楷體" w:hAnsi="Times New Roman"/>
        </w:rPr>
        <w:t>：</w:t>
      </w:r>
    </w:p>
    <w:tbl>
      <w:tblPr>
        <w:tblW w:w="9072" w:type="dxa"/>
        <w:tblLayout w:type="fixed"/>
        <w:tblCellMar>
          <w:left w:w="10" w:type="dxa"/>
          <w:right w:w="10" w:type="dxa"/>
        </w:tblCellMar>
        <w:tblLook w:val="0000" w:firstRow="0" w:lastRow="0" w:firstColumn="0" w:lastColumn="0" w:noHBand="0" w:noVBand="0"/>
      </w:tblPr>
      <w:tblGrid>
        <w:gridCol w:w="1276"/>
        <w:gridCol w:w="1694"/>
        <w:gridCol w:w="2133"/>
        <w:gridCol w:w="1984"/>
        <w:gridCol w:w="1985"/>
      </w:tblGrid>
      <w:tr w:rsidR="0018444C">
        <w:trPr>
          <w:cantSplit/>
          <w:trHeight w:hRule="exact" w:val="660"/>
        </w:trPr>
        <w:tc>
          <w:tcPr>
            <w:tcW w:w="2970" w:type="dxa"/>
            <w:gridSpan w:val="2"/>
            <w:tcBorders>
              <w:top w:val="double" w:sz="4"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項</w:t>
            </w:r>
            <w:r>
              <w:rPr>
                <w:rFonts w:ascii="Times New Roman" w:eastAsia="標楷體" w:hAnsi="Times New Roman"/>
                <w:sz w:val="22"/>
                <w:szCs w:val="22"/>
              </w:rPr>
              <w:t xml:space="preserve">    </w:t>
            </w:r>
            <w:r>
              <w:rPr>
                <w:rFonts w:ascii="Times New Roman" w:eastAsia="標楷體" w:hAnsi="Times New Roman"/>
                <w:sz w:val="22"/>
                <w:szCs w:val="22"/>
              </w:rPr>
              <w:t>目</w:t>
            </w:r>
          </w:p>
        </w:tc>
        <w:tc>
          <w:tcPr>
            <w:tcW w:w="2133" w:type="dxa"/>
            <w:tcBorders>
              <w:top w:val="double" w:sz="4"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比較標的</w:t>
            </w:r>
            <w:proofErr w:type="gramStart"/>
            <w:r>
              <w:rPr>
                <w:rFonts w:ascii="Times New Roman" w:eastAsia="標楷體" w:hAnsi="Times New Roman"/>
                <w:sz w:val="22"/>
                <w:szCs w:val="22"/>
              </w:rPr>
              <w:t>一</w:t>
            </w:r>
            <w:proofErr w:type="gramEnd"/>
          </w:p>
        </w:tc>
        <w:tc>
          <w:tcPr>
            <w:tcW w:w="1984" w:type="dxa"/>
            <w:tcBorders>
              <w:top w:val="double" w:sz="4"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比較標的二</w:t>
            </w:r>
          </w:p>
        </w:tc>
        <w:tc>
          <w:tcPr>
            <w:tcW w:w="1985" w:type="dxa"/>
            <w:tcBorders>
              <w:top w:val="double" w:sz="4"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比較標的三</w:t>
            </w:r>
          </w:p>
        </w:tc>
      </w:tr>
      <w:tr w:rsidR="0018444C">
        <w:trPr>
          <w:cantSplit/>
          <w:trHeight w:hRule="exact" w:val="660"/>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交易價格（元</w:t>
            </w:r>
            <w:r>
              <w:rPr>
                <w:rFonts w:ascii="Times New Roman" w:eastAsia="標楷體" w:hAnsi="Times New Roman"/>
                <w:sz w:val="22"/>
                <w:szCs w:val="22"/>
              </w:rPr>
              <w:t>/</w:t>
            </w:r>
            <w:r>
              <w:rPr>
                <w:rFonts w:ascii="Times New Roman" w:eastAsia="標楷體" w:hAnsi="Times New Roman"/>
                <w:sz w:val="22"/>
                <w:szCs w:val="22"/>
              </w:rPr>
              <w:t>坪）</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0"/>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價格型態</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情況因素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660"/>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調整後價格</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價格日期</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660"/>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調整後價格</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區域因素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660"/>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調整後售價</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trPr>
        <w:tc>
          <w:tcPr>
            <w:tcW w:w="1276" w:type="dxa"/>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個別因素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660"/>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試算價格（元</w:t>
            </w:r>
            <w:r>
              <w:rPr>
                <w:rFonts w:ascii="Times New Roman" w:eastAsia="標楷體" w:hAnsi="Times New Roman"/>
                <w:sz w:val="22"/>
              </w:rPr>
              <w:t>/</w:t>
            </w:r>
            <w:r>
              <w:rPr>
                <w:rFonts w:ascii="Times New Roman" w:eastAsia="標楷體" w:hAnsi="Times New Roman"/>
                <w:sz w:val="22"/>
              </w:rPr>
              <w:t>坪）</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比較標的加權數</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660"/>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加權數計算後金額（元</w:t>
            </w:r>
            <w:r>
              <w:rPr>
                <w:rFonts w:ascii="Times New Roman" w:eastAsia="標楷體" w:hAnsi="Times New Roman"/>
                <w:sz w:val="22"/>
                <w:szCs w:val="22"/>
              </w:rPr>
              <w:t>/</w:t>
            </w:r>
            <w:r>
              <w:rPr>
                <w:rFonts w:ascii="Times New Roman" w:eastAsia="標楷體" w:hAnsi="Times New Roman"/>
                <w:sz w:val="22"/>
                <w:szCs w:val="22"/>
              </w:rPr>
              <w:t>坪）</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660"/>
        </w:trPr>
        <w:tc>
          <w:tcPr>
            <w:tcW w:w="2970"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最後推定比較價格（元</w:t>
            </w:r>
            <w:r>
              <w:rPr>
                <w:rFonts w:ascii="Times New Roman" w:eastAsia="標楷體" w:hAnsi="Times New Roman"/>
                <w:sz w:val="22"/>
                <w:szCs w:val="22"/>
              </w:rPr>
              <w:t>/</w:t>
            </w:r>
            <w:r>
              <w:rPr>
                <w:rFonts w:ascii="Times New Roman" w:eastAsia="標楷體" w:hAnsi="Times New Roman"/>
                <w:sz w:val="22"/>
                <w:szCs w:val="22"/>
              </w:rPr>
              <w:t>坪）</w:t>
            </w:r>
          </w:p>
        </w:tc>
        <w:tc>
          <w:tcPr>
            <w:tcW w:w="6102"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r0"/>
              <w:spacing w:line="300" w:lineRule="exact"/>
              <w:jc w:val="both"/>
              <w:rPr>
                <w:rFonts w:ascii="Times New Roman" w:eastAsia="標楷體" w:hAnsi="Times New Roman"/>
                <w:sz w:val="22"/>
                <w:szCs w:val="22"/>
              </w:rPr>
            </w:pPr>
          </w:p>
        </w:tc>
      </w:tr>
    </w:tbl>
    <w:p w:rsidR="0018444C" w:rsidRDefault="0018444C">
      <w:pPr>
        <w:pStyle w:val="DefaultText"/>
        <w:tabs>
          <w:tab w:val="center" w:pos="1985"/>
        </w:tabs>
        <w:spacing w:before="40" w:after="40" w:line="440" w:lineRule="exact"/>
        <w:rPr>
          <w:rFonts w:ascii="Times New Roman" w:eastAsia="標楷體" w:hAnsi="Times New Roman"/>
        </w:rPr>
      </w:pPr>
    </w:p>
    <w:p w:rsidR="0018444C" w:rsidRDefault="00980E38">
      <w:pPr>
        <w:pStyle w:val="DefaultText"/>
        <w:numPr>
          <w:ilvl w:val="0"/>
          <w:numId w:val="49"/>
        </w:numPr>
        <w:tabs>
          <w:tab w:val="center" w:pos="1985"/>
        </w:tabs>
        <w:spacing w:before="40" w:after="40" w:line="440" w:lineRule="exact"/>
        <w:ind w:left="1985" w:hanging="425"/>
      </w:pPr>
      <w:r>
        <w:rPr>
          <w:rFonts w:ascii="Times New Roman" w:eastAsia="標楷體" w:hAnsi="Times New Roman"/>
          <w:bCs/>
          <w:szCs w:val="28"/>
        </w:rPr>
        <w:t>含容積移入之基地</w:t>
      </w:r>
      <w:r>
        <w:rPr>
          <w:rFonts w:ascii="Times New Roman" w:eastAsia="標楷體" w:hAnsi="Times New Roman"/>
        </w:rPr>
        <w:t>比較價格結論：</w:t>
      </w:r>
    </w:p>
    <w:p w:rsidR="0018444C" w:rsidRDefault="00980E38">
      <w:pPr>
        <w:pStyle w:val="DefaultText"/>
        <w:pageBreakBefore/>
        <w:numPr>
          <w:ilvl w:val="0"/>
          <w:numId w:val="34"/>
        </w:numPr>
        <w:spacing w:before="40" w:after="40" w:line="440" w:lineRule="exact"/>
      </w:pPr>
      <w:bookmarkStart w:id="298" w:name="_Toc488152835"/>
      <w:bookmarkStart w:id="299" w:name="_Toc488163388"/>
      <w:r>
        <w:rPr>
          <w:rStyle w:val="30"/>
          <w:rFonts w:ascii="Times New Roman" w:hAnsi="Times New Roman"/>
        </w:rPr>
        <w:lastRenderedPageBreak/>
        <w:t>折現現金流量分析法評估過程</w:t>
      </w:r>
      <w:bookmarkEnd w:id="298"/>
      <w:bookmarkEnd w:id="299"/>
      <w:r>
        <w:rPr>
          <w:rFonts w:ascii="Times New Roman" w:eastAsia="標楷體" w:hAnsi="Times New Roman"/>
        </w:rPr>
        <w:t>：</w:t>
      </w:r>
    </w:p>
    <w:p w:rsidR="0018444C" w:rsidRDefault="00980E38">
      <w:pPr>
        <w:pStyle w:val="DefaultText"/>
        <w:numPr>
          <w:ilvl w:val="0"/>
          <w:numId w:val="50"/>
        </w:numPr>
        <w:spacing w:before="40" w:after="40" w:line="440" w:lineRule="exact"/>
        <w:ind w:left="1559" w:hanging="425"/>
        <w:rPr>
          <w:rFonts w:ascii="Times New Roman" w:eastAsia="標楷體" w:hAnsi="Times New Roman"/>
          <w:szCs w:val="28"/>
        </w:rPr>
      </w:pPr>
      <w:r>
        <w:rPr>
          <w:rFonts w:ascii="Times New Roman" w:eastAsia="標楷體" w:hAnsi="Times New Roman"/>
          <w:szCs w:val="28"/>
        </w:rPr>
        <w:t>折現現金流量分析期間</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《注意須知》：現金流量分析期間依下列原則定之</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收益無一定期限者，分析期間以</w:t>
      </w:r>
      <w:proofErr w:type="gramStart"/>
      <w:r>
        <w:rPr>
          <w:rFonts w:ascii="Times New Roman" w:eastAsia="標楷體" w:hAnsi="Times New Roman"/>
          <w:sz w:val="24"/>
          <w:szCs w:val="24"/>
        </w:rPr>
        <w:t>不</w:t>
      </w:r>
      <w:proofErr w:type="gramEnd"/>
      <w:r>
        <w:rPr>
          <w:rFonts w:ascii="Times New Roman" w:eastAsia="標楷體" w:hAnsi="Times New Roman"/>
          <w:sz w:val="24"/>
          <w:szCs w:val="24"/>
        </w:rPr>
        <w:t>逾十年為原則。</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收益有特定期限者，則應依剩餘期間估算。</w:t>
      </w:r>
    </w:p>
    <w:p w:rsidR="0018444C" w:rsidRDefault="00980E38">
      <w:pPr>
        <w:pStyle w:val="DefaultText"/>
        <w:numPr>
          <w:ilvl w:val="0"/>
          <w:numId w:val="50"/>
        </w:numPr>
        <w:spacing w:before="40" w:after="40" w:line="440" w:lineRule="exact"/>
        <w:ind w:left="1559" w:hanging="425"/>
        <w:rPr>
          <w:rFonts w:ascii="Times New Roman" w:eastAsia="標楷體" w:hAnsi="Times New Roman"/>
          <w:szCs w:val="28"/>
        </w:rPr>
      </w:pPr>
      <w:r>
        <w:rPr>
          <w:rFonts w:ascii="Times New Roman" w:eastAsia="標楷體" w:hAnsi="Times New Roman"/>
          <w:szCs w:val="28"/>
        </w:rPr>
        <w:t>總收入及有效總收入分析</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《注意須知》：請參照本範本前述折現現金流量分析法之注意事項。</w:t>
      </w:r>
    </w:p>
    <w:p w:rsidR="0018444C" w:rsidRDefault="00980E38">
      <w:pPr>
        <w:pStyle w:val="DefaultText"/>
        <w:numPr>
          <w:ilvl w:val="0"/>
          <w:numId w:val="51"/>
        </w:numPr>
        <w:tabs>
          <w:tab w:val="center" w:pos="1505"/>
        </w:tabs>
        <w:spacing w:before="40" w:after="40" w:line="440" w:lineRule="exact"/>
        <w:ind w:left="1899" w:hanging="340"/>
        <w:jc w:val="both"/>
      </w:pPr>
      <w:r>
        <w:rPr>
          <w:rFonts w:ascii="Times New Roman" w:eastAsia="標楷體" w:hAnsi="Times New Roman"/>
          <w:szCs w:val="24"/>
        </w:rPr>
        <w:t>合理</w:t>
      </w:r>
      <w:r>
        <w:rPr>
          <w:rFonts w:ascii="Times New Roman" w:eastAsia="標楷體" w:hAnsi="Times New Roman"/>
          <w:szCs w:val="28"/>
        </w:rPr>
        <w:t>市場</w:t>
      </w:r>
      <w:r>
        <w:rPr>
          <w:rFonts w:ascii="Times New Roman" w:eastAsia="標楷體" w:hAnsi="Times New Roman"/>
          <w:szCs w:val="24"/>
        </w:rPr>
        <w:t>租金評估</w:t>
      </w:r>
    </w:p>
    <w:p w:rsidR="0018444C" w:rsidRDefault="00980E38">
      <w:pPr>
        <w:pStyle w:val="DefaultText"/>
        <w:spacing w:before="40" w:after="40" w:line="440" w:lineRule="exact"/>
        <w:ind w:left="1560"/>
        <w:jc w:val="both"/>
      </w:pPr>
      <w:r>
        <w:rPr>
          <w:rFonts w:ascii="Times New Roman" w:eastAsia="標楷體" w:hAnsi="Times New Roman"/>
          <w:sz w:val="24"/>
          <w:szCs w:val="24"/>
        </w:rPr>
        <w:t>《注意須知》：請參照本範本前述事項。</w:t>
      </w:r>
    </w:p>
    <w:p w:rsidR="0018444C" w:rsidRDefault="00980E38">
      <w:pPr>
        <w:pStyle w:val="DefaultText"/>
        <w:numPr>
          <w:ilvl w:val="0"/>
          <w:numId w:val="51"/>
        </w:numPr>
        <w:tabs>
          <w:tab w:val="center" w:pos="1505"/>
        </w:tabs>
        <w:spacing w:before="40" w:after="40" w:line="440" w:lineRule="exact"/>
        <w:ind w:left="1899" w:hanging="340"/>
        <w:jc w:val="both"/>
        <w:rPr>
          <w:rFonts w:ascii="Times New Roman" w:eastAsia="標楷體" w:hAnsi="Times New Roman"/>
          <w:szCs w:val="24"/>
        </w:rPr>
      </w:pPr>
      <w:r>
        <w:rPr>
          <w:rFonts w:ascii="Times New Roman" w:eastAsia="標楷體" w:hAnsi="Times New Roman"/>
          <w:szCs w:val="24"/>
        </w:rPr>
        <w:t>押金孳息及其他收入</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《注意須知》：請參照本範本前述事項。</w:t>
      </w:r>
    </w:p>
    <w:p w:rsidR="0018444C" w:rsidRDefault="00980E38">
      <w:pPr>
        <w:pStyle w:val="DefaultText"/>
        <w:numPr>
          <w:ilvl w:val="0"/>
          <w:numId w:val="51"/>
        </w:numPr>
        <w:tabs>
          <w:tab w:val="center" w:pos="1505"/>
        </w:tabs>
        <w:spacing w:before="40" w:after="40" w:line="440" w:lineRule="exact"/>
        <w:ind w:left="1899" w:hanging="340"/>
        <w:jc w:val="both"/>
        <w:rPr>
          <w:rFonts w:ascii="Times New Roman" w:eastAsia="標楷體" w:hAnsi="Times New Roman"/>
          <w:szCs w:val="24"/>
        </w:rPr>
      </w:pPr>
      <w:r>
        <w:rPr>
          <w:rFonts w:ascii="Times New Roman" w:eastAsia="標楷體" w:hAnsi="Times New Roman"/>
          <w:szCs w:val="24"/>
        </w:rPr>
        <w:t>閒置及其他損失</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《注意須知》：請參照本範本前述事項。</w:t>
      </w:r>
    </w:p>
    <w:p w:rsidR="0018444C" w:rsidRDefault="00980E38">
      <w:pPr>
        <w:pStyle w:val="DefaultText"/>
        <w:numPr>
          <w:ilvl w:val="0"/>
          <w:numId w:val="51"/>
        </w:numPr>
        <w:tabs>
          <w:tab w:val="center" w:pos="1505"/>
        </w:tabs>
        <w:spacing w:before="40" w:after="40" w:line="440" w:lineRule="exact"/>
        <w:ind w:left="1899" w:hanging="340"/>
        <w:jc w:val="both"/>
      </w:pPr>
      <w:r>
        <w:rPr>
          <w:rFonts w:ascii="Times New Roman" w:eastAsia="標楷體" w:hAnsi="Times New Roman"/>
          <w:szCs w:val="24"/>
        </w:rPr>
        <w:t>各期</w:t>
      </w:r>
      <w:r>
        <w:rPr>
          <w:rFonts w:ascii="Times New Roman" w:eastAsia="標楷體" w:hAnsi="Times New Roman"/>
          <w:szCs w:val="28"/>
        </w:rPr>
        <w:t>現金</w:t>
      </w:r>
      <w:r>
        <w:rPr>
          <w:rFonts w:ascii="Times New Roman" w:eastAsia="標楷體" w:hAnsi="Times New Roman"/>
          <w:szCs w:val="24"/>
        </w:rPr>
        <w:t>流入</w:t>
      </w:r>
      <w:r>
        <w:rPr>
          <w:rFonts w:ascii="Times New Roman" w:eastAsia="標楷體" w:hAnsi="Times New Roman"/>
          <w:szCs w:val="24"/>
        </w:rPr>
        <w:t>(</w:t>
      </w:r>
      <w:r>
        <w:rPr>
          <w:rFonts w:ascii="Times New Roman" w:eastAsia="標楷體" w:hAnsi="Times New Roman"/>
          <w:szCs w:val="24"/>
        </w:rPr>
        <w:t>有效總收入</w:t>
      </w:r>
      <w:r>
        <w:rPr>
          <w:rFonts w:ascii="Times New Roman" w:eastAsia="標楷體" w:hAnsi="Times New Roman"/>
          <w:szCs w:val="24"/>
        </w:rPr>
        <w:t>)</w:t>
      </w:r>
      <w:r>
        <w:rPr>
          <w:rFonts w:ascii="Times New Roman" w:eastAsia="標楷體" w:hAnsi="Times New Roman"/>
          <w:szCs w:val="24"/>
        </w:rPr>
        <w:t>分析</w:t>
      </w:r>
    </w:p>
    <w:p w:rsidR="0018444C" w:rsidRDefault="00980E38">
      <w:pPr>
        <w:pStyle w:val="DefaultText"/>
        <w:numPr>
          <w:ilvl w:val="0"/>
          <w:numId w:val="51"/>
        </w:numPr>
        <w:tabs>
          <w:tab w:val="center" w:pos="1505"/>
        </w:tabs>
        <w:spacing w:before="40" w:after="40" w:line="440" w:lineRule="exact"/>
        <w:ind w:left="1899" w:hanging="340"/>
        <w:jc w:val="both"/>
        <w:rPr>
          <w:rFonts w:ascii="Times New Roman" w:eastAsia="標楷體" w:hAnsi="Times New Roman"/>
          <w:szCs w:val="24"/>
        </w:rPr>
      </w:pPr>
      <w:r>
        <w:rPr>
          <w:rFonts w:ascii="Times New Roman" w:eastAsia="標楷體" w:hAnsi="Times New Roman"/>
          <w:szCs w:val="24"/>
        </w:rPr>
        <w:t>總費用推估</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《注意須知》：請參照本範本前述事項。</w:t>
      </w:r>
    </w:p>
    <w:p w:rsidR="0018444C" w:rsidRDefault="00980E38">
      <w:pPr>
        <w:pStyle w:val="DefaultText"/>
        <w:numPr>
          <w:ilvl w:val="0"/>
          <w:numId w:val="51"/>
        </w:numPr>
        <w:tabs>
          <w:tab w:val="center" w:pos="1505"/>
        </w:tabs>
        <w:spacing w:before="40" w:after="40" w:line="440" w:lineRule="exact"/>
        <w:ind w:left="1899" w:hanging="340"/>
        <w:jc w:val="both"/>
        <w:rPr>
          <w:rFonts w:ascii="Times New Roman" w:eastAsia="標楷體" w:hAnsi="Times New Roman"/>
          <w:szCs w:val="28"/>
        </w:rPr>
      </w:pPr>
      <w:r>
        <w:rPr>
          <w:rFonts w:ascii="Times New Roman" w:eastAsia="標楷體" w:hAnsi="Times New Roman"/>
          <w:szCs w:val="28"/>
        </w:rPr>
        <w:t>開發成本推估</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《注意須知》包含營造施工費、規劃設計費及其他必要費用。並應考量建築工期設定合理之工程比例。</w:t>
      </w:r>
    </w:p>
    <w:p w:rsidR="0018444C" w:rsidRDefault="00980E38">
      <w:pPr>
        <w:pStyle w:val="DefaultText"/>
        <w:numPr>
          <w:ilvl w:val="0"/>
          <w:numId w:val="51"/>
        </w:numPr>
        <w:tabs>
          <w:tab w:val="center" w:pos="1505"/>
        </w:tabs>
        <w:spacing w:before="40" w:after="40" w:line="440" w:lineRule="exact"/>
        <w:ind w:left="1899" w:hanging="340"/>
        <w:jc w:val="both"/>
        <w:rPr>
          <w:rFonts w:ascii="Times New Roman" w:eastAsia="標楷體" w:hAnsi="Times New Roman"/>
          <w:szCs w:val="24"/>
        </w:rPr>
      </w:pPr>
      <w:r>
        <w:rPr>
          <w:rFonts w:ascii="Times New Roman" w:eastAsia="標楷體" w:hAnsi="Times New Roman"/>
          <w:szCs w:val="24"/>
        </w:rPr>
        <w:t>折現率推估</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《注意須知》：請參照本範本前述事項。</w:t>
      </w:r>
    </w:p>
    <w:p w:rsidR="0018444C" w:rsidRDefault="00980E38">
      <w:pPr>
        <w:pStyle w:val="DefaultText"/>
        <w:numPr>
          <w:ilvl w:val="0"/>
          <w:numId w:val="51"/>
        </w:numPr>
        <w:tabs>
          <w:tab w:val="center" w:pos="1505"/>
        </w:tabs>
        <w:spacing w:before="40" w:after="40" w:line="440" w:lineRule="exact"/>
        <w:ind w:left="1899" w:hanging="340"/>
        <w:jc w:val="both"/>
      </w:pPr>
      <w:r>
        <w:rPr>
          <w:rFonts w:ascii="Times New Roman" w:eastAsia="標楷體" w:hAnsi="Times New Roman"/>
          <w:szCs w:val="24"/>
        </w:rPr>
        <w:t>期末</w:t>
      </w:r>
      <w:r>
        <w:rPr>
          <w:rFonts w:ascii="Times New Roman" w:eastAsia="標楷體" w:hAnsi="Times New Roman"/>
          <w:szCs w:val="28"/>
        </w:rPr>
        <w:t>處分</w:t>
      </w:r>
      <w:r>
        <w:rPr>
          <w:rFonts w:ascii="Times New Roman" w:eastAsia="標楷體" w:hAnsi="Times New Roman"/>
          <w:szCs w:val="24"/>
        </w:rPr>
        <w:t>價值推估</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《注意須知》：請參照本範本前述事項。</w:t>
      </w:r>
    </w:p>
    <w:p w:rsidR="0018444C" w:rsidRDefault="00980E38">
      <w:pPr>
        <w:pStyle w:val="DefaultText"/>
        <w:numPr>
          <w:ilvl w:val="0"/>
          <w:numId w:val="51"/>
        </w:numPr>
        <w:tabs>
          <w:tab w:val="center" w:pos="1505"/>
        </w:tabs>
        <w:spacing w:before="40" w:after="40" w:line="440" w:lineRule="exact"/>
        <w:ind w:left="1899" w:hanging="340"/>
        <w:jc w:val="both"/>
        <w:rPr>
          <w:rFonts w:ascii="Times New Roman" w:eastAsia="標楷體" w:hAnsi="Times New Roman"/>
          <w:szCs w:val="28"/>
        </w:rPr>
      </w:pPr>
      <w:r>
        <w:rPr>
          <w:rFonts w:ascii="Times New Roman" w:eastAsia="標楷體" w:hAnsi="Times New Roman"/>
          <w:szCs w:val="28"/>
        </w:rPr>
        <w:t>折現現金流量分析收益價格</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《注意須知》：以各年度營運收入減去開發成本及營運成本與費用並加上期末處分淨額，折現後即為</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的土地總值。</w:t>
      </w:r>
    </w:p>
    <w:p w:rsidR="0018444C" w:rsidRDefault="00980E38">
      <w:pPr>
        <w:pStyle w:val="DefaultText"/>
        <w:numPr>
          <w:ilvl w:val="0"/>
          <w:numId w:val="34"/>
        </w:numPr>
        <w:spacing w:before="40" w:after="40" w:line="440" w:lineRule="exact"/>
      </w:pPr>
      <w:bookmarkStart w:id="300" w:name="_Toc488152836"/>
      <w:bookmarkStart w:id="301" w:name="_Toc488163389"/>
      <w:r>
        <w:rPr>
          <w:rStyle w:val="30"/>
          <w:rFonts w:ascii="Times New Roman" w:hAnsi="Times New Roman"/>
        </w:rPr>
        <w:t>含容積移入之基地價格決定</w:t>
      </w:r>
      <w:bookmarkEnd w:id="300"/>
      <w:bookmarkEnd w:id="301"/>
      <w:r>
        <w:rPr>
          <w:rFonts w:ascii="Times New Roman" w:eastAsia="標楷體" w:hAnsi="Times New Roman"/>
          <w:bCs/>
          <w:color w:val="FF0000"/>
          <w:szCs w:val="28"/>
        </w:rPr>
        <w:t>：</w:t>
      </w:r>
    </w:p>
    <w:p w:rsidR="0018444C" w:rsidRDefault="00980E38">
      <w:pPr>
        <w:pStyle w:val="2"/>
        <w:pageBreakBefore/>
        <w:numPr>
          <w:ilvl w:val="0"/>
          <w:numId w:val="30"/>
        </w:numPr>
        <w:tabs>
          <w:tab w:val="left" w:pos="-2847"/>
          <w:tab w:val="left" w:pos="-2706"/>
        </w:tabs>
        <w:spacing w:line="440" w:lineRule="exact"/>
      </w:pPr>
      <w:bookmarkStart w:id="302" w:name="_Toc385837556"/>
      <w:bookmarkStart w:id="303" w:name="_Toc385837945"/>
      <w:bookmarkStart w:id="304" w:name="_Toc391412468"/>
      <w:bookmarkStart w:id="305" w:name="_Toc457337624"/>
      <w:bookmarkStart w:id="306" w:name="_Toc462301014"/>
      <w:bookmarkStart w:id="307" w:name="_Toc488152837"/>
      <w:bookmarkStart w:id="308" w:name="_Toc488163390"/>
      <w:r>
        <w:rPr>
          <w:rFonts w:ascii="Times New Roman" w:hAnsi="Times New Roman"/>
          <w:b w:val="0"/>
          <w:sz w:val="28"/>
          <w:szCs w:val="28"/>
        </w:rPr>
        <w:lastRenderedPageBreak/>
        <w:t>未含容積移入之基地</w:t>
      </w:r>
      <w:proofErr w:type="gramStart"/>
      <w:r>
        <w:rPr>
          <w:rFonts w:ascii="Times New Roman" w:hAnsi="Times New Roman"/>
          <w:b w:val="0"/>
          <w:sz w:val="28"/>
          <w:szCs w:val="28"/>
        </w:rPr>
        <w:t>價格價格</w:t>
      </w:r>
      <w:proofErr w:type="gramEnd"/>
      <w:r>
        <w:rPr>
          <w:rFonts w:ascii="Times New Roman" w:hAnsi="Times New Roman"/>
          <w:b w:val="0"/>
          <w:sz w:val="28"/>
          <w:szCs w:val="28"/>
        </w:rPr>
        <w:t>評估過程</w:t>
      </w:r>
      <w:bookmarkEnd w:id="263"/>
      <w:bookmarkEnd w:id="264"/>
      <w:bookmarkEnd w:id="302"/>
      <w:bookmarkEnd w:id="303"/>
      <w:bookmarkEnd w:id="304"/>
      <w:bookmarkEnd w:id="305"/>
      <w:bookmarkEnd w:id="306"/>
      <w:bookmarkEnd w:id="307"/>
      <w:bookmarkEnd w:id="308"/>
    </w:p>
    <w:p w:rsidR="0018444C" w:rsidRDefault="00980E38">
      <w:pPr>
        <w:pStyle w:val="DefaultText"/>
        <w:numPr>
          <w:ilvl w:val="0"/>
          <w:numId w:val="52"/>
        </w:numPr>
        <w:snapToGrid w:val="0"/>
        <w:spacing w:before="40" w:after="40" w:line="420" w:lineRule="exact"/>
        <w:ind w:left="1817" w:hanging="456"/>
        <w:jc w:val="both"/>
      </w:pPr>
      <w:bookmarkStart w:id="309" w:name="_Toc488152838"/>
      <w:bookmarkStart w:id="310" w:name="_Toc488163391"/>
      <w:r>
        <w:rPr>
          <w:rStyle w:val="30"/>
          <w:rFonts w:ascii="Times New Roman" w:hAnsi="Times New Roman"/>
        </w:rPr>
        <w:t>土地開發分析法估算過程</w:t>
      </w:r>
      <w:bookmarkEnd w:id="309"/>
      <w:bookmarkEnd w:id="310"/>
      <w:r>
        <w:rPr>
          <w:rFonts w:ascii="Times New Roman" w:eastAsia="標楷體" w:hAnsi="Times New Roman"/>
        </w:rPr>
        <w:t>：</w:t>
      </w:r>
    </w:p>
    <w:p w:rsidR="0018444C" w:rsidRDefault="00980E38">
      <w:pPr>
        <w:pStyle w:val="DefaultText"/>
        <w:numPr>
          <w:ilvl w:val="0"/>
          <w:numId w:val="53"/>
        </w:numPr>
        <w:snapToGrid w:val="0"/>
        <w:spacing w:before="40" w:after="40" w:line="440" w:lineRule="exact"/>
        <w:ind w:left="1786" w:hanging="425"/>
        <w:jc w:val="both"/>
        <w:rPr>
          <w:rFonts w:ascii="Times New Roman" w:eastAsia="標楷體" w:hAnsi="Times New Roman"/>
        </w:rPr>
      </w:pPr>
      <w:r>
        <w:rPr>
          <w:rFonts w:ascii="Times New Roman" w:eastAsia="標楷體" w:hAnsi="Times New Roman"/>
        </w:rPr>
        <w:t>基地建築量體分析</w:t>
      </w:r>
    </w:p>
    <w:p w:rsidR="0018444C" w:rsidRDefault="00980E38">
      <w:pPr>
        <w:pStyle w:val="CCIS10"/>
        <w:numPr>
          <w:ilvl w:val="0"/>
          <w:numId w:val="54"/>
        </w:numPr>
        <w:rPr>
          <w:rFonts w:ascii="Times New Roman" w:hAnsi="Times New Roman"/>
        </w:rPr>
      </w:pPr>
      <w:r>
        <w:rPr>
          <w:rFonts w:ascii="Times New Roman" w:hAnsi="Times New Roman"/>
        </w:rPr>
        <w:t>建築結構：。</w:t>
      </w:r>
    </w:p>
    <w:p w:rsidR="0018444C" w:rsidRDefault="00980E38">
      <w:pPr>
        <w:pStyle w:val="CCIS10"/>
        <w:numPr>
          <w:ilvl w:val="0"/>
          <w:numId w:val="54"/>
        </w:numPr>
        <w:rPr>
          <w:rFonts w:ascii="Times New Roman" w:hAnsi="Times New Roman"/>
        </w:rPr>
      </w:pPr>
      <w:r>
        <w:rPr>
          <w:rFonts w:ascii="Times New Roman" w:hAnsi="Times New Roman"/>
        </w:rPr>
        <w:t>規劃樓層數：地上</w:t>
      </w:r>
      <w:r>
        <w:rPr>
          <w:rFonts w:ascii="Times New Roman" w:hAnsi="Times New Roman"/>
        </w:rPr>
        <w:t>____</w:t>
      </w:r>
      <w:r>
        <w:rPr>
          <w:rFonts w:ascii="Times New Roman" w:hAnsi="Times New Roman"/>
        </w:rPr>
        <w:t>層、地下</w:t>
      </w:r>
      <w:r>
        <w:rPr>
          <w:rFonts w:ascii="Times New Roman" w:hAnsi="Times New Roman"/>
        </w:rPr>
        <w:t>____</w:t>
      </w:r>
      <w:r>
        <w:rPr>
          <w:rFonts w:ascii="Times New Roman" w:hAnsi="Times New Roman"/>
        </w:rPr>
        <w:t>層。</w:t>
      </w:r>
    </w:p>
    <w:p w:rsidR="0018444C" w:rsidRDefault="00980E38">
      <w:pPr>
        <w:pStyle w:val="CCIS10"/>
        <w:numPr>
          <w:ilvl w:val="0"/>
          <w:numId w:val="54"/>
        </w:numPr>
        <w:rPr>
          <w:rFonts w:ascii="Times New Roman" w:hAnsi="Times New Roman"/>
        </w:rPr>
      </w:pPr>
      <w:r>
        <w:rPr>
          <w:rFonts w:ascii="Times New Roman" w:hAnsi="Times New Roman"/>
        </w:rPr>
        <w:t>各層銷售面積及用途如下表：</w:t>
      </w:r>
      <w:r>
        <w:rPr>
          <w:rFonts w:ascii="Times New Roman" w:hAnsi="Times New Roman"/>
        </w:rPr>
        <w:t>(</w:t>
      </w:r>
      <w:r>
        <w:rPr>
          <w:rFonts w:ascii="Times New Roman" w:hAnsi="Times New Roman"/>
        </w:rPr>
        <w:t>請詳列銷售面積計算推估過程，若下表有不足者，請自行增設欄位。</w:t>
      </w:r>
      <w:r>
        <w:rPr>
          <w:rFonts w:ascii="Times New Roman" w:hAnsi="Times New Roman"/>
        </w:rPr>
        <w:t>)</w:t>
      </w:r>
    </w:p>
    <w:tbl>
      <w:tblPr>
        <w:tblW w:w="8746" w:type="dxa"/>
        <w:tblInd w:w="1162" w:type="dxa"/>
        <w:tblLayout w:type="fixed"/>
        <w:tblCellMar>
          <w:left w:w="10" w:type="dxa"/>
          <w:right w:w="10" w:type="dxa"/>
        </w:tblCellMar>
        <w:tblLook w:val="0000" w:firstRow="0" w:lastRow="0" w:firstColumn="0" w:lastColumn="0" w:noHBand="0" w:noVBand="0"/>
      </w:tblPr>
      <w:tblGrid>
        <w:gridCol w:w="1134"/>
        <w:gridCol w:w="950"/>
        <w:gridCol w:w="992"/>
        <w:gridCol w:w="850"/>
        <w:gridCol w:w="851"/>
        <w:gridCol w:w="850"/>
        <w:gridCol w:w="851"/>
        <w:gridCol w:w="1417"/>
        <w:gridCol w:w="851"/>
      </w:tblGrid>
      <w:tr w:rsidR="0018444C">
        <w:trPr>
          <w:trHeight w:val="20"/>
        </w:trPr>
        <w:tc>
          <w:tcPr>
            <w:tcW w:w="1134" w:type="dxa"/>
            <w:vMerge w:val="restart"/>
            <w:tcBorders>
              <w:top w:val="double" w:sz="4"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樓層</w:t>
            </w:r>
          </w:p>
        </w:tc>
        <w:tc>
          <w:tcPr>
            <w:tcW w:w="5344" w:type="dxa"/>
            <w:gridSpan w:val="6"/>
            <w:tcBorders>
              <w:top w:val="doub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規劃面積</w:t>
            </w:r>
          </w:p>
        </w:tc>
        <w:tc>
          <w:tcPr>
            <w:tcW w:w="2268" w:type="dxa"/>
            <w:gridSpan w:val="2"/>
            <w:tcBorders>
              <w:top w:val="double" w:sz="4"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銷售面積</w:t>
            </w:r>
          </w:p>
        </w:tc>
      </w:tr>
      <w:tr w:rsidR="0018444C">
        <w:trPr>
          <w:trHeight w:val="20"/>
        </w:trPr>
        <w:tc>
          <w:tcPr>
            <w:tcW w:w="1134" w:type="dxa"/>
            <w:vMerge/>
            <w:tcBorders>
              <w:top w:val="double" w:sz="4"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樓地板面積</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容積樓地板</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proofErr w:type="gramStart"/>
            <w:r>
              <w:rPr>
                <w:rFonts w:ascii="Times New Roman" w:eastAsia="標楷體" w:hAnsi="Times New Roman"/>
              </w:rPr>
              <w:t>梯廳</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機電</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陽台</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其他共有</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推估銷售面積及車位數量</w:t>
            </w:r>
          </w:p>
        </w:tc>
        <w:tc>
          <w:tcPr>
            <w:tcW w:w="851" w:type="dxa"/>
            <w:vMerge w:val="restart"/>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用途</w:t>
            </w:r>
          </w:p>
        </w:tc>
      </w:tr>
      <w:tr w:rsidR="0018444C">
        <w:trPr>
          <w:trHeight w:val="20"/>
        </w:trPr>
        <w:tc>
          <w:tcPr>
            <w:tcW w:w="1134" w:type="dxa"/>
            <w:vMerge/>
            <w:tcBorders>
              <w:top w:val="double" w:sz="4"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pPr>
            <w:r>
              <w:rPr>
                <w:rFonts w:ascii="Times New Roman" w:eastAsia="標楷體" w:hAnsi="Times New Roman"/>
              </w:rPr>
              <w:t>M</w:t>
            </w:r>
            <w:r>
              <w:rPr>
                <w:rFonts w:ascii="Times New Roman" w:eastAsia="標楷體" w:hAnsi="Times New Roman"/>
                <w:vertAlign w:val="superscript"/>
              </w:rPr>
              <w:t>2</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tcPr>
          <w:p w:rsidR="0018444C" w:rsidRDefault="00980E38">
            <w:pPr>
              <w:jc w:val="center"/>
            </w:pPr>
            <w:r>
              <w:rPr>
                <w:rFonts w:ascii="Times New Roman" w:eastAsia="標楷體" w:hAnsi="Times New Roman"/>
              </w:rPr>
              <w:t>M</w:t>
            </w:r>
            <w:r>
              <w:rPr>
                <w:rFonts w:ascii="Times New Roman" w:eastAsia="標楷體" w:hAnsi="Times New Roman"/>
                <w:vertAlign w:val="superscript"/>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tcPr>
          <w:p w:rsidR="0018444C" w:rsidRDefault="00980E38">
            <w:pPr>
              <w:jc w:val="center"/>
            </w:pPr>
            <w:r>
              <w:rPr>
                <w:rFonts w:ascii="Times New Roman" w:eastAsia="標楷體" w:hAnsi="Times New Roman"/>
              </w:rPr>
              <w:t>M</w:t>
            </w:r>
            <w:r>
              <w:rPr>
                <w:rFonts w:ascii="Times New Roman" w:eastAsia="標楷體" w:hAnsi="Times New Roman"/>
                <w:vertAlign w:val="superscript"/>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tcPr>
          <w:p w:rsidR="0018444C" w:rsidRDefault="00980E38">
            <w:pPr>
              <w:jc w:val="center"/>
            </w:pPr>
            <w:r>
              <w:rPr>
                <w:rFonts w:ascii="Times New Roman" w:eastAsia="標楷體" w:hAnsi="Times New Roman"/>
              </w:rPr>
              <w:t>M</w:t>
            </w:r>
            <w:r>
              <w:rPr>
                <w:rFonts w:ascii="Times New Roman" w:eastAsia="標楷體" w:hAnsi="Times New Roman"/>
                <w:vertAlign w:val="superscript"/>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tcPr>
          <w:p w:rsidR="0018444C" w:rsidRDefault="00980E38">
            <w:pPr>
              <w:jc w:val="center"/>
            </w:pPr>
            <w:r>
              <w:rPr>
                <w:rFonts w:ascii="Times New Roman" w:eastAsia="標楷體" w:hAnsi="Times New Roman"/>
              </w:rPr>
              <w:t>M</w:t>
            </w:r>
            <w:r>
              <w:rPr>
                <w:rFonts w:ascii="Times New Roman" w:eastAsia="標楷體" w:hAnsi="Times New Roman"/>
                <w:vertAlign w:val="superscript"/>
              </w:rPr>
              <w:t>2</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tcPr>
          <w:p w:rsidR="0018444C" w:rsidRDefault="00980E38">
            <w:pPr>
              <w:jc w:val="center"/>
            </w:pPr>
            <w:r>
              <w:rPr>
                <w:rFonts w:ascii="Times New Roman" w:eastAsia="標楷體" w:hAnsi="Times New Roman"/>
              </w:rPr>
              <w:t>M</w:t>
            </w:r>
            <w:r>
              <w:rPr>
                <w:rFonts w:ascii="Times New Roman" w:eastAsia="標楷體" w:hAnsi="Times New Roman"/>
                <w:vertAlign w:val="superscript"/>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坪</w:t>
            </w:r>
            <w:r>
              <w:rPr>
                <w:rFonts w:ascii="Times New Roman" w:eastAsia="標楷體" w:hAnsi="Times New Roman"/>
              </w:rPr>
              <w:t>/</w:t>
            </w:r>
            <w:proofErr w:type="gramStart"/>
            <w:r>
              <w:rPr>
                <w:rFonts w:ascii="Times New Roman" w:eastAsia="標楷體" w:hAnsi="Times New Roman"/>
              </w:rPr>
              <w:t>個</w:t>
            </w:r>
            <w:proofErr w:type="gramEnd"/>
          </w:p>
        </w:tc>
        <w:tc>
          <w:tcPr>
            <w:tcW w:w="851" w:type="dxa"/>
            <w:vMerge/>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u w:val="single"/>
              </w:rPr>
            </w:pP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屋頂突出物</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6F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5F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4F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3F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2F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1F</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地上層小計</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B1</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B2</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B3</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B4</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 xml:space="preserve">　</w:t>
            </w:r>
          </w:p>
        </w:tc>
      </w:tr>
      <w:tr w:rsidR="0018444C">
        <w:trPr>
          <w:trHeight w:val="20"/>
        </w:trPr>
        <w:tc>
          <w:tcPr>
            <w:tcW w:w="1134"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地下層小計</w:t>
            </w:r>
          </w:p>
        </w:tc>
        <w:tc>
          <w:tcPr>
            <w:tcW w:w="9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r>
      <w:tr w:rsidR="0018444C">
        <w:trPr>
          <w:trHeight w:val="20"/>
        </w:trPr>
        <w:tc>
          <w:tcPr>
            <w:tcW w:w="1134" w:type="dxa"/>
            <w:tcBorders>
              <w:top w:val="single" w:sz="6" w:space="0" w:color="000000"/>
              <w:left w:val="double" w:sz="4"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全棟合計</w:t>
            </w:r>
          </w:p>
        </w:tc>
        <w:tc>
          <w:tcPr>
            <w:tcW w:w="950"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992"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0"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0"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doub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417"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851" w:type="dxa"/>
            <w:tcBorders>
              <w:top w:val="single" w:sz="6" w:space="0" w:color="000000"/>
              <w:left w:val="single" w:sz="6" w:space="0" w:color="000000"/>
              <w:bottom w:val="double" w:sz="4"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rPr>
            </w:pPr>
          </w:p>
        </w:tc>
      </w:tr>
    </w:tbl>
    <w:p w:rsidR="0018444C" w:rsidRDefault="00980E38">
      <w:pPr>
        <w:pStyle w:val="CCIS10"/>
        <w:numPr>
          <w:ilvl w:val="0"/>
          <w:numId w:val="55"/>
        </w:numPr>
        <w:rPr>
          <w:rFonts w:ascii="Times New Roman" w:hAnsi="Times New Roman"/>
          <w:color w:val="FF0000"/>
        </w:rPr>
      </w:pPr>
      <w:r>
        <w:rPr>
          <w:rFonts w:ascii="Times New Roman" w:hAnsi="Times New Roman"/>
          <w:color w:val="FF0000"/>
        </w:rPr>
        <w:t>各戶銷售面積及用途如下表</w:t>
      </w:r>
    </w:p>
    <w:tbl>
      <w:tblPr>
        <w:tblW w:w="8283" w:type="dxa"/>
        <w:tblInd w:w="1635" w:type="dxa"/>
        <w:tblCellMar>
          <w:left w:w="10" w:type="dxa"/>
          <w:right w:w="10" w:type="dxa"/>
        </w:tblCellMar>
        <w:tblLook w:val="0000" w:firstRow="0" w:lastRow="0" w:firstColumn="0" w:lastColumn="0" w:noHBand="0" w:noVBand="0"/>
      </w:tblPr>
      <w:tblGrid>
        <w:gridCol w:w="779"/>
        <w:gridCol w:w="779"/>
        <w:gridCol w:w="779"/>
        <w:gridCol w:w="812"/>
        <w:gridCol w:w="812"/>
        <w:gridCol w:w="812"/>
        <w:gridCol w:w="812"/>
        <w:gridCol w:w="812"/>
        <w:gridCol w:w="845"/>
        <w:gridCol w:w="1041"/>
      </w:tblGrid>
      <w:tr w:rsidR="0018444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CCIS10"/>
              <w:rPr>
                <w:rFonts w:ascii="Times New Roman" w:hAnsi="Times New Roman"/>
                <w:color w:val="FF0000"/>
              </w:rPr>
            </w:pPr>
            <w:r>
              <w:rPr>
                <w:rFonts w:ascii="Times New Roman" w:hAnsi="Times New Roman"/>
                <w:color w:val="FF0000"/>
              </w:rPr>
              <w:t>樓層</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CCIS10"/>
              <w:rPr>
                <w:rFonts w:ascii="Times New Roman" w:hAnsi="Times New Roman"/>
                <w:color w:val="FF0000"/>
              </w:rPr>
            </w:pPr>
            <w:r>
              <w:rPr>
                <w:rFonts w:ascii="Times New Roman" w:hAnsi="Times New Roman"/>
                <w:color w:val="FF0000"/>
              </w:rPr>
              <w:t>戶號</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CCIS10"/>
            </w:pPr>
            <w:r>
              <w:rPr>
                <w:rFonts w:ascii="Times New Roman" w:hAnsi="Times New Roman"/>
                <w:color w:val="FF0000"/>
              </w:rPr>
              <w:t>用途</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pPr>
            <w:r>
              <w:rPr>
                <w:rFonts w:ascii="Times New Roman" w:eastAsia="標楷體" w:hAnsi="Times New Roman"/>
                <w:color w:val="FF0000"/>
              </w:rPr>
              <w:t>主建物</w:t>
            </w:r>
            <w:r>
              <w:rPr>
                <w:rFonts w:ascii="Times New Roman" w:eastAsia="標楷體" w:hAnsi="Times New Roman"/>
                <w:color w:val="FF0000"/>
              </w:rPr>
              <w:t xml:space="preserve"> (</w:t>
            </w:r>
            <w:proofErr w:type="gramStart"/>
            <w:r>
              <w:rPr>
                <w:rFonts w:ascii="Times New Roman" w:eastAsia="標楷體" w:hAnsi="Times New Roman"/>
                <w:color w:val="FF0000"/>
              </w:rPr>
              <w:t>ｍ</w:t>
            </w:r>
            <w:proofErr w:type="gramEnd"/>
            <w:r>
              <w:rPr>
                <w:rFonts w:ascii="Times New Roman" w:eastAsia="標楷體" w:hAnsi="Times New Roman"/>
                <w:color w:val="FF0000"/>
                <w:vertAlign w:val="superscript"/>
              </w:rPr>
              <w:t>２</w:t>
            </w:r>
            <w:r>
              <w:rPr>
                <w:rFonts w:ascii="Times New Roman" w:eastAsia="標楷體" w:hAnsi="Times New Roman"/>
                <w:color w:val="FF0000"/>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pPr>
            <w:r>
              <w:rPr>
                <w:rFonts w:ascii="Times New Roman" w:eastAsia="標楷體" w:hAnsi="Times New Roman"/>
                <w:color w:val="FF0000"/>
              </w:rPr>
              <w:t>陽台</w:t>
            </w:r>
            <w:r>
              <w:rPr>
                <w:rFonts w:ascii="Times New Roman" w:eastAsia="標楷體" w:hAnsi="Times New Roman"/>
                <w:color w:val="FF0000"/>
              </w:rPr>
              <w:t>(</w:t>
            </w:r>
            <w:proofErr w:type="gramStart"/>
            <w:r>
              <w:rPr>
                <w:rFonts w:ascii="Times New Roman" w:eastAsia="標楷體" w:hAnsi="Times New Roman"/>
                <w:color w:val="FF0000"/>
              </w:rPr>
              <w:t>ｍ</w:t>
            </w:r>
            <w:proofErr w:type="gramEnd"/>
            <w:r>
              <w:rPr>
                <w:rFonts w:ascii="Times New Roman" w:eastAsia="標楷體" w:hAnsi="Times New Roman"/>
                <w:color w:val="FF0000"/>
                <w:vertAlign w:val="superscript"/>
              </w:rPr>
              <w:t>２</w:t>
            </w:r>
            <w:r>
              <w:rPr>
                <w:rFonts w:ascii="Times New Roman" w:eastAsia="標楷體" w:hAnsi="Times New Roman"/>
                <w:color w:val="FF0000"/>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pPr>
            <w:r>
              <w:rPr>
                <w:rFonts w:ascii="Times New Roman" w:eastAsia="標楷體" w:hAnsi="Times New Roman"/>
                <w:color w:val="FF0000"/>
              </w:rPr>
              <w:t>大公</w:t>
            </w:r>
            <w:r>
              <w:rPr>
                <w:rFonts w:ascii="Times New Roman" w:eastAsia="標楷體" w:hAnsi="Times New Roman"/>
                <w:color w:val="FF0000"/>
              </w:rPr>
              <w:t>(</w:t>
            </w:r>
            <w:proofErr w:type="gramStart"/>
            <w:r>
              <w:rPr>
                <w:rFonts w:ascii="Times New Roman" w:eastAsia="標楷體" w:hAnsi="Times New Roman"/>
                <w:color w:val="FF0000"/>
              </w:rPr>
              <w:t>ｍ</w:t>
            </w:r>
            <w:proofErr w:type="gramEnd"/>
            <w:r>
              <w:rPr>
                <w:rFonts w:ascii="Times New Roman" w:eastAsia="標楷體" w:hAnsi="Times New Roman"/>
                <w:color w:val="FF0000"/>
                <w:vertAlign w:val="superscript"/>
              </w:rPr>
              <w:t>２</w:t>
            </w:r>
            <w:r>
              <w:rPr>
                <w:rFonts w:ascii="Times New Roman" w:eastAsia="標楷體" w:hAnsi="Times New Roman"/>
                <w:color w:val="FF0000"/>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pPr>
            <w:r>
              <w:rPr>
                <w:rFonts w:ascii="Times New Roman" w:eastAsia="標楷體" w:hAnsi="Times New Roman"/>
                <w:color w:val="FF0000"/>
              </w:rPr>
              <w:t>小台</w:t>
            </w:r>
            <w:r>
              <w:rPr>
                <w:rFonts w:ascii="Times New Roman" w:eastAsia="標楷體" w:hAnsi="Times New Roman"/>
                <w:color w:val="FF0000"/>
              </w:rPr>
              <w:t>(</w:t>
            </w:r>
            <w:proofErr w:type="gramStart"/>
            <w:r>
              <w:rPr>
                <w:rFonts w:ascii="Times New Roman" w:eastAsia="標楷體" w:hAnsi="Times New Roman"/>
                <w:color w:val="FF0000"/>
              </w:rPr>
              <w:t>ｍ</w:t>
            </w:r>
            <w:proofErr w:type="gramEnd"/>
            <w:r>
              <w:rPr>
                <w:rFonts w:ascii="Times New Roman" w:eastAsia="標楷體" w:hAnsi="Times New Roman"/>
                <w:color w:val="FF0000"/>
                <w:vertAlign w:val="superscript"/>
              </w:rPr>
              <w:t>２</w:t>
            </w:r>
            <w:r>
              <w:rPr>
                <w:rFonts w:ascii="Times New Roman" w:eastAsia="標楷體" w:hAnsi="Times New Roman"/>
                <w:color w:val="FF0000"/>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pPr>
            <w:r>
              <w:rPr>
                <w:rFonts w:ascii="Times New Roman" w:eastAsia="標楷體" w:hAnsi="Times New Roman"/>
                <w:color w:val="FF0000"/>
              </w:rPr>
              <w:t>面積合計</w:t>
            </w:r>
            <w:r>
              <w:rPr>
                <w:rFonts w:ascii="Times New Roman" w:eastAsia="標楷體" w:hAnsi="Times New Roman"/>
                <w:color w:val="FF0000"/>
              </w:rPr>
              <w:t>(</w:t>
            </w:r>
            <w:proofErr w:type="gramStart"/>
            <w:r>
              <w:rPr>
                <w:rFonts w:ascii="Times New Roman" w:eastAsia="標楷體" w:hAnsi="Times New Roman"/>
                <w:color w:val="FF0000"/>
              </w:rPr>
              <w:t>ｍ</w:t>
            </w:r>
            <w:proofErr w:type="gramEnd"/>
            <w:r>
              <w:rPr>
                <w:rFonts w:ascii="Times New Roman" w:eastAsia="標楷體" w:hAnsi="Times New Roman"/>
                <w:color w:val="FF0000"/>
                <w:vertAlign w:val="superscript"/>
              </w:rPr>
              <w:t>２</w:t>
            </w:r>
            <w:r>
              <w:rPr>
                <w:rFonts w:ascii="Times New Roman" w:eastAsia="標楷體" w:hAnsi="Times New Roman"/>
                <w:color w:val="FF0000"/>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rPr>
                <w:rFonts w:ascii="Times New Roman" w:eastAsia="標楷體" w:hAnsi="Times New Roman"/>
                <w:color w:val="FF0000"/>
              </w:rPr>
            </w:pPr>
            <w:r>
              <w:rPr>
                <w:rFonts w:ascii="Times New Roman" w:eastAsia="標楷體" w:hAnsi="Times New Roman"/>
                <w:color w:val="FF0000"/>
              </w:rPr>
              <w:t>面積合計</w:t>
            </w:r>
            <w:r>
              <w:rPr>
                <w:rFonts w:ascii="Times New Roman" w:eastAsia="標楷體" w:hAnsi="Times New Roman"/>
                <w:color w:val="FF0000"/>
              </w:rPr>
              <w:t>(</w:t>
            </w:r>
            <w:r>
              <w:rPr>
                <w:rFonts w:ascii="Times New Roman" w:eastAsia="標楷體" w:hAnsi="Times New Roman"/>
                <w:color w:val="FF0000"/>
              </w:rPr>
              <w:t>坪</w:t>
            </w:r>
            <w:r>
              <w:rPr>
                <w:rFonts w:ascii="Times New Roman" w:eastAsia="標楷體" w:hAnsi="Times New Roman"/>
                <w:color w:val="FF0000"/>
              </w:rPr>
              <w: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affff2"/>
              <w:rPr>
                <w:rFonts w:ascii="Times New Roman" w:eastAsia="標楷體" w:hAnsi="Times New Roman"/>
                <w:color w:val="FF0000"/>
              </w:rPr>
            </w:pPr>
            <w:r>
              <w:rPr>
                <w:rFonts w:ascii="Times New Roman" w:eastAsia="標楷體" w:hAnsi="Times New Roman"/>
                <w:color w:val="FF0000"/>
              </w:rPr>
              <w:t>公設比</w:t>
            </w:r>
          </w:p>
        </w:tc>
      </w:tr>
      <w:tr w:rsidR="0018444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r>
    </w:tbl>
    <w:p w:rsidR="0018444C" w:rsidRDefault="00980E38">
      <w:pPr>
        <w:pStyle w:val="CCIS10"/>
        <w:numPr>
          <w:ilvl w:val="0"/>
          <w:numId w:val="55"/>
        </w:numPr>
        <w:rPr>
          <w:rFonts w:ascii="Times New Roman" w:hAnsi="Times New Roman"/>
          <w:color w:val="FF0000"/>
        </w:rPr>
      </w:pPr>
      <w:r>
        <w:rPr>
          <w:rFonts w:ascii="Times New Roman" w:hAnsi="Times New Roman"/>
          <w:color w:val="FF0000"/>
        </w:rPr>
        <w:t>可銷售車位數量如下表</w:t>
      </w:r>
    </w:p>
    <w:tbl>
      <w:tblPr>
        <w:tblW w:w="4456" w:type="dxa"/>
        <w:tblInd w:w="2060" w:type="dxa"/>
        <w:tblCellMar>
          <w:left w:w="10" w:type="dxa"/>
          <w:right w:w="10" w:type="dxa"/>
        </w:tblCellMar>
        <w:tblLook w:val="0000" w:firstRow="0" w:lastRow="0" w:firstColumn="0" w:lastColumn="0" w:noHBand="0" w:noVBand="0"/>
      </w:tblPr>
      <w:tblGrid>
        <w:gridCol w:w="1196"/>
        <w:gridCol w:w="1701"/>
        <w:gridCol w:w="1559"/>
      </w:tblGrid>
      <w:tr w:rsidR="0018444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CCIS10"/>
              <w:rPr>
                <w:rFonts w:ascii="Times New Roman" w:hAnsi="Times New Roman"/>
                <w:color w:val="FF0000"/>
              </w:rPr>
            </w:pPr>
            <w:r>
              <w:rPr>
                <w:rFonts w:ascii="Times New Roman" w:hAnsi="Times New Roman"/>
                <w:color w:val="FF0000"/>
              </w:rPr>
              <w:lastRenderedPageBreak/>
              <w:t>樓層</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CCIS10"/>
              <w:rPr>
                <w:rFonts w:ascii="Times New Roman" w:hAnsi="Times New Roman"/>
                <w:color w:val="FF0000"/>
              </w:rPr>
            </w:pPr>
            <w:r>
              <w:rPr>
                <w:rFonts w:ascii="Times New Roman" w:hAnsi="Times New Roman"/>
                <w:color w:val="FF0000"/>
              </w:rPr>
              <w:t>車位規格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980E38">
            <w:pPr>
              <w:pStyle w:val="CCIS10"/>
              <w:rPr>
                <w:rFonts w:ascii="Times New Roman" w:hAnsi="Times New Roman"/>
                <w:color w:val="FF0000"/>
              </w:rPr>
            </w:pPr>
            <w:r>
              <w:rPr>
                <w:rFonts w:ascii="Times New Roman" w:hAnsi="Times New Roman"/>
                <w:color w:val="FF0000"/>
              </w:rPr>
              <w:t>數量</w:t>
            </w:r>
          </w:p>
        </w:tc>
      </w:tr>
      <w:tr w:rsidR="0018444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444C" w:rsidRDefault="0018444C">
            <w:pPr>
              <w:pStyle w:val="CCIS10"/>
              <w:rPr>
                <w:rFonts w:ascii="Times New Roman" w:hAnsi="Times New Roman"/>
                <w:color w:val="FF0000"/>
              </w:rPr>
            </w:pPr>
          </w:p>
        </w:tc>
      </w:tr>
    </w:tbl>
    <w:p w:rsidR="0018444C" w:rsidRDefault="0018444C">
      <w:pPr>
        <w:pStyle w:val="CCIS10"/>
        <w:rPr>
          <w:rFonts w:ascii="Times New Roman" w:hAnsi="Times New Roman"/>
        </w:rPr>
      </w:pPr>
    </w:p>
    <w:p w:rsidR="0018444C" w:rsidRDefault="00980E38">
      <w:pPr>
        <w:pStyle w:val="CCIS10"/>
        <w:numPr>
          <w:ilvl w:val="0"/>
          <w:numId w:val="54"/>
        </w:numPr>
        <w:rPr>
          <w:rFonts w:ascii="Times New Roman" w:hAnsi="Times New Roman"/>
        </w:rPr>
      </w:pPr>
      <w:r>
        <w:rPr>
          <w:rFonts w:ascii="Times New Roman" w:hAnsi="Times New Roman"/>
        </w:rPr>
        <w:t>建材配備：詳見附件建材設備表。</w:t>
      </w:r>
    </w:p>
    <w:p w:rsidR="0018444C" w:rsidRDefault="00980E38">
      <w:pPr>
        <w:pStyle w:val="CCIS10"/>
        <w:numPr>
          <w:ilvl w:val="0"/>
          <w:numId w:val="54"/>
        </w:numPr>
        <w:rPr>
          <w:rFonts w:ascii="Times New Roman" w:hAnsi="Times New Roman"/>
        </w:rPr>
      </w:pPr>
      <w:r>
        <w:rPr>
          <w:rFonts w:ascii="Times New Roman" w:hAnsi="Times New Roman"/>
        </w:rPr>
        <w:t>建物其他個別條件：</w:t>
      </w:r>
    </w:p>
    <w:p w:rsidR="0018444C" w:rsidRDefault="00980E38">
      <w:pPr>
        <w:pStyle w:val="CCISa"/>
        <w:numPr>
          <w:ilvl w:val="0"/>
          <w:numId w:val="56"/>
        </w:numPr>
        <w:tabs>
          <w:tab w:val="left" w:pos="2410"/>
        </w:tabs>
        <w:spacing w:line="400" w:lineRule="exact"/>
        <w:ind w:left="2410"/>
        <w:rPr>
          <w:rFonts w:ascii="Times New Roman" w:eastAsia="標楷體" w:hAnsi="Times New Roman"/>
          <w:sz w:val="24"/>
        </w:rPr>
      </w:pPr>
      <w:r>
        <w:rPr>
          <w:rFonts w:ascii="Times New Roman" w:eastAsia="標楷體" w:hAnsi="Times New Roman"/>
          <w:sz w:val="24"/>
        </w:rPr>
        <w:t>使用型態：</w:t>
      </w:r>
      <w:r>
        <w:rPr>
          <w:rFonts w:ascii="Times New Roman" w:eastAsia="標楷體" w:hAnsi="Times New Roman"/>
          <w:sz w:val="24"/>
        </w:rPr>
        <w:t>_________________</w:t>
      </w:r>
      <w:r>
        <w:rPr>
          <w:rFonts w:ascii="Times New Roman" w:eastAsia="標楷體" w:hAnsi="Times New Roman"/>
          <w:sz w:val="24"/>
        </w:rPr>
        <w:t>。</w:t>
      </w:r>
    </w:p>
    <w:p w:rsidR="0018444C" w:rsidRDefault="00980E38">
      <w:pPr>
        <w:pStyle w:val="CCISa"/>
        <w:numPr>
          <w:ilvl w:val="0"/>
          <w:numId w:val="56"/>
        </w:numPr>
        <w:tabs>
          <w:tab w:val="left" w:pos="2410"/>
        </w:tabs>
        <w:spacing w:line="400" w:lineRule="exact"/>
        <w:ind w:left="2410"/>
        <w:rPr>
          <w:rFonts w:ascii="Times New Roman" w:eastAsia="標楷體" w:hAnsi="Times New Roman"/>
          <w:sz w:val="24"/>
        </w:rPr>
      </w:pPr>
      <w:r>
        <w:rPr>
          <w:rFonts w:ascii="Times New Roman" w:eastAsia="標楷體" w:hAnsi="Times New Roman"/>
          <w:sz w:val="24"/>
        </w:rPr>
        <w:t>建築型態：</w:t>
      </w:r>
      <w:r>
        <w:rPr>
          <w:rFonts w:ascii="Times New Roman" w:eastAsia="標楷體" w:hAnsi="Times New Roman"/>
          <w:sz w:val="24"/>
        </w:rPr>
        <w:t>_________________</w:t>
      </w:r>
      <w:r>
        <w:rPr>
          <w:rFonts w:ascii="Times New Roman" w:eastAsia="標楷體" w:hAnsi="Times New Roman"/>
          <w:sz w:val="24"/>
        </w:rPr>
        <w:t>。</w:t>
      </w:r>
    </w:p>
    <w:p w:rsidR="0018444C" w:rsidRDefault="00980E38">
      <w:pPr>
        <w:pStyle w:val="CCISa"/>
        <w:numPr>
          <w:ilvl w:val="0"/>
          <w:numId w:val="56"/>
        </w:numPr>
        <w:tabs>
          <w:tab w:val="left" w:pos="2410"/>
        </w:tabs>
        <w:spacing w:line="400" w:lineRule="exact"/>
        <w:ind w:left="2410"/>
        <w:rPr>
          <w:rFonts w:ascii="Times New Roman" w:eastAsia="標楷體" w:hAnsi="Times New Roman"/>
          <w:sz w:val="24"/>
        </w:rPr>
      </w:pPr>
      <w:r>
        <w:rPr>
          <w:rFonts w:ascii="Times New Roman" w:eastAsia="標楷體" w:hAnsi="Times New Roman"/>
          <w:sz w:val="24"/>
        </w:rPr>
        <w:t>格</w:t>
      </w:r>
      <w:r>
        <w:rPr>
          <w:rFonts w:ascii="Times New Roman" w:eastAsia="標楷體" w:hAnsi="Times New Roman"/>
          <w:sz w:val="24"/>
        </w:rPr>
        <w:t xml:space="preserve">    </w:t>
      </w:r>
      <w:r>
        <w:rPr>
          <w:rFonts w:ascii="Times New Roman" w:eastAsia="標楷體" w:hAnsi="Times New Roman"/>
          <w:sz w:val="24"/>
        </w:rPr>
        <w:t>局：</w:t>
      </w:r>
      <w:r>
        <w:rPr>
          <w:rFonts w:ascii="Times New Roman" w:eastAsia="標楷體" w:hAnsi="Times New Roman"/>
          <w:sz w:val="24"/>
        </w:rPr>
        <w:t>_________________</w:t>
      </w:r>
      <w:r>
        <w:rPr>
          <w:rFonts w:ascii="Times New Roman" w:eastAsia="標楷體" w:hAnsi="Times New Roman"/>
          <w:sz w:val="24"/>
        </w:rPr>
        <w:t>。</w:t>
      </w:r>
    </w:p>
    <w:p w:rsidR="0018444C" w:rsidRDefault="00980E38">
      <w:pPr>
        <w:pStyle w:val="CCISa"/>
        <w:numPr>
          <w:ilvl w:val="0"/>
          <w:numId w:val="56"/>
        </w:numPr>
        <w:tabs>
          <w:tab w:val="left" w:pos="2410"/>
        </w:tabs>
        <w:spacing w:line="400" w:lineRule="exact"/>
        <w:ind w:left="2410"/>
        <w:rPr>
          <w:rFonts w:ascii="Times New Roman" w:eastAsia="標楷體" w:hAnsi="Times New Roman"/>
          <w:sz w:val="24"/>
        </w:rPr>
      </w:pPr>
      <w:r>
        <w:rPr>
          <w:rFonts w:ascii="Times New Roman" w:eastAsia="標楷體" w:hAnsi="Times New Roman"/>
          <w:sz w:val="24"/>
        </w:rPr>
        <w:t>座</w:t>
      </w:r>
      <w:r>
        <w:rPr>
          <w:rFonts w:ascii="Times New Roman" w:eastAsia="標楷體" w:hAnsi="Times New Roman"/>
          <w:sz w:val="24"/>
        </w:rPr>
        <w:t xml:space="preserve">    </w:t>
      </w:r>
      <w:r>
        <w:rPr>
          <w:rFonts w:ascii="Times New Roman" w:eastAsia="標楷體" w:hAnsi="Times New Roman"/>
          <w:sz w:val="24"/>
        </w:rPr>
        <w:t>向：</w:t>
      </w:r>
      <w:r>
        <w:rPr>
          <w:rFonts w:ascii="Times New Roman" w:eastAsia="標楷體" w:hAnsi="Times New Roman"/>
          <w:sz w:val="24"/>
        </w:rPr>
        <w:t>_________________</w:t>
      </w:r>
      <w:r>
        <w:rPr>
          <w:rFonts w:ascii="Times New Roman" w:eastAsia="標楷體" w:hAnsi="Times New Roman"/>
          <w:sz w:val="24"/>
        </w:rPr>
        <w:t>。</w:t>
      </w:r>
    </w:p>
    <w:p w:rsidR="0018444C" w:rsidRDefault="00980E38">
      <w:pPr>
        <w:pStyle w:val="CCISa"/>
        <w:numPr>
          <w:ilvl w:val="0"/>
          <w:numId w:val="56"/>
        </w:numPr>
        <w:tabs>
          <w:tab w:val="left" w:pos="2410"/>
        </w:tabs>
        <w:spacing w:line="400" w:lineRule="exact"/>
        <w:ind w:left="2410"/>
        <w:rPr>
          <w:rFonts w:ascii="Times New Roman" w:eastAsia="標楷體" w:hAnsi="Times New Roman"/>
          <w:sz w:val="24"/>
        </w:rPr>
      </w:pPr>
      <w:r>
        <w:rPr>
          <w:rFonts w:ascii="Times New Roman" w:eastAsia="標楷體" w:hAnsi="Times New Roman"/>
          <w:sz w:val="24"/>
        </w:rPr>
        <w:t>通風採光：</w:t>
      </w:r>
      <w:r>
        <w:rPr>
          <w:rFonts w:ascii="Times New Roman" w:eastAsia="標楷體" w:hAnsi="Times New Roman"/>
          <w:sz w:val="24"/>
        </w:rPr>
        <w:t>_________________</w:t>
      </w:r>
      <w:r>
        <w:rPr>
          <w:rFonts w:ascii="Times New Roman" w:eastAsia="標楷體" w:hAnsi="Times New Roman"/>
          <w:sz w:val="24"/>
        </w:rPr>
        <w:t>。</w:t>
      </w:r>
    </w:p>
    <w:p w:rsidR="0018444C" w:rsidRDefault="00980E38">
      <w:pPr>
        <w:pStyle w:val="CCISa"/>
        <w:numPr>
          <w:ilvl w:val="0"/>
          <w:numId w:val="56"/>
        </w:numPr>
        <w:tabs>
          <w:tab w:val="left" w:pos="2410"/>
        </w:tabs>
        <w:spacing w:line="400" w:lineRule="exact"/>
        <w:ind w:left="2410"/>
        <w:rPr>
          <w:rFonts w:ascii="Times New Roman" w:eastAsia="標楷體" w:hAnsi="Times New Roman"/>
          <w:sz w:val="24"/>
        </w:rPr>
      </w:pPr>
      <w:r>
        <w:rPr>
          <w:rFonts w:ascii="Times New Roman" w:eastAsia="標楷體" w:hAnsi="Times New Roman"/>
          <w:sz w:val="24"/>
        </w:rPr>
        <w:t>公</w:t>
      </w:r>
      <w:r>
        <w:rPr>
          <w:rFonts w:ascii="Times New Roman" w:eastAsia="標楷體" w:hAnsi="Times New Roman"/>
          <w:sz w:val="24"/>
        </w:rPr>
        <w:t xml:space="preserve"> </w:t>
      </w:r>
      <w:r>
        <w:rPr>
          <w:rFonts w:ascii="Times New Roman" w:eastAsia="標楷體" w:hAnsi="Times New Roman"/>
          <w:sz w:val="24"/>
        </w:rPr>
        <w:t>設</w:t>
      </w:r>
      <w:r>
        <w:rPr>
          <w:rFonts w:ascii="Times New Roman" w:eastAsia="標楷體" w:hAnsi="Times New Roman"/>
          <w:sz w:val="24"/>
        </w:rPr>
        <w:t xml:space="preserve"> </w:t>
      </w:r>
      <w:r>
        <w:rPr>
          <w:rFonts w:ascii="Times New Roman" w:eastAsia="標楷體" w:hAnsi="Times New Roman"/>
          <w:sz w:val="24"/>
        </w:rPr>
        <w:t>比：</w:t>
      </w:r>
      <w:r>
        <w:rPr>
          <w:rFonts w:ascii="Times New Roman" w:eastAsia="標楷體" w:hAnsi="Times New Roman"/>
          <w:sz w:val="24"/>
        </w:rPr>
        <w:t>_________________</w:t>
      </w:r>
      <w:r>
        <w:rPr>
          <w:rFonts w:ascii="Times New Roman" w:eastAsia="標楷體" w:hAnsi="Times New Roman"/>
          <w:sz w:val="24"/>
        </w:rPr>
        <w:t>。</w:t>
      </w:r>
    </w:p>
    <w:p w:rsidR="0018444C" w:rsidRDefault="00980E38">
      <w:pPr>
        <w:pStyle w:val="CCISa"/>
        <w:numPr>
          <w:ilvl w:val="0"/>
          <w:numId w:val="56"/>
        </w:numPr>
        <w:tabs>
          <w:tab w:val="left" w:pos="2410"/>
        </w:tabs>
        <w:spacing w:line="400" w:lineRule="exact"/>
        <w:ind w:left="2410"/>
        <w:rPr>
          <w:rFonts w:ascii="Times New Roman" w:eastAsia="標楷體" w:hAnsi="Times New Roman"/>
          <w:sz w:val="24"/>
        </w:rPr>
      </w:pPr>
      <w:r>
        <w:rPr>
          <w:rFonts w:ascii="Times New Roman" w:eastAsia="標楷體" w:hAnsi="Times New Roman"/>
          <w:sz w:val="24"/>
        </w:rPr>
        <w:t>其他（根據實際情形自行增加說明）。</w:t>
      </w:r>
    </w:p>
    <w:p w:rsidR="0018444C" w:rsidRDefault="00980E38">
      <w:pPr>
        <w:pStyle w:val="affff"/>
        <w:ind w:left="1644" w:firstLine="240"/>
        <w:rPr>
          <w:rFonts w:ascii="Times New Roman" w:hAnsi="Times New Roman"/>
          <w:szCs w:val="24"/>
        </w:rPr>
      </w:pPr>
      <w:r>
        <w:rPr>
          <w:rFonts w:ascii="Times New Roman" w:hAnsi="Times New Roman"/>
          <w:szCs w:val="24"/>
        </w:rPr>
        <w:t>《注意須知》</w:t>
      </w:r>
    </w:p>
    <w:p w:rsidR="0018444C" w:rsidRDefault="00980E38">
      <w:pPr>
        <w:pStyle w:val="DefaultText"/>
        <w:numPr>
          <w:ilvl w:val="0"/>
          <w:numId w:val="39"/>
        </w:numPr>
        <w:spacing w:before="40" w:after="40" w:line="440" w:lineRule="exact"/>
        <w:ind w:hanging="280"/>
        <w:jc w:val="both"/>
      </w:pPr>
      <w:r>
        <w:rPr>
          <w:rFonts w:ascii="Times New Roman" w:eastAsia="標楷體" w:hAnsi="Times New Roman"/>
          <w:szCs w:val="24"/>
        </w:rPr>
        <w:t>未含容積移入規劃面積由估價師依</w:t>
      </w:r>
      <w:r>
        <w:rPr>
          <w:rFonts w:ascii="Times New Roman" w:eastAsia="標楷體" w:hAnsi="Times New Roman"/>
          <w:color w:val="FF0000"/>
          <w:szCs w:val="24"/>
        </w:rPr>
        <w:t>容積移轉折</w:t>
      </w:r>
      <w:proofErr w:type="gramStart"/>
      <w:r>
        <w:rPr>
          <w:rFonts w:ascii="Times New Roman" w:eastAsia="標楷體" w:hAnsi="Times New Roman"/>
          <w:color w:val="FF0000"/>
          <w:szCs w:val="24"/>
        </w:rPr>
        <w:t>繳</w:t>
      </w:r>
      <w:proofErr w:type="gramEnd"/>
      <w:r>
        <w:rPr>
          <w:rFonts w:ascii="Times New Roman" w:eastAsia="標楷體" w:hAnsi="Times New Roman"/>
          <w:color w:val="FF0000"/>
          <w:szCs w:val="24"/>
        </w:rPr>
        <w:t>代金估價說明書</w:t>
      </w:r>
      <w:r>
        <w:rPr>
          <w:rFonts w:ascii="Times New Roman" w:eastAsia="標楷體" w:hAnsi="Times New Roman"/>
          <w:szCs w:val="24"/>
        </w:rPr>
        <w:t>內容為基礎進行調整，</w:t>
      </w:r>
      <w:r>
        <w:rPr>
          <w:rFonts w:ascii="Times New Roman" w:eastAsia="標楷體" w:hAnsi="Times New Roman"/>
        </w:rPr>
        <w:t>調整的原則如下：</w:t>
      </w:r>
    </w:p>
    <w:p w:rsidR="0018444C" w:rsidRDefault="00980E38">
      <w:pPr>
        <w:pStyle w:val="affff"/>
        <w:numPr>
          <w:ilvl w:val="0"/>
          <w:numId w:val="57"/>
        </w:numPr>
        <w:rPr>
          <w:rFonts w:ascii="Times New Roman" w:hAnsi="Times New Roman"/>
        </w:rPr>
      </w:pPr>
      <w:r>
        <w:rPr>
          <w:rFonts w:ascii="Times New Roman" w:hAnsi="Times New Roman"/>
        </w:rPr>
        <w:t>容積移入</w:t>
      </w:r>
      <w:proofErr w:type="gramStart"/>
      <w:r>
        <w:rPr>
          <w:rFonts w:ascii="Times New Roman" w:hAnsi="Times New Roman"/>
        </w:rPr>
        <w:t>前後實設建</w:t>
      </w:r>
      <w:proofErr w:type="gramEnd"/>
      <w:r>
        <w:rPr>
          <w:rFonts w:ascii="Times New Roman" w:hAnsi="Times New Roman"/>
        </w:rPr>
        <w:t>蔽率相同。</w:t>
      </w:r>
    </w:p>
    <w:p w:rsidR="0018444C" w:rsidRDefault="00980E38">
      <w:pPr>
        <w:pStyle w:val="affff"/>
        <w:numPr>
          <w:ilvl w:val="0"/>
          <w:numId w:val="57"/>
        </w:numPr>
        <w:rPr>
          <w:rFonts w:ascii="Times New Roman" w:hAnsi="Times New Roman"/>
        </w:rPr>
      </w:pPr>
      <w:proofErr w:type="gramStart"/>
      <w:r>
        <w:rPr>
          <w:rFonts w:ascii="Times New Roman" w:hAnsi="Times New Roman"/>
        </w:rPr>
        <w:t>未含移入</w:t>
      </w:r>
      <w:proofErr w:type="gramEnd"/>
      <w:r>
        <w:rPr>
          <w:rFonts w:ascii="Times New Roman" w:hAnsi="Times New Roman"/>
        </w:rPr>
        <w:t>容積所減少的容積原則上由頂層依次遞減。</w:t>
      </w:r>
    </w:p>
    <w:p w:rsidR="0018444C" w:rsidRDefault="00980E38">
      <w:pPr>
        <w:pStyle w:val="affff"/>
        <w:numPr>
          <w:ilvl w:val="0"/>
          <w:numId w:val="57"/>
        </w:numPr>
        <w:rPr>
          <w:rFonts w:ascii="Times New Roman" w:hAnsi="Times New Roman"/>
        </w:rPr>
      </w:pPr>
      <w:r>
        <w:rPr>
          <w:rFonts w:ascii="Times New Roman" w:hAnsi="Times New Roman"/>
        </w:rPr>
        <w:t>調整後面積須達到與容積移入</w:t>
      </w:r>
      <w:proofErr w:type="gramStart"/>
      <w:r>
        <w:rPr>
          <w:rFonts w:ascii="Times New Roman" w:hAnsi="Times New Roman"/>
        </w:rPr>
        <w:t>後銷坪比</w:t>
      </w:r>
      <w:proofErr w:type="gramEnd"/>
      <w:r>
        <w:rPr>
          <w:rFonts w:ascii="Times New Roman" w:hAnsi="Times New Roman"/>
        </w:rPr>
        <w:t>相同的條件，並盡量維持接近之地下室開挖率，若調整後面積與容移移入後之</w:t>
      </w:r>
      <w:proofErr w:type="gramStart"/>
      <w:r>
        <w:rPr>
          <w:rFonts w:ascii="Times New Roman" w:hAnsi="Times New Roman"/>
        </w:rPr>
        <w:t>銷坪比</w:t>
      </w:r>
      <w:proofErr w:type="gramEnd"/>
      <w:r>
        <w:rPr>
          <w:rFonts w:ascii="Times New Roman" w:hAnsi="Times New Roman"/>
        </w:rPr>
        <w:t>不同時，應敘明理由，</w:t>
      </w:r>
      <w:proofErr w:type="gramStart"/>
      <w:r>
        <w:rPr>
          <w:rFonts w:ascii="Times New Roman" w:hAnsi="Times New Roman"/>
        </w:rPr>
        <w:t>銷坪比</w:t>
      </w:r>
      <w:proofErr w:type="gramEnd"/>
      <w:r>
        <w:rPr>
          <w:rFonts w:ascii="Times New Roman" w:hAnsi="Times New Roman"/>
        </w:rPr>
        <w:t>指不含車位銷售面積與總容積樓地板面積的比值。</w:t>
      </w:r>
    </w:p>
    <w:p w:rsidR="0018444C" w:rsidRDefault="00980E38">
      <w:pPr>
        <w:pStyle w:val="affff"/>
        <w:numPr>
          <w:ilvl w:val="0"/>
          <w:numId w:val="57"/>
        </w:numPr>
      </w:pPr>
      <w:r>
        <w:rPr>
          <w:rFonts w:ascii="Times New Roman" w:hAnsi="Times New Roman"/>
        </w:rPr>
        <w:t>地下層在達到原車位數量設置原則，例如</w:t>
      </w:r>
      <w:r>
        <w:rPr>
          <w:rFonts w:ascii="Times New Roman" w:hAnsi="Times New Roman"/>
        </w:rPr>
        <w:t>1</w:t>
      </w:r>
      <w:r>
        <w:rPr>
          <w:rFonts w:ascii="Times New Roman" w:hAnsi="Times New Roman"/>
        </w:rPr>
        <w:t>戶</w:t>
      </w:r>
      <w:r>
        <w:rPr>
          <w:rFonts w:ascii="Times New Roman" w:hAnsi="Times New Roman"/>
        </w:rPr>
        <w:t>1</w:t>
      </w:r>
      <w:r>
        <w:rPr>
          <w:rFonts w:ascii="Times New Roman" w:hAnsi="Times New Roman"/>
        </w:rPr>
        <w:t>汽車車位或機車位、或每</w:t>
      </w:r>
      <w:r>
        <w:rPr>
          <w:rFonts w:ascii="Times New Roman" w:hAnsi="Times New Roman"/>
        </w:rPr>
        <w:t>150M</w:t>
      </w:r>
      <w:r>
        <w:rPr>
          <w:rFonts w:ascii="Times New Roman" w:hAnsi="Times New Roman"/>
          <w:vertAlign w:val="superscript"/>
        </w:rPr>
        <w:t>2</w:t>
      </w:r>
      <w:r>
        <w:rPr>
          <w:rFonts w:ascii="Times New Roman" w:hAnsi="Times New Roman"/>
        </w:rPr>
        <w:t>設計</w:t>
      </w:r>
      <w:proofErr w:type="gramStart"/>
      <w:r>
        <w:rPr>
          <w:rFonts w:ascii="Times New Roman" w:hAnsi="Times New Roman"/>
        </w:rPr>
        <w:t>一</w:t>
      </w:r>
      <w:proofErr w:type="gramEnd"/>
      <w:r>
        <w:rPr>
          <w:rFonts w:ascii="Times New Roman" w:hAnsi="Times New Roman"/>
        </w:rPr>
        <w:t>車位、或不設置機械車位等，可由估價師自行設定合理開挖率及開挖樓層。</w:t>
      </w:r>
    </w:p>
    <w:p w:rsidR="0018444C" w:rsidRDefault="00980E38">
      <w:pPr>
        <w:pStyle w:val="affff"/>
        <w:spacing w:before="0" w:after="0" w:line="240" w:lineRule="auto"/>
        <w:ind w:left="1740" w:hanging="1740"/>
        <w:jc w:val="center"/>
      </w:pPr>
      <w:r>
        <w:rPr>
          <w:rFonts w:ascii="Times New Roman" w:hAnsi="Times New Roman"/>
          <w:noProof/>
        </w:rPr>
        <w:lastRenderedPageBreak/>
        <mc:AlternateContent>
          <mc:Choice Requires="wps">
            <w:drawing>
              <wp:anchor distT="0" distB="0" distL="114300" distR="114300" simplePos="0" relativeHeight="251667456" behindDoc="0" locked="0" layoutInCell="1" allowOverlap="1">
                <wp:simplePos x="0" y="0"/>
                <wp:positionH relativeFrom="margin">
                  <wp:posOffset>4133435</wp:posOffset>
                </wp:positionH>
                <wp:positionV relativeFrom="paragraph">
                  <wp:posOffset>4357372</wp:posOffset>
                </wp:positionV>
                <wp:extent cx="2401571" cy="339727"/>
                <wp:effectExtent l="0" t="0" r="0" b="3173"/>
                <wp:wrapNone/>
                <wp:docPr id="3" name="文字方塊 14"/>
                <wp:cNvGraphicFramePr/>
                <a:graphic xmlns:a="http://schemas.openxmlformats.org/drawingml/2006/main">
                  <a:graphicData uri="http://schemas.microsoft.com/office/word/2010/wordprocessingShape">
                    <wps:wsp>
                      <wps:cNvSpPr txBox="1"/>
                      <wps:spPr>
                        <a:xfrm>
                          <a:off x="0" y="0"/>
                          <a:ext cx="2401571" cy="339727"/>
                        </a:xfrm>
                        <a:prstGeom prst="rect">
                          <a:avLst/>
                        </a:prstGeom>
                        <a:noFill/>
                        <a:ln>
                          <a:noFill/>
                          <a:prstDash/>
                        </a:ln>
                      </wps:spPr>
                      <wps:txbx>
                        <w:txbxContent>
                          <w:p w:rsidR="0018444C" w:rsidRDefault="00980E38">
                            <w:pPr>
                              <w:rPr>
                                <w:rFonts w:ascii="標楷體" w:eastAsia="標楷體" w:hAnsi="標楷體"/>
                                <w:b/>
                                <w:bCs/>
                                <w:color w:val="FF0000"/>
                              </w:rPr>
                            </w:pPr>
                            <w:r>
                              <w:rPr>
                                <w:rFonts w:ascii="標楷體" w:eastAsia="標楷體" w:hAnsi="標楷體"/>
                                <w:b/>
                                <w:bCs/>
                                <w:color w:val="FF0000"/>
                              </w:rPr>
                              <w:t>(應盡量維持地下室開挖率不變)</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4" o:spid="_x0000_s1027" type="#_x0000_t202" style="position:absolute;left:0;text-align:left;margin-left:325.45pt;margin-top:343.1pt;width:189.1pt;height:26.7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" filled="f" stroked="f">
                <v:textbox>
                  <w:txbxContent>
                    <w:p w:rsidR="0018444C" w:rsidRDefault="00980E38">
                      <w:pPr>
                        <w:rPr>
                          <w:rFonts w:ascii="標楷體" w:eastAsia="標楷體" w:hAnsi="標楷體"/>
                          <w:b/>
                          <w:bCs/>
                          <w:color w:val="FF0000"/>
                        </w:rPr>
                      </w:pPr>
                      <w:r>
                        <w:rPr>
                          <w:rFonts w:ascii="標楷體" w:eastAsia="標楷體" w:hAnsi="標楷體"/>
                          <w:b/>
                          <w:bCs/>
                          <w:color w:val="FF0000"/>
                        </w:rPr>
                        <w:t>(</w:t>
                      </w:r>
                      <w:r>
                        <w:rPr>
                          <w:rFonts w:ascii="標楷體" w:eastAsia="標楷體" w:hAnsi="標楷體"/>
                          <w:b/>
                          <w:bCs/>
                          <w:color w:val="FF0000"/>
                        </w:rPr>
                        <w:t>應盡量維持地下室開挖率不變</w:t>
                      </w:r>
                      <w:r>
                        <w:rPr>
                          <w:rFonts w:ascii="標楷體" w:eastAsia="標楷體" w:hAnsi="標楷體"/>
                          <w:b/>
                          <w:bCs/>
                          <w:color w:val="FF0000"/>
                        </w:rPr>
                        <w:t>)</w:t>
                      </w:r>
                    </w:p>
                  </w:txbxContent>
                </v:textbox>
                <w10:wrap anchorx="margin"/>
              </v:shape>
            </w:pict>
          </mc:Fallback>
        </mc:AlternateContent>
      </w:r>
      <w:r>
        <w:rPr>
          <w:rFonts w:ascii="Times New Roman" w:hAnsi="Times New Roman"/>
          <w:noProof/>
        </w:rPr>
        <w:drawing>
          <wp:inline distT="0" distB="0" distL="0" distR="0">
            <wp:extent cx="6724982" cy="4651534"/>
            <wp:effectExtent l="0" t="0" r="0" b="0"/>
            <wp:docPr id="4" name="圖片 1" descr="00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724982" cy="4651534"/>
                    </a:xfrm>
                    <a:prstGeom prst="rect">
                      <a:avLst/>
                    </a:prstGeom>
                    <a:noFill/>
                    <a:ln>
                      <a:noFill/>
                      <a:prstDash/>
                    </a:ln>
                  </pic:spPr>
                </pic:pic>
              </a:graphicData>
            </a:graphic>
          </wp:inline>
        </w:drawing>
      </w:r>
    </w:p>
    <w:p w:rsidR="0018444C" w:rsidRDefault="00980E38">
      <w:pPr>
        <w:pStyle w:val="affff"/>
        <w:spacing w:before="0" w:after="0" w:line="240" w:lineRule="auto"/>
        <w:ind w:left="1595" w:hanging="1595"/>
        <w:jc w:val="center"/>
        <w:rPr>
          <w:rFonts w:ascii="Times New Roman" w:hAnsi="Times New Roman"/>
          <w:sz w:val="22"/>
          <w:szCs w:val="22"/>
        </w:rPr>
      </w:pPr>
      <w:r>
        <w:rPr>
          <w:rFonts w:ascii="Times New Roman" w:hAnsi="Times New Roman"/>
          <w:sz w:val="22"/>
          <w:szCs w:val="22"/>
        </w:rPr>
        <w:t>圖　容積移入前後</w:t>
      </w:r>
      <w:proofErr w:type="gramStart"/>
      <w:r>
        <w:rPr>
          <w:rFonts w:ascii="Times New Roman" w:hAnsi="Times New Roman"/>
          <w:sz w:val="22"/>
          <w:szCs w:val="22"/>
        </w:rPr>
        <w:t>勘估標</w:t>
      </w:r>
      <w:proofErr w:type="gramEnd"/>
      <w:r>
        <w:rPr>
          <w:rFonts w:ascii="Times New Roman" w:hAnsi="Times New Roman"/>
          <w:sz w:val="22"/>
          <w:szCs w:val="22"/>
        </w:rPr>
        <w:t>的規劃方案調整模擬示意圖</w:t>
      </w:r>
    </w:p>
    <w:p w:rsidR="0018444C" w:rsidRDefault="00980E38">
      <w:pPr>
        <w:pStyle w:val="DefaultText"/>
        <w:numPr>
          <w:ilvl w:val="0"/>
          <w:numId w:val="53"/>
        </w:numPr>
        <w:snapToGrid w:val="0"/>
        <w:spacing w:before="40" w:after="40" w:line="440" w:lineRule="exact"/>
        <w:ind w:left="1786" w:hanging="425"/>
        <w:jc w:val="both"/>
        <w:rPr>
          <w:rFonts w:ascii="Times New Roman" w:eastAsia="標楷體" w:hAnsi="Times New Roman"/>
        </w:rPr>
      </w:pPr>
      <w:r>
        <w:rPr>
          <w:rFonts w:ascii="Times New Roman" w:eastAsia="標楷體" w:hAnsi="Times New Roman"/>
        </w:rPr>
        <w:t>開發後總銷售金額評估</w:t>
      </w:r>
    </w:p>
    <w:p w:rsidR="0018444C" w:rsidRDefault="00980E38">
      <w:pPr>
        <w:pStyle w:val="CCISa"/>
        <w:numPr>
          <w:ilvl w:val="0"/>
          <w:numId w:val="58"/>
        </w:numPr>
        <w:spacing w:line="400" w:lineRule="exact"/>
        <w:rPr>
          <w:rFonts w:ascii="Times New Roman" w:eastAsia="標楷體" w:hAnsi="Times New Roman"/>
          <w:sz w:val="24"/>
          <w:szCs w:val="24"/>
        </w:rPr>
      </w:pPr>
      <w:r>
        <w:rPr>
          <w:rFonts w:ascii="Times New Roman" w:eastAsia="標楷體" w:hAnsi="Times New Roman"/>
          <w:sz w:val="24"/>
          <w:szCs w:val="24"/>
        </w:rPr>
        <w:t>總銷售金額依</w:t>
      </w:r>
      <w:proofErr w:type="gramStart"/>
      <w:r>
        <w:rPr>
          <w:rFonts w:ascii="Times New Roman" w:eastAsia="標楷體" w:hAnsi="Times New Roman"/>
          <w:sz w:val="24"/>
          <w:szCs w:val="24"/>
        </w:rPr>
        <w:t>前節含</w:t>
      </w:r>
      <w:proofErr w:type="gramEnd"/>
      <w:r>
        <w:rPr>
          <w:rFonts w:ascii="Times New Roman" w:eastAsia="標楷體" w:hAnsi="Times New Roman"/>
          <w:sz w:val="24"/>
          <w:szCs w:val="24"/>
        </w:rPr>
        <w:t>容積移入後所評估之</w:t>
      </w:r>
      <w:proofErr w:type="gramStart"/>
      <w:r>
        <w:rPr>
          <w:rFonts w:ascii="Times New Roman" w:eastAsia="標楷體" w:hAnsi="Times New Roman"/>
          <w:sz w:val="24"/>
          <w:szCs w:val="24"/>
        </w:rPr>
        <w:t>各層建坪</w:t>
      </w:r>
      <w:proofErr w:type="gramEnd"/>
      <w:r>
        <w:rPr>
          <w:rFonts w:ascii="Times New Roman" w:eastAsia="標楷體" w:hAnsi="Times New Roman"/>
          <w:sz w:val="24"/>
          <w:szCs w:val="24"/>
        </w:rPr>
        <w:t>單價及車位單價評估如下表：</w:t>
      </w:r>
    </w:p>
    <w:p w:rsidR="0018444C" w:rsidRDefault="00980E38">
      <w:pPr>
        <w:pStyle w:val="DefaultText"/>
        <w:spacing w:before="40" w:after="40" w:line="440" w:lineRule="exact"/>
        <w:jc w:val="center"/>
        <w:rPr>
          <w:rFonts w:ascii="Times New Roman" w:eastAsia="標楷體" w:hAnsi="Times New Roman"/>
          <w:sz w:val="24"/>
          <w:szCs w:val="24"/>
        </w:rPr>
      </w:pPr>
      <w:r>
        <w:rPr>
          <w:rFonts w:ascii="Times New Roman" w:eastAsia="標楷體" w:hAnsi="Times New Roman"/>
          <w:sz w:val="24"/>
          <w:szCs w:val="24"/>
        </w:rPr>
        <w:t>以比</w:t>
      </w:r>
      <w:proofErr w:type="gramStart"/>
      <w:r>
        <w:rPr>
          <w:rFonts w:ascii="Times New Roman" w:eastAsia="標楷體" w:hAnsi="Times New Roman"/>
          <w:sz w:val="24"/>
          <w:szCs w:val="24"/>
        </w:rPr>
        <w:t>準戶推</w:t>
      </w:r>
      <w:proofErr w:type="gramEnd"/>
      <w:r>
        <w:rPr>
          <w:rFonts w:ascii="Times New Roman" w:eastAsia="標楷體" w:hAnsi="Times New Roman"/>
          <w:sz w:val="24"/>
          <w:szCs w:val="24"/>
        </w:rPr>
        <w:t>估全棟建物總銷金額</w:t>
      </w:r>
    </w:p>
    <w:tbl>
      <w:tblPr>
        <w:tblW w:w="5066" w:type="pct"/>
        <w:jc w:val="center"/>
        <w:tblLayout w:type="fixed"/>
        <w:tblCellMar>
          <w:left w:w="10" w:type="dxa"/>
          <w:right w:w="10" w:type="dxa"/>
        </w:tblCellMar>
        <w:tblLook w:val="0000" w:firstRow="0" w:lastRow="0" w:firstColumn="0" w:lastColumn="0" w:noHBand="0" w:noVBand="0"/>
      </w:tblPr>
      <w:tblGrid>
        <w:gridCol w:w="857"/>
        <w:gridCol w:w="856"/>
        <w:gridCol w:w="856"/>
        <w:gridCol w:w="1273"/>
        <w:gridCol w:w="1144"/>
        <w:gridCol w:w="1861"/>
        <w:gridCol w:w="1861"/>
        <w:gridCol w:w="1573"/>
      </w:tblGrid>
      <w:tr w:rsidR="0018444C">
        <w:trPr>
          <w:trHeight w:val="20"/>
          <w:jc w:val="center"/>
        </w:trPr>
        <w:tc>
          <w:tcPr>
            <w:tcW w:w="850"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樓層</w:t>
            </w:r>
          </w:p>
        </w:tc>
        <w:tc>
          <w:tcPr>
            <w:tcW w:w="849" w:type="dxa"/>
            <w:tcBorders>
              <w:top w:val="double" w:sz="4"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18444C" w:rsidRDefault="00980E38">
            <w:pPr>
              <w:jc w:val="center"/>
              <w:rPr>
                <w:rFonts w:ascii="Times New Roman" w:eastAsia="標楷體" w:hAnsi="Times New Roman"/>
              </w:rPr>
            </w:pPr>
            <w:proofErr w:type="gramStart"/>
            <w:r>
              <w:rPr>
                <w:rFonts w:ascii="Times New Roman" w:eastAsia="標楷體" w:hAnsi="Times New Roman"/>
              </w:rPr>
              <w:t>戶別</w:t>
            </w:r>
            <w:proofErr w:type="gramEnd"/>
          </w:p>
        </w:tc>
        <w:tc>
          <w:tcPr>
            <w:tcW w:w="849" w:type="dxa"/>
            <w:tcBorders>
              <w:top w:val="doub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用途</w:t>
            </w:r>
          </w:p>
        </w:tc>
        <w:tc>
          <w:tcPr>
            <w:tcW w:w="1262" w:type="dxa"/>
            <w:tcBorders>
              <w:top w:val="doub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銷售面積</w:t>
            </w:r>
          </w:p>
          <w:p w:rsidR="0018444C" w:rsidRDefault="00980E38">
            <w:pPr>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坪；</w:t>
            </w:r>
            <w:proofErr w:type="gramStart"/>
            <w:r>
              <w:rPr>
                <w:rFonts w:ascii="Times New Roman" w:eastAsia="標楷體" w:hAnsi="Times New Roman"/>
              </w:rPr>
              <w:t>個</w:t>
            </w:r>
            <w:proofErr w:type="gramEnd"/>
            <w:r>
              <w:rPr>
                <w:rFonts w:ascii="Times New Roman" w:eastAsia="標楷體" w:hAnsi="Times New Roman"/>
              </w:rPr>
              <w:t>)</w:t>
            </w:r>
          </w:p>
        </w:tc>
        <w:tc>
          <w:tcPr>
            <w:tcW w:w="1134" w:type="dxa"/>
            <w:tcBorders>
              <w:top w:val="doub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樓層別效用比</w:t>
            </w:r>
          </w:p>
        </w:tc>
        <w:tc>
          <w:tcPr>
            <w:tcW w:w="1845" w:type="dxa"/>
            <w:tcBorders>
              <w:top w:val="double" w:sz="4"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18444C" w:rsidRDefault="00980E38">
            <w:pPr>
              <w:jc w:val="center"/>
              <w:rPr>
                <w:rFonts w:ascii="Times New Roman" w:eastAsia="標楷體" w:hAnsi="Times New Roman"/>
              </w:rPr>
            </w:pPr>
            <w:r>
              <w:rPr>
                <w:rFonts w:ascii="Times New Roman" w:eastAsia="標楷體" w:hAnsi="Times New Roman"/>
              </w:rPr>
              <w:t>水平效用比</w:t>
            </w:r>
          </w:p>
        </w:tc>
        <w:tc>
          <w:tcPr>
            <w:tcW w:w="1845" w:type="dxa"/>
            <w:tcBorders>
              <w:top w:val="doub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評估單價</w:t>
            </w:r>
          </w:p>
          <w:p w:rsidR="0018444C" w:rsidRDefault="00980E38">
            <w:pPr>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元</w:t>
            </w:r>
            <w:r>
              <w:rPr>
                <w:rFonts w:ascii="Times New Roman" w:eastAsia="標楷體" w:hAnsi="Times New Roman"/>
              </w:rPr>
              <w:t>/</w:t>
            </w:r>
            <w:r>
              <w:rPr>
                <w:rFonts w:ascii="Times New Roman" w:eastAsia="標楷體" w:hAnsi="Times New Roman"/>
              </w:rPr>
              <w:t>坪；元</w:t>
            </w:r>
            <w:r>
              <w:rPr>
                <w:rFonts w:ascii="Times New Roman" w:eastAsia="標楷體" w:hAnsi="Times New Roman"/>
              </w:rPr>
              <w:t>/</w:t>
            </w:r>
            <w:proofErr w:type="gramStart"/>
            <w:r>
              <w:rPr>
                <w:rFonts w:ascii="Times New Roman" w:eastAsia="標楷體" w:hAnsi="Times New Roman"/>
              </w:rPr>
              <w:t>個</w:t>
            </w:r>
            <w:proofErr w:type="gramEnd"/>
            <w:r>
              <w:rPr>
                <w:rFonts w:ascii="Times New Roman" w:eastAsia="標楷體" w:hAnsi="Times New Roman"/>
              </w:rPr>
              <w:t>)</w:t>
            </w:r>
          </w:p>
        </w:tc>
        <w:tc>
          <w:tcPr>
            <w:tcW w:w="1560" w:type="dxa"/>
            <w:tcBorders>
              <w:top w:val="double" w:sz="4"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評估銷售總價值</w:t>
            </w:r>
          </w:p>
          <w:p w:rsidR="0018444C" w:rsidRDefault="00980E38">
            <w:pPr>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元</w:t>
            </w:r>
            <w:r>
              <w:rPr>
                <w:rFonts w:ascii="Times New Roman" w:eastAsia="標楷體" w:hAnsi="Times New Roman"/>
              </w:rPr>
              <w:t>)</w:t>
            </w:r>
          </w:p>
        </w:tc>
      </w:tr>
      <w:tr w:rsidR="0018444C">
        <w:trPr>
          <w:trHeight w:val="20"/>
          <w:jc w:val="center"/>
        </w:trPr>
        <w:tc>
          <w:tcPr>
            <w:tcW w:w="850"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1F</w:t>
            </w: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20"/>
          <w:jc w:val="center"/>
        </w:trPr>
        <w:tc>
          <w:tcPr>
            <w:tcW w:w="850"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2F</w:t>
            </w: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20"/>
          <w:jc w:val="center"/>
        </w:trPr>
        <w:tc>
          <w:tcPr>
            <w:tcW w:w="850"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20"/>
          <w:jc w:val="center"/>
        </w:trPr>
        <w:tc>
          <w:tcPr>
            <w:tcW w:w="850"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26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20"/>
          <w:jc w:val="center"/>
        </w:trPr>
        <w:tc>
          <w:tcPr>
            <w:tcW w:w="850"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B1</w:t>
            </w: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平面</w:t>
            </w:r>
          </w:p>
          <w:p w:rsidR="0018444C" w:rsidRDefault="00980E38">
            <w:pPr>
              <w:jc w:val="center"/>
              <w:rPr>
                <w:rFonts w:ascii="Times New Roman" w:eastAsia="標楷體" w:hAnsi="Times New Roman"/>
              </w:rPr>
            </w:pPr>
            <w:r>
              <w:rPr>
                <w:rFonts w:ascii="Times New Roman" w:eastAsia="標楷體" w:hAnsi="Times New Roman"/>
              </w:rPr>
              <w:t>車位</w:t>
            </w:r>
          </w:p>
        </w:tc>
        <w:tc>
          <w:tcPr>
            <w:tcW w:w="126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20"/>
          <w:jc w:val="center"/>
        </w:trPr>
        <w:tc>
          <w:tcPr>
            <w:tcW w:w="850"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B2</w:t>
            </w: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機械</w:t>
            </w:r>
          </w:p>
          <w:p w:rsidR="0018444C" w:rsidRDefault="00980E38">
            <w:pPr>
              <w:jc w:val="center"/>
              <w:rPr>
                <w:rFonts w:ascii="Times New Roman" w:eastAsia="標楷體" w:hAnsi="Times New Roman"/>
              </w:rPr>
            </w:pPr>
            <w:r>
              <w:rPr>
                <w:rFonts w:ascii="Times New Roman" w:eastAsia="標楷體" w:hAnsi="Times New Roman"/>
              </w:rPr>
              <w:t>車位</w:t>
            </w:r>
          </w:p>
        </w:tc>
        <w:tc>
          <w:tcPr>
            <w:tcW w:w="126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381"/>
          <w:jc w:val="center"/>
        </w:trPr>
        <w:tc>
          <w:tcPr>
            <w:tcW w:w="850" w:type="dxa"/>
            <w:tcBorders>
              <w:top w:val="single" w:sz="6" w:space="0" w:color="000000"/>
              <w:left w:val="double" w:sz="4"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總計</w:t>
            </w:r>
          </w:p>
        </w:tc>
        <w:tc>
          <w:tcPr>
            <w:tcW w:w="849" w:type="dxa"/>
            <w:tcBorders>
              <w:top w:val="single" w:sz="6" w:space="0" w:color="000000"/>
              <w:left w:val="single" w:sz="6" w:space="0" w:color="000000"/>
              <w:bottom w:val="double" w:sz="4"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849"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262"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double" w:sz="4" w:space="0" w:color="000000"/>
              <w:right w:val="single" w:sz="6" w:space="0" w:color="000000"/>
            </w:tcBorders>
            <w:shd w:val="clear" w:color="auto" w:fill="auto"/>
            <w:tcMar>
              <w:top w:w="0" w:type="dxa"/>
              <w:left w:w="10" w:type="dxa"/>
              <w:bottom w:w="0" w:type="dxa"/>
              <w:right w:w="10" w:type="dxa"/>
            </w:tcMar>
          </w:tcPr>
          <w:p w:rsidR="0018444C" w:rsidRDefault="0018444C">
            <w:pPr>
              <w:jc w:val="center"/>
              <w:rPr>
                <w:rFonts w:ascii="Times New Roman" w:eastAsia="標楷體" w:hAnsi="Times New Roman"/>
              </w:rPr>
            </w:pPr>
          </w:p>
        </w:tc>
        <w:tc>
          <w:tcPr>
            <w:tcW w:w="1845" w:type="dxa"/>
            <w:tcBorders>
              <w:top w:val="single" w:sz="6" w:space="0" w:color="000000"/>
              <w:left w:val="single" w:sz="6"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560" w:type="dxa"/>
            <w:tcBorders>
              <w:top w:val="single" w:sz="6" w:space="0" w:color="000000"/>
              <w:left w:val="single" w:sz="6" w:space="0" w:color="000000"/>
              <w:bottom w:val="double" w:sz="4"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jc w:val="center"/>
              <w:rPr>
                <w:rFonts w:ascii="Times New Roman" w:eastAsia="標楷體" w:hAnsi="Times New Roman"/>
              </w:rPr>
            </w:pPr>
          </w:p>
        </w:tc>
      </w:tr>
    </w:tbl>
    <w:p w:rsidR="0018444C" w:rsidRDefault="0018444C">
      <w:pPr>
        <w:pStyle w:val="CCISa"/>
        <w:spacing w:line="400" w:lineRule="exact"/>
        <w:rPr>
          <w:rFonts w:ascii="Times New Roman" w:eastAsia="標楷體" w:hAnsi="Times New Roman"/>
        </w:rPr>
      </w:pPr>
    </w:p>
    <w:p w:rsidR="0018444C" w:rsidRDefault="00980E38">
      <w:pPr>
        <w:pStyle w:val="DefaultText"/>
        <w:numPr>
          <w:ilvl w:val="0"/>
          <w:numId w:val="53"/>
        </w:numPr>
        <w:snapToGrid w:val="0"/>
        <w:spacing w:before="40" w:after="40" w:line="440" w:lineRule="exact"/>
        <w:ind w:left="1786" w:hanging="425"/>
        <w:jc w:val="both"/>
        <w:rPr>
          <w:rFonts w:ascii="Times New Roman" w:eastAsia="標楷體" w:hAnsi="Times New Roman"/>
        </w:rPr>
      </w:pPr>
      <w:r>
        <w:rPr>
          <w:rFonts w:ascii="Times New Roman" w:eastAsia="標楷體" w:hAnsi="Times New Roman"/>
        </w:rPr>
        <w:t>開發成本及各項費用評估</w:t>
      </w:r>
    </w:p>
    <w:p w:rsidR="0018444C" w:rsidRDefault="00980E38">
      <w:pPr>
        <w:pStyle w:val="CCISa"/>
        <w:spacing w:line="400" w:lineRule="exact"/>
        <w:ind w:left="2299" w:hanging="425"/>
        <w:rPr>
          <w:rFonts w:ascii="Times New Roman" w:eastAsia="標楷體" w:hAnsi="Times New Roman"/>
          <w:sz w:val="24"/>
          <w:szCs w:val="24"/>
        </w:rPr>
      </w:pPr>
      <w:r>
        <w:rPr>
          <w:rFonts w:ascii="Times New Roman" w:eastAsia="標楷體" w:hAnsi="Times New Roman"/>
          <w:sz w:val="24"/>
          <w:szCs w:val="24"/>
        </w:rPr>
        <w:lastRenderedPageBreak/>
        <w:t>各項成本費用：經計算後為</w:t>
      </w:r>
      <w:r>
        <w:rPr>
          <w:rFonts w:ascii="Times New Roman" w:eastAsia="標楷體" w:hAnsi="Times New Roman"/>
          <w:sz w:val="24"/>
          <w:szCs w:val="24"/>
        </w:rPr>
        <w:t>____</w:t>
      </w:r>
      <w:r>
        <w:rPr>
          <w:rFonts w:ascii="Times New Roman" w:eastAsia="標楷體" w:hAnsi="Times New Roman"/>
          <w:sz w:val="24"/>
          <w:szCs w:val="24"/>
        </w:rPr>
        <w:t>元，見「未含容積移入之土地開發分析價格表」。</w:t>
      </w: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numPr>
          <w:ilvl w:val="0"/>
          <w:numId w:val="39"/>
        </w:numPr>
        <w:spacing w:before="40" w:after="40" w:line="440" w:lineRule="exact"/>
        <w:ind w:hanging="280"/>
        <w:jc w:val="both"/>
      </w:pPr>
      <w:r>
        <w:rPr>
          <w:rFonts w:ascii="Times New Roman" w:eastAsia="標楷體" w:hAnsi="Times New Roman"/>
          <w:sz w:val="24"/>
          <w:szCs w:val="24"/>
        </w:rPr>
        <w:t>營造成本依據四號公報，並參考</w:t>
      </w:r>
      <w:r>
        <w:rPr>
          <w:rFonts w:ascii="Times New Roman" w:eastAsia="標楷體" w:hAnsi="Times New Roman"/>
          <w:color w:val="FF0000"/>
          <w:sz w:val="24"/>
          <w:szCs w:val="24"/>
        </w:rPr>
        <w:t>委託者提供</w:t>
      </w:r>
      <w:r>
        <w:rPr>
          <w:rFonts w:ascii="Times New Roman" w:eastAsia="標楷體" w:hAnsi="Times New Roman"/>
          <w:sz w:val="24"/>
          <w:szCs w:val="24"/>
        </w:rPr>
        <w:t>之建材設備調整之若委託人未能提供</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的之建材設備等級，估價師則依當地合理房價水準參考中華民國不動產估價師全國聯合會第四號公報訂之，並考量地下室開挖層數、樓層高度、有無連續壁及建築工程類物價指數等因素調整等因素調整，並敘明。</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資本利息綜合利率計算之土地開發年數與建築工期，土地開發年期應依不動產估價技術規則第</w:t>
      </w:r>
      <w:r>
        <w:rPr>
          <w:rFonts w:ascii="Times New Roman" w:eastAsia="標楷體" w:hAnsi="Times New Roman"/>
          <w:sz w:val="24"/>
          <w:szCs w:val="24"/>
        </w:rPr>
        <w:t>80</w:t>
      </w:r>
      <w:r>
        <w:rPr>
          <w:rFonts w:ascii="Times New Roman" w:eastAsia="標楷體" w:hAnsi="Times New Roman"/>
          <w:sz w:val="24"/>
          <w:szCs w:val="24"/>
        </w:rPr>
        <w:t>條規定計算，建築工期則依不動產估價技術規則第</w:t>
      </w:r>
      <w:r>
        <w:rPr>
          <w:rFonts w:ascii="Times New Roman" w:eastAsia="標楷體" w:hAnsi="Times New Roman"/>
          <w:sz w:val="24"/>
          <w:szCs w:val="24"/>
        </w:rPr>
        <w:t>60</w:t>
      </w:r>
      <w:r>
        <w:rPr>
          <w:rFonts w:ascii="Times New Roman" w:eastAsia="標楷體" w:hAnsi="Times New Roman"/>
          <w:sz w:val="24"/>
          <w:szCs w:val="24"/>
        </w:rPr>
        <w:t>條規定計算。另倘</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的屬「</w:t>
      </w:r>
      <w:proofErr w:type="gramStart"/>
      <w:r>
        <w:rPr>
          <w:rFonts w:ascii="Times New Roman" w:eastAsia="標楷體" w:hAnsi="Times New Roman"/>
          <w:sz w:val="24"/>
          <w:szCs w:val="24"/>
        </w:rPr>
        <w:t>臺</w:t>
      </w:r>
      <w:proofErr w:type="gramEnd"/>
      <w:r>
        <w:rPr>
          <w:rFonts w:ascii="Times New Roman" w:eastAsia="標楷體" w:hAnsi="Times New Roman"/>
          <w:sz w:val="24"/>
          <w:szCs w:val="24"/>
        </w:rPr>
        <w:t>南市都市設計及土地使用開發許可審議規則」第二條第一款至第三款之地區，無論是否申辦容積移轉，</w:t>
      </w:r>
      <w:proofErr w:type="gramStart"/>
      <w:r>
        <w:rPr>
          <w:rFonts w:ascii="Times New Roman" w:eastAsia="標楷體" w:hAnsi="Times New Roman"/>
          <w:sz w:val="24"/>
          <w:szCs w:val="24"/>
        </w:rPr>
        <w:t>均需送</w:t>
      </w:r>
      <w:proofErr w:type="gramEnd"/>
      <w:r>
        <w:rPr>
          <w:rFonts w:ascii="Times New Roman" w:eastAsia="標楷體" w:hAnsi="Times New Roman"/>
          <w:sz w:val="24"/>
          <w:szCs w:val="24"/>
        </w:rPr>
        <w:t>本市都市設計及土地使用開發許可審議委員會審議，其容積移入前後之開發年數差距應由估價師合理評估並敘明理由。</w:t>
      </w:r>
    </w:p>
    <w:p w:rsidR="0018444C" w:rsidRDefault="00980E38">
      <w:pPr>
        <w:pStyle w:val="DefaultText"/>
        <w:numPr>
          <w:ilvl w:val="0"/>
          <w:numId w:val="53"/>
        </w:numPr>
        <w:snapToGrid w:val="0"/>
        <w:spacing w:before="40" w:after="40" w:line="440" w:lineRule="exact"/>
        <w:ind w:left="1786" w:hanging="425"/>
        <w:jc w:val="both"/>
        <w:rPr>
          <w:rFonts w:ascii="Times New Roman" w:eastAsia="標楷體" w:hAnsi="Times New Roman"/>
        </w:rPr>
      </w:pPr>
      <w:r>
        <w:rPr>
          <w:rFonts w:ascii="Times New Roman" w:eastAsia="標楷體" w:hAnsi="Times New Roman"/>
        </w:rPr>
        <w:t>未含容積移入之土地開發分析價格</w:t>
      </w:r>
    </w:p>
    <w:p w:rsidR="0018444C" w:rsidRDefault="00980E38">
      <w:pPr>
        <w:pStyle w:val="CCISa"/>
        <w:spacing w:line="400" w:lineRule="exact"/>
        <w:ind w:left="1560" w:firstLine="480"/>
        <w:rPr>
          <w:rFonts w:ascii="Times New Roman" w:eastAsia="標楷體" w:hAnsi="Times New Roman"/>
          <w:sz w:val="24"/>
          <w:szCs w:val="24"/>
        </w:rPr>
      </w:pPr>
      <w:r>
        <w:rPr>
          <w:rFonts w:ascii="Times New Roman" w:eastAsia="標楷體" w:hAnsi="Times New Roman"/>
          <w:sz w:val="24"/>
          <w:szCs w:val="24"/>
        </w:rPr>
        <w:t>經土地開發分析法評估後，求取</w:t>
      </w:r>
      <w:proofErr w:type="gramStart"/>
      <w:r>
        <w:rPr>
          <w:rFonts w:ascii="Times New Roman" w:eastAsia="標楷體" w:hAnsi="Times New Roman"/>
          <w:sz w:val="24"/>
          <w:szCs w:val="24"/>
        </w:rPr>
        <w:t>勘</w:t>
      </w:r>
      <w:proofErr w:type="gramEnd"/>
      <w:r>
        <w:rPr>
          <w:rFonts w:ascii="Times New Roman" w:eastAsia="標楷體" w:hAnsi="Times New Roman"/>
          <w:sz w:val="24"/>
          <w:szCs w:val="24"/>
        </w:rPr>
        <w:t>估建物土地含容積移入時總值為</w:t>
      </w:r>
      <w:r>
        <w:rPr>
          <w:rFonts w:ascii="Times New Roman" w:eastAsia="標楷體" w:hAnsi="Times New Roman"/>
          <w:sz w:val="24"/>
          <w:szCs w:val="24"/>
        </w:rPr>
        <w:t xml:space="preserve"> </w:t>
      </w:r>
      <w:r>
        <w:rPr>
          <w:rFonts w:ascii="Times New Roman" w:eastAsia="標楷體" w:hAnsi="Times New Roman"/>
          <w:sz w:val="24"/>
          <w:szCs w:val="24"/>
        </w:rPr>
        <w:t>元。土地開發分析價格試算表如下表：</w:t>
      </w:r>
    </w:p>
    <w:p w:rsidR="0018444C" w:rsidRDefault="00980E38">
      <w:pPr>
        <w:pStyle w:val="CCISa"/>
        <w:pageBreakBefore/>
        <w:spacing w:line="400" w:lineRule="exact"/>
        <w:jc w:val="center"/>
      </w:pPr>
      <w:r>
        <w:rPr>
          <w:rFonts w:ascii="Times New Roman" w:eastAsia="標楷體" w:hAnsi="Times New Roman"/>
          <w:sz w:val="28"/>
          <w:szCs w:val="24"/>
        </w:rPr>
        <w:lastRenderedPageBreak/>
        <w:t>未含容積移入之土地開發分析價格表</w:t>
      </w:r>
    </w:p>
    <w:tbl>
      <w:tblPr>
        <w:tblW w:w="10841" w:type="dxa"/>
        <w:jc w:val="center"/>
        <w:tblCellMar>
          <w:left w:w="10" w:type="dxa"/>
          <w:right w:w="10" w:type="dxa"/>
        </w:tblCellMar>
        <w:tblLook w:val="0000" w:firstRow="0" w:lastRow="0" w:firstColumn="0" w:lastColumn="0" w:noHBand="0" w:noVBand="0"/>
      </w:tblPr>
      <w:tblGrid>
        <w:gridCol w:w="1380"/>
        <w:gridCol w:w="1701"/>
        <w:gridCol w:w="1740"/>
        <w:gridCol w:w="1540"/>
        <w:gridCol w:w="1520"/>
        <w:gridCol w:w="2960"/>
      </w:tblGrid>
      <w:tr w:rsidR="0018444C">
        <w:trPr>
          <w:trHeight w:val="340"/>
          <w:jc w:val="center"/>
        </w:trPr>
        <w:tc>
          <w:tcPr>
            <w:tcW w:w="10841" w:type="dxa"/>
            <w:gridSpan w:val="6"/>
            <w:tcBorders>
              <w:top w:val="double" w:sz="6" w:space="0" w:color="000000"/>
              <w:left w:val="double" w:sz="6" w:space="0" w:color="000000"/>
              <w:bottom w:val="single" w:sz="6" w:space="0" w:color="000000"/>
              <w:right w:val="double" w:sz="6" w:space="0" w:color="000000"/>
            </w:tcBorders>
            <w:shd w:val="clear" w:color="auto" w:fill="FFFFFF"/>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土地開發分析法計算表</w:t>
            </w:r>
          </w:p>
        </w:tc>
      </w:tr>
      <w:tr w:rsidR="0018444C">
        <w:trPr>
          <w:trHeight w:val="340"/>
          <w:jc w:val="center"/>
        </w:trPr>
        <w:tc>
          <w:tcPr>
            <w:tcW w:w="1380" w:type="dxa"/>
            <w:vMerge w:val="restart"/>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基本資料</w:t>
            </w:r>
          </w:p>
          <w:p w:rsidR="0018444C" w:rsidRDefault="00980E38">
            <w:pPr>
              <w:jc w:val="center"/>
              <w:rPr>
                <w:rFonts w:ascii="Times New Roman" w:eastAsia="標楷體" w:hAnsi="Times New Roman"/>
              </w:rPr>
            </w:pPr>
            <w:r>
              <w:rPr>
                <w:rFonts w:ascii="Times New Roman" w:eastAsia="標楷體" w:hAnsi="Times New Roman"/>
              </w:rPr>
              <w:t>或比</w:t>
            </w:r>
            <w:proofErr w:type="gramStart"/>
            <w:r>
              <w:rPr>
                <w:rFonts w:ascii="Times New Roman" w:eastAsia="標楷體" w:hAnsi="Times New Roman"/>
              </w:rPr>
              <w:t>準</w:t>
            </w:r>
            <w:proofErr w:type="gramEnd"/>
            <w:r>
              <w:rPr>
                <w:rFonts w:ascii="Times New Roman" w:eastAsia="標楷體" w:hAnsi="Times New Roman"/>
              </w:rPr>
              <w:t>地</w:t>
            </w:r>
            <w:proofErr w:type="gramStart"/>
            <w:r>
              <w:rPr>
                <w:rFonts w:ascii="Times New Roman" w:eastAsia="標楷體" w:hAnsi="Times New Roman"/>
              </w:rPr>
              <w:t>）</w:t>
            </w:r>
            <w:proofErr w:type="gramEnd"/>
          </w:p>
          <w:p w:rsidR="0018444C" w:rsidRDefault="00980E38">
            <w:pPr>
              <w:jc w:val="center"/>
              <w:rPr>
                <w:rFonts w:ascii="Times New Roman" w:eastAsia="標楷體" w:hAnsi="Times New Roman"/>
              </w:rPr>
            </w:pPr>
            <w:proofErr w:type="gramStart"/>
            <w:r>
              <w:rPr>
                <w:rFonts w:ascii="Times New Roman" w:eastAsia="標楷體" w:hAnsi="Times New Roman"/>
              </w:rPr>
              <w:t>勘</w:t>
            </w:r>
            <w:proofErr w:type="gramEnd"/>
            <w:r>
              <w:rPr>
                <w:rFonts w:ascii="Times New Roman" w:eastAsia="標楷體" w:hAnsi="Times New Roman"/>
              </w:rPr>
              <w:t>估建物</w:t>
            </w:r>
            <w:proofErr w:type="gramStart"/>
            <w:r>
              <w:rPr>
                <w:rFonts w:ascii="Times New Roman" w:eastAsia="標楷體" w:hAnsi="Times New Roman"/>
              </w:rPr>
              <w:t>（</w:t>
            </w:r>
            <w:proofErr w:type="gramEnd"/>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土地座落</w:t>
            </w:r>
          </w:p>
        </w:tc>
        <w:tc>
          <w:tcPr>
            <w:tcW w:w="7760" w:type="dxa"/>
            <w:gridSpan w:val="4"/>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土地面積</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proofErr w:type="gramStart"/>
            <w:r>
              <w:rPr>
                <w:rFonts w:ascii="Times New Roman" w:eastAsia="標楷體" w:hAnsi="Times New Roman"/>
              </w:rPr>
              <w:t>㎡</w:t>
            </w:r>
            <w:proofErr w:type="gramEnd"/>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坪</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使用分區</w:t>
            </w:r>
          </w:p>
        </w:tc>
        <w:tc>
          <w:tcPr>
            <w:tcW w:w="7760" w:type="dxa"/>
            <w:gridSpan w:val="4"/>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建蔽率％</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proofErr w:type="gramStart"/>
            <w:r>
              <w:rPr>
                <w:rFonts w:ascii="Times New Roman" w:eastAsia="標楷體" w:hAnsi="Times New Roman"/>
              </w:rPr>
              <w:t>實設容積率</w:t>
            </w:r>
            <w:proofErr w:type="gramEnd"/>
            <w:r>
              <w:rPr>
                <w:rFonts w:ascii="Times New Roman" w:eastAsia="標楷體" w:hAnsi="Times New Roman"/>
              </w:rPr>
              <w:t>％</w:t>
            </w:r>
          </w:p>
        </w:tc>
        <w:tc>
          <w:tcPr>
            <w:tcW w:w="4480"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val="restart"/>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規劃</w:t>
            </w:r>
          </w:p>
          <w:p w:rsidR="0018444C" w:rsidRDefault="00980E38">
            <w:pPr>
              <w:jc w:val="center"/>
              <w:rPr>
                <w:rFonts w:ascii="Times New Roman" w:eastAsia="標楷體" w:hAnsi="Times New Roman"/>
              </w:rPr>
            </w:pPr>
            <w:r>
              <w:rPr>
                <w:rFonts w:ascii="Times New Roman" w:eastAsia="標楷體" w:hAnsi="Times New Roman"/>
              </w:rPr>
              <w:t>開發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規劃樓層數</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地上層數</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地下層數</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結構種類</w:t>
            </w:r>
          </w:p>
        </w:tc>
        <w:tc>
          <w:tcPr>
            <w:tcW w:w="7760" w:type="dxa"/>
            <w:gridSpan w:val="4"/>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地下室開挖率</w:t>
            </w:r>
            <w:r>
              <w:rPr>
                <w:rFonts w:ascii="Times New Roman" w:eastAsia="標楷體" w:hAnsi="Times New Roman"/>
              </w:rPr>
              <w:t>%</w:t>
            </w:r>
          </w:p>
        </w:tc>
        <w:tc>
          <w:tcPr>
            <w:tcW w:w="7760" w:type="dxa"/>
            <w:gridSpan w:val="4"/>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val="restart"/>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總銷售金額計算</w:t>
            </w:r>
            <w:r>
              <w:rPr>
                <w:rFonts w:ascii="Times New Roman" w:eastAsia="標楷體" w:hAnsi="Times New Roman"/>
              </w:rPr>
              <w:t>(S)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樓層</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用途</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可銷售面積</w:t>
            </w:r>
            <w:r>
              <w:rPr>
                <w:rFonts w:ascii="Times New Roman" w:eastAsia="標楷體" w:hAnsi="Times New Roman"/>
              </w:rPr>
              <w:br/>
              <w:t>(</w:t>
            </w:r>
            <w:r>
              <w:rPr>
                <w:rFonts w:ascii="Times New Roman" w:eastAsia="標楷體" w:hAnsi="Times New Roman"/>
              </w:rPr>
              <w:t>坪</w:t>
            </w: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平均銷售單價</w:t>
            </w:r>
            <w:r>
              <w:rPr>
                <w:rFonts w:ascii="Times New Roman" w:eastAsia="標楷體" w:hAnsi="Times New Roman"/>
              </w:rPr>
              <w:t>(</w:t>
            </w:r>
            <w:r>
              <w:rPr>
                <w:rFonts w:ascii="Times New Roman" w:eastAsia="標楷體" w:hAnsi="Times New Roman"/>
              </w:rPr>
              <w:t>元</w:t>
            </w:r>
            <w:r>
              <w:rPr>
                <w:rFonts w:ascii="Times New Roman" w:eastAsia="標楷體" w:hAnsi="Times New Roman"/>
              </w:rPr>
              <w:t>/</w:t>
            </w:r>
            <w:r>
              <w:rPr>
                <w:rFonts w:ascii="Times New Roman" w:eastAsia="標楷體" w:hAnsi="Times New Roman"/>
              </w:rPr>
              <w:t>坪</w:t>
            </w:r>
            <w:r>
              <w:rPr>
                <w:rFonts w:ascii="Times New Roman" w:eastAsia="標楷體" w:hAnsi="Times New Roman"/>
              </w:rPr>
              <w:t>)</w:t>
            </w:r>
          </w:p>
        </w:tc>
        <w:tc>
          <w:tcPr>
            <w:tcW w:w="2960" w:type="dxa"/>
            <w:tcBorders>
              <w:top w:val="single" w:sz="6" w:space="0" w:color="000000"/>
              <w:left w:val="single" w:sz="6" w:space="0" w:color="000000"/>
              <w:bottom w:val="single" w:sz="6" w:space="0" w:color="000000"/>
              <w:right w:val="doub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總銷售金額</w:t>
            </w:r>
            <w:r>
              <w:rPr>
                <w:rFonts w:ascii="Times New Roman" w:eastAsia="標楷體" w:hAnsi="Times New Roman"/>
              </w:rPr>
              <w:br/>
              <w:t>(</w:t>
            </w:r>
            <w:r>
              <w:rPr>
                <w:rFonts w:ascii="Times New Roman" w:eastAsia="標楷體" w:hAnsi="Times New Roman"/>
              </w:rPr>
              <w:t>元</w:t>
            </w: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合計</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3081" w:type="dxa"/>
            <w:gridSpan w:val="2"/>
            <w:tcBorders>
              <w:top w:val="single" w:sz="6" w:space="0" w:color="000000"/>
              <w:left w:val="doub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利潤率計算（</w:t>
            </w:r>
            <w:r>
              <w:rPr>
                <w:rFonts w:ascii="Times New Roman" w:eastAsia="標楷體" w:hAnsi="Times New Roman"/>
              </w:rPr>
              <w:t>R</w:t>
            </w:r>
            <w:r>
              <w:rPr>
                <w:rFonts w:ascii="Times New Roman" w:eastAsia="標楷體" w:hAnsi="Times New Roman"/>
              </w:rPr>
              <w:t>）</w:t>
            </w:r>
          </w:p>
        </w:tc>
        <w:tc>
          <w:tcPr>
            <w:tcW w:w="7760" w:type="dxa"/>
            <w:gridSpan w:val="4"/>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r>
      <w:tr w:rsidR="0018444C">
        <w:trPr>
          <w:trHeight w:val="340"/>
          <w:jc w:val="center"/>
        </w:trPr>
        <w:tc>
          <w:tcPr>
            <w:tcW w:w="1380" w:type="dxa"/>
            <w:vMerge w:val="restart"/>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(I)</w:t>
            </w:r>
          </w:p>
          <w:p w:rsidR="0018444C" w:rsidRDefault="00980E38">
            <w:pPr>
              <w:jc w:val="center"/>
              <w:rPr>
                <w:rFonts w:ascii="Times New Roman" w:eastAsia="標楷體" w:hAnsi="Times New Roman"/>
              </w:rPr>
            </w:pPr>
            <w:r>
              <w:rPr>
                <w:rFonts w:ascii="Times New Roman" w:eastAsia="標楷體" w:hAnsi="Times New Roman"/>
              </w:rPr>
              <w:t>合利率計算</w:t>
            </w:r>
          </w:p>
          <w:p w:rsidR="0018444C" w:rsidRDefault="00980E38">
            <w:pPr>
              <w:jc w:val="center"/>
              <w:rPr>
                <w:rFonts w:ascii="Times New Roman" w:eastAsia="標楷體" w:hAnsi="Times New Roman"/>
              </w:rPr>
            </w:pPr>
            <w:r>
              <w:rPr>
                <w:rFonts w:ascii="Times New Roman" w:eastAsia="標楷體" w:hAnsi="Times New Roman"/>
              </w:rPr>
              <w:t>資本利息綜</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資金來源</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利率</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資金比例</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年利率</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資本利息綜合利率</w:t>
            </w:r>
            <w:r>
              <w:rPr>
                <w:rFonts w:ascii="Times New Roman" w:eastAsia="標楷體" w:hAnsi="Times New Roman"/>
              </w:rPr>
              <w:t>(i)</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自有資金</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vMerge w:val="restart"/>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依不動產估價技術規則第</w:t>
            </w:r>
            <w:r>
              <w:rPr>
                <w:rFonts w:ascii="Times New Roman" w:eastAsia="標楷體" w:hAnsi="Times New Roman"/>
              </w:rPr>
              <w:t>79</w:t>
            </w:r>
            <w:r>
              <w:rPr>
                <w:rFonts w:ascii="Times New Roman" w:eastAsia="標楷體" w:hAnsi="Times New Roman"/>
              </w:rPr>
              <w:t>條辦理。</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借貸資金</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c>
          <w:tcPr>
            <w:tcW w:w="2960" w:type="dxa"/>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color w:val="FF0000"/>
              </w:rPr>
            </w:pPr>
            <w:r>
              <w:rPr>
                <w:rFonts w:ascii="Times New Roman" w:eastAsia="標楷體" w:hAnsi="Times New Roman"/>
                <w:color w:val="FF0000"/>
              </w:rPr>
              <w:t>土地價值比率</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color w:val="FF0000"/>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pPr>
            <w:r>
              <w:rPr>
                <w:rFonts w:ascii="Times New Roman" w:eastAsia="標楷體" w:hAnsi="Times New Roman"/>
                <w:color w:val="FF0000"/>
              </w:rPr>
              <w:t>建物價值比率</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c>
          <w:tcPr>
            <w:tcW w:w="2960" w:type="dxa"/>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開發年數</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18444C" w:rsidRDefault="00980E38">
            <w:pPr>
              <w:jc w:val="center"/>
            </w:pPr>
            <w:r>
              <w:rPr>
                <w:rFonts w:ascii="Times New Roman" w:eastAsia="標楷體" w:hAnsi="Times New Roman"/>
                <w:color w:val="FF0000"/>
              </w:rPr>
              <w:t>建築年數</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18444C" w:rsidRDefault="0018444C">
            <w:pPr>
              <w:jc w:val="center"/>
              <w:rPr>
                <w:rFonts w:ascii="Times New Roman" w:eastAsia="標楷體" w:hAnsi="Times New Roman"/>
              </w:rPr>
            </w:pPr>
          </w:p>
        </w:tc>
        <w:tc>
          <w:tcPr>
            <w:tcW w:w="2960" w:type="dxa"/>
            <w:vMerge/>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rPr>
            </w:pPr>
          </w:p>
        </w:tc>
      </w:tr>
      <w:tr w:rsidR="0018444C">
        <w:trPr>
          <w:trHeight w:val="340"/>
          <w:jc w:val="center"/>
        </w:trPr>
        <w:tc>
          <w:tcPr>
            <w:tcW w:w="1380" w:type="dxa"/>
            <w:vMerge w:val="restart"/>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成本計算</w:t>
            </w:r>
            <w:r>
              <w:rPr>
                <w:rFonts w:ascii="Times New Roman" w:eastAsia="標楷體" w:hAnsi="Times New Roman"/>
              </w:rPr>
              <w:t>(C)+(M)</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項目</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細項</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單價；費率</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金額</w:t>
            </w:r>
            <w:r>
              <w:rPr>
                <w:rFonts w:ascii="Times New Roman" w:eastAsia="標楷體" w:hAnsi="Times New Roman"/>
              </w:rPr>
              <w:t>(</w:t>
            </w:r>
            <w:r>
              <w:rPr>
                <w:rFonts w:ascii="Times New Roman" w:eastAsia="標楷體" w:hAnsi="Times New Roman"/>
              </w:rPr>
              <w:t>元</w:t>
            </w:r>
            <w:r>
              <w:rPr>
                <w:rFonts w:ascii="Times New Roman" w:eastAsia="標楷體" w:hAnsi="Times New Roman"/>
              </w:rPr>
              <w:t>)</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備註</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直接成本</w:t>
            </w:r>
            <w:r>
              <w:rPr>
                <w:rFonts w:ascii="Times New Roman" w:eastAsia="標楷體" w:hAnsi="Times New Roman"/>
              </w:rPr>
              <w:t xml:space="preserve"> (C)</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營造或施工費單價</w:t>
            </w:r>
            <w:r>
              <w:rPr>
                <w:rFonts w:ascii="Times New Roman" w:eastAsia="標楷體" w:hAnsi="Times New Roman"/>
              </w:rPr>
              <w:t>(</w:t>
            </w:r>
            <w:r>
              <w:rPr>
                <w:rFonts w:ascii="Times New Roman" w:eastAsia="標楷體" w:hAnsi="Times New Roman"/>
              </w:rPr>
              <w:t>元</w:t>
            </w:r>
            <w:r>
              <w:rPr>
                <w:rFonts w:ascii="Times New Roman" w:eastAsia="標楷體" w:hAnsi="Times New Roman"/>
              </w:rPr>
              <w:t>/</w:t>
            </w:r>
            <w:r>
              <w:rPr>
                <w:rFonts w:ascii="Times New Roman" w:eastAsia="標楷體" w:hAnsi="Times New Roman"/>
              </w:rPr>
              <w:t>坪</w:t>
            </w:r>
            <w:r>
              <w:rPr>
                <w:rFonts w:ascii="Times New Roman" w:eastAsia="標楷體" w:hAnsi="Times New Roman"/>
              </w:rPr>
              <w:t>)</w:t>
            </w:r>
          </w:p>
        </w:tc>
        <w:tc>
          <w:tcPr>
            <w:tcW w:w="15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按中華民國不動產估價師公會全國聯合會第四號公報計算</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間接成本</w:t>
            </w:r>
            <w:r>
              <w:rPr>
                <w:rFonts w:ascii="Times New Roman" w:eastAsia="標楷體" w:hAnsi="Times New Roman"/>
              </w:rPr>
              <w:t xml:space="preserve"> (M)</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規劃設計費</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按實際營造施工費之</w:t>
            </w:r>
            <w:r>
              <w:rPr>
                <w:rFonts w:ascii="Times New Roman" w:eastAsia="標楷體" w:hAnsi="Times New Roman"/>
              </w:rPr>
              <w:t>2%~3%</w:t>
            </w:r>
            <w:r>
              <w:rPr>
                <w:rFonts w:ascii="Times New Roman" w:eastAsia="標楷體" w:hAnsi="Times New Roman"/>
              </w:rPr>
              <w:t>推估</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廣告費銷售費</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總銷售金額之</w:t>
            </w:r>
            <w:r>
              <w:rPr>
                <w:rFonts w:ascii="Times New Roman" w:eastAsia="標楷體" w:hAnsi="Times New Roman"/>
              </w:rPr>
              <w:t>3%~7%</w:t>
            </w:r>
            <w:r>
              <w:rPr>
                <w:rFonts w:ascii="Times New Roman" w:eastAsia="標楷體" w:hAnsi="Times New Roman"/>
              </w:rPr>
              <w:t>推估</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管理費</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不含公寓大廈管理條例規定設立公共基金者，按總銷售金額之</w:t>
            </w:r>
            <w:r>
              <w:rPr>
                <w:rFonts w:ascii="Times New Roman" w:eastAsia="標楷體" w:hAnsi="Times New Roman"/>
              </w:rPr>
              <w:t>1.5%~3%</w:t>
            </w:r>
            <w:r>
              <w:rPr>
                <w:rFonts w:ascii="Times New Roman" w:eastAsia="標楷體" w:hAnsi="Times New Roman"/>
              </w:rPr>
              <w:t>推估。含公寓大廈管理條例規定設立公共基金者，按總銷售金額之</w:t>
            </w:r>
            <w:r>
              <w:rPr>
                <w:rFonts w:ascii="Times New Roman" w:eastAsia="標楷體" w:hAnsi="Times New Roman"/>
              </w:rPr>
              <w:t>4%~5%</w:t>
            </w:r>
            <w:r>
              <w:rPr>
                <w:rFonts w:ascii="Times New Roman" w:eastAsia="標楷體" w:hAnsi="Times New Roman"/>
              </w:rPr>
              <w:t>推估</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17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稅捐及其他負擔</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總銷售金額之</w:t>
            </w:r>
            <w:r>
              <w:rPr>
                <w:rFonts w:ascii="Times New Roman" w:eastAsia="標楷體" w:hAnsi="Times New Roman"/>
              </w:rPr>
              <w:t>0.5%~1.2%</w:t>
            </w:r>
            <w:r>
              <w:rPr>
                <w:rFonts w:ascii="Times New Roman" w:eastAsia="標楷體" w:hAnsi="Times New Roman"/>
              </w:rPr>
              <w:t>推估</w:t>
            </w:r>
          </w:p>
        </w:tc>
      </w:tr>
      <w:tr w:rsidR="0018444C">
        <w:trPr>
          <w:trHeight w:val="340"/>
          <w:jc w:val="center"/>
        </w:trPr>
        <w:tc>
          <w:tcPr>
            <w:tcW w:w="1380" w:type="dxa"/>
            <w:vMerge/>
            <w:tcBorders>
              <w:top w:val="single" w:sz="6" w:space="0" w:color="000000"/>
              <w:left w:val="doub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rsidR="0018444C" w:rsidRDefault="0018444C">
            <w:pPr>
              <w:rPr>
                <w:rFonts w:ascii="Times New Roman" w:eastAsia="標楷體" w:hAnsi="Times New Roman"/>
              </w:rPr>
            </w:pPr>
          </w:p>
        </w:tc>
        <w:tc>
          <w:tcPr>
            <w:tcW w:w="34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合計</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15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 xml:space="preserve">　</w:t>
            </w:r>
          </w:p>
        </w:tc>
        <w:tc>
          <w:tcPr>
            <w:tcW w:w="2960" w:type="dxa"/>
            <w:tcBorders>
              <w:top w:val="single" w:sz="6" w:space="0" w:color="000000"/>
              <w:left w:val="single" w:sz="4"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rPr>
            </w:pPr>
          </w:p>
        </w:tc>
      </w:tr>
      <w:tr w:rsidR="0018444C">
        <w:trPr>
          <w:trHeight w:val="535"/>
          <w:jc w:val="center"/>
        </w:trPr>
        <w:tc>
          <w:tcPr>
            <w:tcW w:w="4821" w:type="dxa"/>
            <w:gridSpan w:val="3"/>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rPr>
            </w:pPr>
            <w:r>
              <w:rPr>
                <w:rFonts w:ascii="Times New Roman" w:eastAsia="標楷體" w:hAnsi="Times New Roman"/>
              </w:rPr>
              <w:t>土地總價格</w:t>
            </w:r>
            <w:r>
              <w:rPr>
                <w:rFonts w:ascii="Times New Roman" w:eastAsia="標楷體" w:hAnsi="Times New Roman"/>
              </w:rPr>
              <w:t>(V)</w:t>
            </w:r>
            <w:r>
              <w:rPr>
                <w:rFonts w:ascii="Times New Roman" w:eastAsia="標楷體" w:hAnsi="Times New Roman"/>
              </w:rPr>
              <w:br/>
              <w:t>(</w:t>
            </w:r>
            <w:r>
              <w:rPr>
                <w:rFonts w:ascii="Times New Roman" w:eastAsia="標楷體" w:hAnsi="Times New Roman"/>
              </w:rPr>
              <w:t>公式</w:t>
            </w:r>
            <w:r>
              <w:rPr>
                <w:rFonts w:ascii="Times New Roman" w:eastAsia="標楷體" w:hAnsi="Times New Roman"/>
              </w:rPr>
              <w:t>) V=S÷(1+R)÷(1+i)-(C+M)</w:t>
            </w:r>
          </w:p>
        </w:tc>
        <w:tc>
          <w:tcPr>
            <w:tcW w:w="3060" w:type="dxa"/>
            <w:gridSpan w:val="2"/>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rPr>
            </w:pPr>
          </w:p>
        </w:tc>
        <w:tc>
          <w:tcPr>
            <w:tcW w:w="2960" w:type="dxa"/>
            <w:tcBorders>
              <w:top w:val="single" w:sz="6"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18444C" w:rsidRDefault="00980E38">
            <w:pPr>
              <w:ind w:left="152"/>
              <w:jc w:val="center"/>
              <w:rPr>
                <w:rFonts w:ascii="Times New Roman" w:eastAsia="標楷體" w:hAnsi="Times New Roman"/>
              </w:rPr>
            </w:pPr>
            <w:r>
              <w:rPr>
                <w:rFonts w:ascii="Times New Roman" w:eastAsia="標楷體" w:hAnsi="Times New Roman"/>
              </w:rPr>
              <w:t>土地總價格以單價表示</w:t>
            </w:r>
          </w:p>
        </w:tc>
      </w:tr>
    </w:tbl>
    <w:p w:rsidR="0018444C" w:rsidRDefault="0018444C">
      <w:pPr>
        <w:pStyle w:val="DefaultText"/>
        <w:spacing w:before="40" w:after="40" w:line="440" w:lineRule="exact"/>
        <w:ind w:left="1560"/>
        <w:jc w:val="both"/>
        <w:rPr>
          <w:rFonts w:ascii="Times New Roman" w:eastAsia="標楷體" w:hAnsi="Times New Roman"/>
          <w:sz w:val="24"/>
          <w:szCs w:val="24"/>
        </w:rPr>
      </w:pPr>
    </w:p>
    <w:p w:rsidR="0018444C" w:rsidRDefault="0018444C">
      <w:pPr>
        <w:pageBreakBefore/>
        <w:widowControl/>
        <w:rPr>
          <w:rFonts w:ascii="Times New Roman" w:eastAsia="標楷體" w:hAnsi="Times New Roman"/>
        </w:rPr>
      </w:pPr>
    </w:p>
    <w:p w:rsidR="0018444C" w:rsidRDefault="00980E38">
      <w:pPr>
        <w:pStyle w:val="DefaultText"/>
        <w:spacing w:before="40" w:after="40" w:line="440" w:lineRule="exact"/>
        <w:ind w:left="1560"/>
        <w:jc w:val="both"/>
        <w:rPr>
          <w:rFonts w:ascii="Times New Roman" w:eastAsia="標楷體" w:hAnsi="Times New Roman"/>
          <w:sz w:val="24"/>
          <w:szCs w:val="24"/>
        </w:rPr>
      </w:pPr>
      <w:r>
        <w:rPr>
          <w:rFonts w:ascii="Times New Roman" w:eastAsia="標楷體" w:hAnsi="Times New Roman"/>
          <w:sz w:val="24"/>
          <w:szCs w:val="24"/>
        </w:rPr>
        <w:t>《注意須知》</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於計算</w:t>
      </w:r>
      <w:proofErr w:type="gramStart"/>
      <w:r>
        <w:rPr>
          <w:rFonts w:ascii="Times New Roman" w:eastAsia="標楷體" w:hAnsi="Times New Roman"/>
          <w:sz w:val="24"/>
          <w:szCs w:val="24"/>
        </w:rPr>
        <w:t>勘</w:t>
      </w:r>
      <w:proofErr w:type="gramEnd"/>
      <w:r>
        <w:rPr>
          <w:rFonts w:ascii="Times New Roman" w:eastAsia="標楷體" w:hAnsi="Times New Roman"/>
          <w:sz w:val="24"/>
          <w:szCs w:val="24"/>
        </w:rPr>
        <w:t>估土地未含容積移入之價值時，其投資利潤利率可參考下表調整之：</w:t>
      </w:r>
    </w:p>
    <w:tbl>
      <w:tblPr>
        <w:tblW w:w="8418" w:type="dxa"/>
        <w:tblInd w:w="1729" w:type="dxa"/>
        <w:tblCellMar>
          <w:left w:w="10" w:type="dxa"/>
          <w:right w:w="10" w:type="dxa"/>
        </w:tblCellMar>
        <w:tblLook w:val="0000" w:firstRow="0" w:lastRow="0" w:firstColumn="0" w:lastColumn="0" w:noHBand="0" w:noVBand="0"/>
      </w:tblPr>
      <w:tblGrid>
        <w:gridCol w:w="1364"/>
        <w:gridCol w:w="1009"/>
        <w:gridCol w:w="984"/>
        <w:gridCol w:w="1010"/>
        <w:gridCol w:w="1021"/>
        <w:gridCol w:w="1010"/>
        <w:gridCol w:w="1010"/>
        <w:gridCol w:w="1010"/>
      </w:tblGrid>
      <w:tr w:rsidR="0018444C">
        <w:trPr>
          <w:trHeight w:val="585"/>
        </w:trPr>
        <w:tc>
          <w:tcPr>
            <w:tcW w:w="136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rPr>
            </w:pPr>
            <w:r>
              <w:rPr>
                <w:rFonts w:ascii="Times New Roman" w:eastAsia="標楷體" w:hAnsi="Times New Roman"/>
              </w:rPr>
              <w:t>開發年期</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p>
        </w:tc>
        <w:tc>
          <w:tcPr>
            <w:tcW w:w="1009"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sz w:val="20"/>
                <w:szCs w:val="20"/>
              </w:rPr>
            </w:pPr>
            <w:r>
              <w:rPr>
                <w:rFonts w:ascii="Times New Roman" w:eastAsia="標楷體" w:hAnsi="Times New Roman" w:cs="Times New Roman"/>
                <w:sz w:val="20"/>
                <w:szCs w:val="20"/>
              </w:rPr>
              <w:t>未滿</w:t>
            </w:r>
            <w:r>
              <w:rPr>
                <w:rFonts w:ascii="Times New Roman" w:eastAsia="標楷體" w:hAnsi="Times New Roman" w:cs="Times New Roman"/>
                <w:sz w:val="20"/>
                <w:szCs w:val="20"/>
              </w:rPr>
              <w:t>1.5</w:t>
            </w:r>
          </w:p>
        </w:tc>
        <w:tc>
          <w:tcPr>
            <w:tcW w:w="984"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18444C" w:rsidRDefault="00980E38">
            <w:pPr>
              <w:pStyle w:val="Web"/>
              <w:spacing w:before="0" w:after="0"/>
              <w:jc w:val="center"/>
              <w:textAlignment w:val="center"/>
              <w:rPr>
                <w:rFonts w:ascii="Times New Roman" w:eastAsia="標楷體" w:hAnsi="Times New Roman" w:cs="Times New Roman"/>
                <w:sz w:val="20"/>
                <w:szCs w:val="20"/>
              </w:rPr>
            </w:pPr>
            <w:r>
              <w:rPr>
                <w:rFonts w:ascii="Times New Roman" w:eastAsia="標楷體" w:hAnsi="Times New Roman" w:cs="Times New Roman"/>
                <w:sz w:val="20"/>
                <w:szCs w:val="20"/>
              </w:rPr>
              <w:t>1.5</w:t>
            </w:r>
            <w:r>
              <w:rPr>
                <w:rFonts w:ascii="Times New Roman" w:eastAsia="標楷體" w:hAnsi="Times New Roman" w:cs="Times New Roman"/>
                <w:sz w:val="20"/>
                <w:szCs w:val="20"/>
              </w:rPr>
              <w:t>以上</w:t>
            </w:r>
            <w:r>
              <w:rPr>
                <w:rFonts w:ascii="Times New Roman" w:eastAsia="標楷體" w:hAnsi="Times New Roman" w:cs="Times New Roman"/>
                <w:sz w:val="20"/>
                <w:szCs w:val="20"/>
              </w:rPr>
              <w:t>~</w:t>
            </w:r>
            <w:r>
              <w:rPr>
                <w:rFonts w:ascii="Times New Roman" w:eastAsia="標楷體" w:hAnsi="Times New Roman" w:cs="Times New Roman"/>
                <w:sz w:val="20"/>
                <w:szCs w:val="20"/>
              </w:rPr>
              <w:t>未滿</w:t>
            </w:r>
            <w:r>
              <w:rPr>
                <w:rFonts w:ascii="Times New Roman" w:eastAsia="標楷體" w:hAnsi="Times New Roman" w:cs="Times New Roman"/>
                <w:sz w:val="20"/>
                <w:szCs w:val="20"/>
              </w:rPr>
              <w:t>2.0</w:t>
            </w:r>
          </w:p>
        </w:tc>
        <w:tc>
          <w:tcPr>
            <w:tcW w:w="101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sz w:val="20"/>
                <w:szCs w:val="20"/>
              </w:rPr>
            </w:pPr>
            <w:r>
              <w:rPr>
                <w:rFonts w:ascii="Times New Roman" w:eastAsia="標楷體" w:hAnsi="Times New Roman" w:cs="Times New Roman"/>
                <w:sz w:val="20"/>
                <w:szCs w:val="20"/>
              </w:rPr>
              <w:t>2.0</w:t>
            </w:r>
            <w:r>
              <w:rPr>
                <w:rFonts w:ascii="Times New Roman" w:eastAsia="標楷體" w:hAnsi="Times New Roman" w:cs="Times New Roman"/>
                <w:sz w:val="20"/>
                <w:szCs w:val="20"/>
              </w:rPr>
              <w:t>以上</w:t>
            </w:r>
            <w:r>
              <w:rPr>
                <w:rFonts w:ascii="Times New Roman" w:eastAsia="標楷體" w:hAnsi="Times New Roman" w:cs="Times New Roman"/>
                <w:sz w:val="20"/>
                <w:szCs w:val="20"/>
              </w:rPr>
              <w:t>~</w:t>
            </w:r>
            <w:r>
              <w:rPr>
                <w:rFonts w:ascii="Times New Roman" w:eastAsia="標楷體" w:hAnsi="Times New Roman" w:cs="Times New Roman"/>
                <w:sz w:val="20"/>
                <w:szCs w:val="20"/>
              </w:rPr>
              <w:t>未滿</w:t>
            </w:r>
            <w:r>
              <w:rPr>
                <w:rFonts w:ascii="Times New Roman" w:eastAsia="標楷體" w:hAnsi="Times New Roman" w:cs="Times New Roman"/>
                <w:sz w:val="20"/>
                <w:szCs w:val="20"/>
              </w:rPr>
              <w:t xml:space="preserve">2.5 </w:t>
            </w:r>
          </w:p>
        </w:tc>
        <w:tc>
          <w:tcPr>
            <w:tcW w:w="1021"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sz w:val="20"/>
                <w:szCs w:val="20"/>
              </w:rPr>
            </w:pPr>
            <w:r>
              <w:rPr>
                <w:rFonts w:ascii="Times New Roman" w:eastAsia="標楷體" w:hAnsi="Times New Roman" w:cs="Times New Roman"/>
                <w:sz w:val="20"/>
                <w:szCs w:val="20"/>
              </w:rPr>
              <w:t>2.5~</w:t>
            </w:r>
            <w:r>
              <w:rPr>
                <w:rFonts w:ascii="Times New Roman" w:eastAsia="標楷體" w:hAnsi="Times New Roman" w:cs="Times New Roman"/>
                <w:sz w:val="20"/>
                <w:szCs w:val="20"/>
              </w:rPr>
              <w:t>未滿</w:t>
            </w:r>
            <w:r>
              <w:rPr>
                <w:rFonts w:ascii="Times New Roman" w:eastAsia="標楷體" w:hAnsi="Times New Roman" w:cs="Times New Roman"/>
                <w:sz w:val="20"/>
                <w:szCs w:val="20"/>
              </w:rPr>
              <w:t xml:space="preserve">3.0 </w:t>
            </w:r>
          </w:p>
        </w:tc>
        <w:tc>
          <w:tcPr>
            <w:tcW w:w="1010"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sz w:val="20"/>
                <w:szCs w:val="20"/>
              </w:rPr>
            </w:pPr>
            <w:r>
              <w:rPr>
                <w:rFonts w:ascii="Times New Roman" w:eastAsia="標楷體" w:hAnsi="Times New Roman" w:cs="Times New Roman"/>
                <w:sz w:val="20"/>
                <w:szCs w:val="20"/>
              </w:rPr>
              <w:t>3.0</w:t>
            </w:r>
            <w:r>
              <w:rPr>
                <w:rFonts w:ascii="Times New Roman" w:eastAsia="標楷體" w:hAnsi="Times New Roman" w:cs="Times New Roman"/>
                <w:sz w:val="20"/>
                <w:szCs w:val="20"/>
              </w:rPr>
              <w:t>以上</w:t>
            </w:r>
            <w:r>
              <w:rPr>
                <w:rFonts w:ascii="Times New Roman" w:eastAsia="標楷體" w:hAnsi="Times New Roman" w:cs="Times New Roman"/>
                <w:sz w:val="20"/>
                <w:szCs w:val="20"/>
              </w:rPr>
              <w:t>~</w:t>
            </w:r>
            <w:r>
              <w:rPr>
                <w:rFonts w:ascii="Times New Roman" w:eastAsia="標楷體" w:hAnsi="Times New Roman" w:cs="Times New Roman"/>
                <w:sz w:val="20"/>
                <w:szCs w:val="20"/>
              </w:rPr>
              <w:t>未滿</w:t>
            </w:r>
            <w:r>
              <w:rPr>
                <w:rFonts w:ascii="Times New Roman" w:eastAsia="標楷體" w:hAnsi="Times New Roman" w:cs="Times New Roman"/>
                <w:sz w:val="20"/>
                <w:szCs w:val="20"/>
              </w:rPr>
              <w:t>3.5</w:t>
            </w:r>
          </w:p>
        </w:tc>
        <w:tc>
          <w:tcPr>
            <w:tcW w:w="1010"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sz w:val="20"/>
                <w:szCs w:val="20"/>
              </w:rPr>
            </w:pPr>
            <w:r>
              <w:rPr>
                <w:rFonts w:ascii="Times New Roman" w:eastAsia="標楷體" w:hAnsi="Times New Roman" w:cs="Times New Roman"/>
                <w:sz w:val="20"/>
                <w:szCs w:val="20"/>
              </w:rPr>
              <w:t>3.5</w:t>
            </w:r>
            <w:r>
              <w:rPr>
                <w:rFonts w:ascii="Times New Roman" w:eastAsia="標楷體" w:hAnsi="Times New Roman" w:cs="Times New Roman"/>
                <w:sz w:val="20"/>
                <w:szCs w:val="20"/>
              </w:rPr>
              <w:t>以上</w:t>
            </w:r>
            <w:r>
              <w:rPr>
                <w:rFonts w:ascii="Times New Roman" w:eastAsia="標楷體" w:hAnsi="Times New Roman" w:cs="Times New Roman"/>
                <w:sz w:val="20"/>
                <w:szCs w:val="20"/>
              </w:rPr>
              <w:t>~</w:t>
            </w:r>
            <w:r>
              <w:rPr>
                <w:rFonts w:ascii="Times New Roman" w:eastAsia="標楷體" w:hAnsi="Times New Roman" w:cs="Times New Roman"/>
                <w:sz w:val="20"/>
                <w:szCs w:val="20"/>
              </w:rPr>
              <w:t>未滿</w:t>
            </w:r>
            <w:r>
              <w:rPr>
                <w:rFonts w:ascii="Times New Roman" w:eastAsia="標楷體" w:hAnsi="Times New Roman" w:cs="Times New Roman"/>
                <w:sz w:val="20"/>
                <w:szCs w:val="20"/>
              </w:rPr>
              <w:t>4.0</w:t>
            </w:r>
          </w:p>
        </w:tc>
        <w:tc>
          <w:tcPr>
            <w:tcW w:w="1010"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sz w:val="20"/>
                <w:szCs w:val="20"/>
              </w:rPr>
            </w:pPr>
            <w:r>
              <w:rPr>
                <w:rFonts w:ascii="Times New Roman" w:eastAsia="標楷體" w:hAnsi="Times New Roman" w:cs="Times New Roman"/>
                <w:sz w:val="20"/>
                <w:szCs w:val="20"/>
              </w:rPr>
              <w:t>4.0</w:t>
            </w:r>
            <w:r>
              <w:rPr>
                <w:rFonts w:ascii="Times New Roman" w:eastAsia="標楷體" w:hAnsi="Times New Roman" w:cs="Times New Roman"/>
                <w:sz w:val="20"/>
                <w:szCs w:val="20"/>
              </w:rPr>
              <w:t>以上</w:t>
            </w:r>
          </w:p>
        </w:tc>
      </w:tr>
      <w:tr w:rsidR="0018444C">
        <w:trPr>
          <w:trHeight w:val="345"/>
        </w:trPr>
        <w:tc>
          <w:tcPr>
            <w:tcW w:w="136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color w:val="FF0000"/>
              </w:rPr>
            </w:pPr>
            <w:r>
              <w:rPr>
                <w:rFonts w:ascii="Times New Roman" w:eastAsia="標楷體" w:hAnsi="Times New Roman"/>
                <w:color w:val="FF0000"/>
              </w:rPr>
              <w:t>投資利潤率</w:t>
            </w:r>
            <w:r>
              <w:rPr>
                <w:rFonts w:ascii="Times New Roman" w:eastAsia="標楷體" w:hAnsi="Times New Roman"/>
                <w:color w:val="FF0000"/>
              </w:rPr>
              <w:t>(%)</w:t>
            </w:r>
          </w:p>
        </w:tc>
        <w:tc>
          <w:tcPr>
            <w:tcW w:w="100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14</w:t>
            </w:r>
          </w:p>
        </w:tc>
        <w:tc>
          <w:tcPr>
            <w:tcW w:w="984" w:type="dxa"/>
            <w:tcBorders>
              <w:top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15</w:t>
            </w:r>
          </w:p>
        </w:tc>
        <w:tc>
          <w:tcPr>
            <w:tcW w:w="1010"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16</w:t>
            </w:r>
          </w:p>
        </w:tc>
        <w:tc>
          <w:tcPr>
            <w:tcW w:w="102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17</w:t>
            </w:r>
          </w:p>
        </w:tc>
        <w:tc>
          <w:tcPr>
            <w:tcW w:w="101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18</w:t>
            </w:r>
          </w:p>
        </w:tc>
        <w:tc>
          <w:tcPr>
            <w:tcW w:w="101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19</w:t>
            </w:r>
          </w:p>
        </w:tc>
        <w:tc>
          <w:tcPr>
            <w:tcW w:w="101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18444C" w:rsidRDefault="00980E38">
            <w:pPr>
              <w:pStyle w:val="Web"/>
              <w:spacing w:before="0" w:after="0"/>
              <w:jc w:val="center"/>
              <w:textAlignment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20</w:t>
            </w:r>
          </w:p>
        </w:tc>
      </w:tr>
    </w:tbl>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若設定利潤率與表格不同時應予說明。</w:t>
      </w:r>
    </w:p>
    <w:p w:rsidR="0018444C" w:rsidRDefault="0018444C">
      <w:pPr>
        <w:pStyle w:val="DefaultText"/>
        <w:spacing w:before="40" w:after="40" w:line="440" w:lineRule="exact"/>
        <w:ind w:left="1840"/>
        <w:jc w:val="both"/>
        <w:rPr>
          <w:rFonts w:ascii="Times New Roman" w:eastAsia="標楷體" w:hAnsi="Times New Roman"/>
          <w:color w:val="FF0000"/>
          <w:sz w:val="24"/>
          <w:szCs w:val="24"/>
          <w:u w:val="single"/>
        </w:rPr>
      </w:pPr>
    </w:p>
    <w:p w:rsidR="0018444C" w:rsidRDefault="0018444C">
      <w:pPr>
        <w:rPr>
          <w:rFonts w:ascii="Times New Roman" w:eastAsia="標楷體" w:hAnsi="Times New Roman"/>
          <w:szCs w:val="24"/>
        </w:rPr>
      </w:pPr>
    </w:p>
    <w:p w:rsidR="0018444C" w:rsidRDefault="0018444C">
      <w:pPr>
        <w:widowControl/>
        <w:suppressAutoHyphens w:val="0"/>
      </w:pPr>
      <w:bookmarkStart w:id="311" w:name="_Toc488152839"/>
      <w:bookmarkStart w:id="312" w:name="_Toc488163392"/>
    </w:p>
    <w:p w:rsidR="0018444C" w:rsidRDefault="00980E38">
      <w:pPr>
        <w:pStyle w:val="DefaultText"/>
        <w:pageBreakBefore/>
        <w:numPr>
          <w:ilvl w:val="0"/>
          <w:numId w:val="52"/>
        </w:numPr>
        <w:snapToGrid w:val="0"/>
        <w:spacing w:before="40" w:after="40" w:line="420" w:lineRule="exact"/>
        <w:ind w:left="1817" w:hanging="456"/>
        <w:jc w:val="both"/>
      </w:pPr>
      <w:r>
        <w:rPr>
          <w:rStyle w:val="30"/>
          <w:rFonts w:ascii="Times New Roman" w:hAnsi="Times New Roman"/>
        </w:rPr>
        <w:lastRenderedPageBreak/>
        <w:t>比較法之估算過程</w:t>
      </w:r>
      <w:bookmarkEnd w:id="311"/>
      <w:bookmarkEnd w:id="312"/>
      <w:r>
        <w:rPr>
          <w:rFonts w:ascii="Times New Roman" w:eastAsia="標楷體" w:hAnsi="Times New Roman"/>
        </w:rPr>
        <w:t>：</w:t>
      </w:r>
    </w:p>
    <w:p w:rsidR="0018444C" w:rsidRDefault="00980E38">
      <w:pPr>
        <w:pStyle w:val="DefaultText"/>
        <w:numPr>
          <w:ilvl w:val="0"/>
          <w:numId w:val="59"/>
        </w:numPr>
        <w:tabs>
          <w:tab w:val="center" w:pos="1985"/>
        </w:tabs>
        <w:spacing w:before="40" w:after="40" w:line="440" w:lineRule="exact"/>
        <w:ind w:left="1985" w:hanging="425"/>
        <w:rPr>
          <w:rFonts w:ascii="Times New Roman" w:eastAsia="標楷體" w:hAnsi="Times New Roman"/>
        </w:rPr>
      </w:pPr>
      <w:r>
        <w:rPr>
          <w:rFonts w:ascii="Times New Roman" w:eastAsia="標楷體" w:hAnsi="Times New Roman"/>
        </w:rPr>
        <w:t>有關比較法評估過程，本事務所</w:t>
      </w:r>
      <w:proofErr w:type="gramStart"/>
      <w:r>
        <w:rPr>
          <w:rFonts w:ascii="Times New Roman" w:eastAsia="標楷體" w:hAnsi="Times New Roman"/>
        </w:rPr>
        <w:t>採</w:t>
      </w:r>
      <w:proofErr w:type="gramEnd"/>
      <w:r>
        <w:rPr>
          <w:rFonts w:ascii="Times New Roman" w:eastAsia="標楷體" w:hAnsi="Times New Roman"/>
        </w:rPr>
        <w:t>百分率調整法評估之。</w:t>
      </w:r>
    </w:p>
    <w:p w:rsidR="0018444C" w:rsidRDefault="00980E38">
      <w:pPr>
        <w:pStyle w:val="DefaultText"/>
        <w:numPr>
          <w:ilvl w:val="0"/>
          <w:numId w:val="59"/>
        </w:numPr>
        <w:tabs>
          <w:tab w:val="center" w:pos="1985"/>
        </w:tabs>
        <w:spacing w:before="40" w:after="40" w:line="440" w:lineRule="exact"/>
        <w:ind w:left="1985" w:hanging="425"/>
        <w:rPr>
          <w:rFonts w:ascii="Times New Roman" w:eastAsia="標楷體" w:hAnsi="Times New Roman"/>
          <w:szCs w:val="28"/>
        </w:rPr>
      </w:pPr>
      <w:r>
        <w:rPr>
          <w:rFonts w:ascii="Times New Roman" w:eastAsia="標楷體" w:hAnsi="Times New Roman"/>
          <w:szCs w:val="28"/>
        </w:rPr>
        <w:t>百分率調整法係經比較標的與</w:t>
      </w:r>
      <w:proofErr w:type="gramStart"/>
      <w:r>
        <w:rPr>
          <w:rFonts w:ascii="Times New Roman" w:eastAsia="標楷體" w:hAnsi="Times New Roman"/>
          <w:szCs w:val="28"/>
        </w:rPr>
        <w:t>勘</w:t>
      </w:r>
      <w:proofErr w:type="gramEnd"/>
      <w:r>
        <w:rPr>
          <w:rFonts w:ascii="Times New Roman" w:eastAsia="標楷體" w:hAnsi="Times New Roman"/>
          <w:szCs w:val="28"/>
        </w:rPr>
        <w:t>估建物各項個別因素及區域因素條件進行分析，並判定各項因素之差異百分比率（</w:t>
      </w:r>
      <w:proofErr w:type="gramStart"/>
      <w:r>
        <w:rPr>
          <w:rFonts w:ascii="Times New Roman" w:eastAsia="標楷體" w:hAnsi="Times New Roman"/>
          <w:szCs w:val="28"/>
        </w:rPr>
        <w:t>超極</w:t>
      </w:r>
      <w:proofErr w:type="gramEnd"/>
      <w:r>
        <w:rPr>
          <w:rFonts w:ascii="Times New Roman" w:eastAsia="標楷體" w:hAnsi="Times New Roman"/>
          <w:szCs w:val="28"/>
        </w:rPr>
        <w:t>優＞極優＞優＞稍優＞普通＞</w:t>
      </w:r>
      <w:proofErr w:type="gramStart"/>
      <w:r>
        <w:rPr>
          <w:rFonts w:ascii="Times New Roman" w:eastAsia="標楷體" w:hAnsi="Times New Roman"/>
          <w:szCs w:val="28"/>
        </w:rPr>
        <w:t>稍劣＞劣＞極</w:t>
      </w:r>
      <w:proofErr w:type="gramEnd"/>
      <w:r>
        <w:rPr>
          <w:rFonts w:ascii="Times New Roman" w:eastAsia="標楷體" w:hAnsi="Times New Roman"/>
          <w:szCs w:val="28"/>
        </w:rPr>
        <w:t>劣＞</w:t>
      </w:r>
      <w:proofErr w:type="gramStart"/>
      <w:r>
        <w:rPr>
          <w:rFonts w:ascii="Times New Roman" w:eastAsia="標楷體" w:hAnsi="Times New Roman"/>
          <w:szCs w:val="28"/>
        </w:rPr>
        <w:t>超極</w:t>
      </w:r>
      <w:proofErr w:type="gramEnd"/>
      <w:r>
        <w:rPr>
          <w:rFonts w:ascii="Times New Roman" w:eastAsia="標楷體" w:hAnsi="Times New Roman"/>
          <w:szCs w:val="28"/>
        </w:rPr>
        <w:t>劣），計算出</w:t>
      </w:r>
      <w:proofErr w:type="gramStart"/>
      <w:r>
        <w:rPr>
          <w:rFonts w:ascii="Times New Roman" w:eastAsia="標楷體" w:hAnsi="Times New Roman"/>
          <w:szCs w:val="28"/>
        </w:rPr>
        <w:t>勘</w:t>
      </w:r>
      <w:proofErr w:type="gramEnd"/>
      <w:r>
        <w:rPr>
          <w:rFonts w:ascii="Times New Roman" w:eastAsia="標楷體" w:hAnsi="Times New Roman"/>
          <w:szCs w:val="28"/>
        </w:rPr>
        <w:t>估建物比較價格之方法。</w:t>
      </w:r>
    </w:p>
    <w:p w:rsidR="0018444C" w:rsidRDefault="00980E38">
      <w:pPr>
        <w:pStyle w:val="DefaultText"/>
        <w:numPr>
          <w:ilvl w:val="0"/>
          <w:numId w:val="59"/>
        </w:numPr>
        <w:tabs>
          <w:tab w:val="center" w:pos="1985"/>
        </w:tabs>
        <w:spacing w:before="40" w:after="40" w:line="440" w:lineRule="exact"/>
        <w:ind w:left="1985" w:hanging="425"/>
      </w:pPr>
      <w:r>
        <w:rPr>
          <w:rFonts w:ascii="Times New Roman" w:eastAsia="標楷體" w:hAnsi="Times New Roman"/>
          <w:szCs w:val="28"/>
        </w:rPr>
        <w:t>各項因素條件等級</w:t>
      </w:r>
      <w:r>
        <w:rPr>
          <w:rFonts w:ascii="Times New Roman" w:eastAsia="標楷體" w:hAnsi="Times New Roman"/>
          <w:szCs w:val="28"/>
        </w:rPr>
        <w:t>:</w:t>
      </w:r>
      <w:proofErr w:type="gramStart"/>
      <w:r>
        <w:rPr>
          <w:rFonts w:ascii="Times New Roman" w:eastAsia="標楷體" w:hAnsi="Times New Roman"/>
          <w:szCs w:val="28"/>
        </w:rPr>
        <w:t>超極</w:t>
      </w:r>
      <w:proofErr w:type="gramEnd"/>
      <w:r>
        <w:rPr>
          <w:rFonts w:ascii="Times New Roman" w:eastAsia="標楷體" w:hAnsi="Times New Roman"/>
          <w:szCs w:val="28"/>
        </w:rPr>
        <w:t>優＞極優＞優＞</w:t>
      </w:r>
      <w:proofErr w:type="gramStart"/>
      <w:r>
        <w:rPr>
          <w:rFonts w:ascii="Times New Roman" w:eastAsia="標楷體" w:hAnsi="Times New Roman"/>
          <w:szCs w:val="28"/>
        </w:rPr>
        <w:t>稍優</w:t>
      </w:r>
      <w:proofErr w:type="gramEnd"/>
      <w:r>
        <w:rPr>
          <w:rFonts w:ascii="Times New Roman" w:eastAsia="標楷體" w:hAnsi="Times New Roman"/>
          <w:szCs w:val="28"/>
        </w:rPr>
        <w:t>＞普通＞</w:t>
      </w:r>
      <w:proofErr w:type="gramStart"/>
      <w:r>
        <w:rPr>
          <w:rFonts w:ascii="Times New Roman" w:eastAsia="標楷體" w:hAnsi="Times New Roman"/>
          <w:szCs w:val="28"/>
        </w:rPr>
        <w:t>稍劣＞劣＞極</w:t>
      </w:r>
      <w:proofErr w:type="gramEnd"/>
      <w:r>
        <w:rPr>
          <w:rFonts w:ascii="Times New Roman" w:eastAsia="標楷體" w:hAnsi="Times New Roman"/>
          <w:szCs w:val="28"/>
        </w:rPr>
        <w:t>劣＞</w:t>
      </w:r>
      <w:proofErr w:type="gramStart"/>
      <w:r>
        <w:rPr>
          <w:rFonts w:ascii="Times New Roman" w:eastAsia="標楷體" w:hAnsi="Times New Roman"/>
          <w:szCs w:val="28"/>
        </w:rPr>
        <w:t>超極</w:t>
      </w:r>
      <w:proofErr w:type="gramEnd"/>
      <w:r>
        <w:rPr>
          <w:rFonts w:ascii="Times New Roman" w:eastAsia="標楷體" w:hAnsi="Times New Roman"/>
          <w:szCs w:val="28"/>
        </w:rPr>
        <w:t>劣，各等級係以比較標的與</w:t>
      </w:r>
      <w:proofErr w:type="gramStart"/>
      <w:r>
        <w:rPr>
          <w:rFonts w:ascii="Times New Roman" w:eastAsia="標楷體" w:hAnsi="Times New Roman"/>
          <w:szCs w:val="28"/>
        </w:rPr>
        <w:t>勘估標</w:t>
      </w:r>
      <w:proofErr w:type="gramEnd"/>
      <w:r>
        <w:rPr>
          <w:rFonts w:ascii="Times New Roman" w:eastAsia="標楷體" w:hAnsi="Times New Roman"/>
          <w:szCs w:val="28"/>
        </w:rPr>
        <w:t>的各項條件之客觀比較而來。</w:t>
      </w:r>
    </w:p>
    <w:p w:rsidR="0018444C" w:rsidRDefault="00980E38">
      <w:pPr>
        <w:pStyle w:val="DefaultText"/>
        <w:numPr>
          <w:ilvl w:val="0"/>
          <w:numId w:val="59"/>
        </w:numPr>
        <w:tabs>
          <w:tab w:val="center" w:pos="1985"/>
        </w:tabs>
        <w:spacing w:before="40" w:after="40" w:line="440" w:lineRule="exact"/>
        <w:ind w:left="1985" w:hanging="425"/>
      </w:pPr>
      <w:r>
        <w:rPr>
          <w:rFonts w:ascii="Times New Roman" w:eastAsia="標楷體" w:hAnsi="Times New Roman"/>
        </w:rPr>
        <w:t>對於比較案例之相關資料，本事務所已</w:t>
      </w:r>
      <w:proofErr w:type="gramStart"/>
      <w:r>
        <w:rPr>
          <w:rFonts w:ascii="Times New Roman" w:eastAsia="標楷體" w:hAnsi="Times New Roman"/>
        </w:rPr>
        <w:t>儘</w:t>
      </w:r>
      <w:proofErr w:type="gramEnd"/>
      <w:r>
        <w:rPr>
          <w:rFonts w:ascii="Times New Roman" w:eastAsia="標楷體" w:hAnsi="Times New Roman"/>
        </w:rPr>
        <w:t>可能向資料提供者進行查證，如</w:t>
      </w:r>
      <w:r>
        <w:rPr>
          <w:rFonts w:ascii="Times New Roman" w:eastAsia="標楷體" w:hAnsi="Times New Roman"/>
          <w:szCs w:val="28"/>
        </w:rPr>
        <w:t>有不足係屬無法查證或查證有困難。</w:t>
      </w:r>
    </w:p>
    <w:p w:rsidR="0018444C" w:rsidRDefault="00980E38">
      <w:pPr>
        <w:pStyle w:val="DefaultText"/>
        <w:spacing w:before="40" w:after="40" w:line="440" w:lineRule="exact"/>
        <w:ind w:left="1560"/>
        <w:jc w:val="both"/>
      </w:pPr>
      <w:r>
        <w:rPr>
          <w:rFonts w:ascii="Times New Roman" w:eastAsia="標楷體" w:hAnsi="Times New Roman"/>
          <w:sz w:val="24"/>
          <w:szCs w:val="24"/>
        </w:rPr>
        <w:t>《注意須知》：參見前述含容積移入基地「比較法」之《注意須知》內容。</w:t>
      </w:r>
    </w:p>
    <w:p w:rsidR="0018444C" w:rsidRDefault="00980E38">
      <w:pPr>
        <w:pStyle w:val="DefaultText"/>
        <w:pageBreakBefore/>
        <w:numPr>
          <w:ilvl w:val="0"/>
          <w:numId w:val="60"/>
        </w:numPr>
        <w:tabs>
          <w:tab w:val="center" w:pos="-13055"/>
        </w:tabs>
        <w:spacing w:before="40" w:after="40" w:line="440" w:lineRule="exact"/>
      </w:pPr>
      <w:r>
        <w:rPr>
          <w:rFonts w:ascii="Times New Roman" w:eastAsia="標楷體" w:hAnsi="Times New Roman"/>
          <w:bCs/>
          <w:szCs w:val="28"/>
        </w:rPr>
        <w:lastRenderedPageBreak/>
        <w:t>未含容積移入之基地</w:t>
      </w:r>
      <w:r>
        <w:rPr>
          <w:rFonts w:ascii="Times New Roman" w:eastAsia="標楷體" w:hAnsi="Times New Roman"/>
          <w:szCs w:val="28"/>
        </w:rPr>
        <w:t>與比較標的條件分析：</w:t>
      </w:r>
    </w:p>
    <w:tbl>
      <w:tblPr>
        <w:tblW w:w="5000" w:type="pct"/>
        <w:tblCellMar>
          <w:left w:w="10" w:type="dxa"/>
          <w:right w:w="10" w:type="dxa"/>
        </w:tblCellMar>
        <w:tblLook w:val="0000" w:firstRow="0" w:lastRow="0" w:firstColumn="0" w:lastColumn="0" w:noHBand="0" w:noVBand="0"/>
      </w:tblPr>
      <w:tblGrid>
        <w:gridCol w:w="1773"/>
        <w:gridCol w:w="2056"/>
        <w:gridCol w:w="2106"/>
        <w:gridCol w:w="2106"/>
        <w:gridCol w:w="2106"/>
      </w:tblGrid>
      <w:tr w:rsidR="0018444C">
        <w:trPr>
          <w:trHeight w:val="454"/>
        </w:trPr>
        <w:tc>
          <w:tcPr>
            <w:tcW w:w="1758"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項</w:t>
            </w:r>
            <w:r>
              <w:rPr>
                <w:rFonts w:ascii="Times New Roman" w:eastAsia="標楷體" w:hAnsi="Times New Roman"/>
                <w:bCs/>
                <w:szCs w:val="24"/>
              </w:rPr>
              <w:t xml:space="preserve">    </w:t>
            </w:r>
            <w:r>
              <w:rPr>
                <w:rFonts w:ascii="Times New Roman" w:eastAsia="標楷體" w:hAnsi="Times New Roman"/>
                <w:bCs/>
                <w:szCs w:val="24"/>
              </w:rPr>
              <w:t>目</w:t>
            </w:r>
          </w:p>
        </w:tc>
        <w:tc>
          <w:tcPr>
            <w:tcW w:w="203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proofErr w:type="gramStart"/>
            <w:r>
              <w:rPr>
                <w:rFonts w:ascii="Times New Roman" w:eastAsia="標楷體" w:hAnsi="Times New Roman"/>
                <w:bCs/>
                <w:szCs w:val="24"/>
              </w:rPr>
              <w:t>勘估標</w:t>
            </w:r>
            <w:proofErr w:type="gramEnd"/>
            <w:r>
              <w:rPr>
                <w:rFonts w:ascii="Times New Roman" w:eastAsia="標楷體" w:hAnsi="Times New Roman"/>
                <w:bCs/>
                <w:szCs w:val="24"/>
              </w:rPr>
              <w:t>的</w:t>
            </w:r>
          </w:p>
        </w:tc>
        <w:tc>
          <w:tcPr>
            <w:tcW w:w="208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比較標的</w:t>
            </w:r>
            <w:proofErr w:type="gramStart"/>
            <w:r>
              <w:rPr>
                <w:rFonts w:ascii="Times New Roman" w:eastAsia="標楷體" w:hAnsi="Times New Roman"/>
                <w:bCs/>
                <w:szCs w:val="24"/>
              </w:rPr>
              <w:t>一</w:t>
            </w:r>
            <w:proofErr w:type="gramEnd"/>
          </w:p>
        </w:tc>
        <w:tc>
          <w:tcPr>
            <w:tcW w:w="208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比較標的二</w:t>
            </w:r>
          </w:p>
        </w:tc>
        <w:tc>
          <w:tcPr>
            <w:tcW w:w="2088"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比較標的三</w:t>
            </w: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標示</w:t>
            </w:r>
            <w:r>
              <w:rPr>
                <w:rFonts w:ascii="Times New Roman" w:eastAsia="標楷體" w:hAnsi="Times New Roman"/>
                <w:bCs/>
                <w:szCs w:val="24"/>
              </w:rPr>
              <w:t>(</w:t>
            </w:r>
            <w:r>
              <w:rPr>
                <w:rFonts w:ascii="Times New Roman" w:eastAsia="標楷體" w:hAnsi="Times New Roman"/>
                <w:bCs/>
                <w:szCs w:val="24"/>
              </w:rPr>
              <w:t>縣市</w:t>
            </w:r>
            <w:r>
              <w:rPr>
                <w:rFonts w:ascii="Times New Roman" w:eastAsia="標楷體" w:hAnsi="Times New Roman"/>
                <w:bCs/>
                <w:szCs w:val="24"/>
              </w:rPr>
              <w:t>/</w:t>
            </w:r>
            <w:r>
              <w:rPr>
                <w:rFonts w:ascii="Times New Roman" w:eastAsia="標楷體" w:hAnsi="Times New Roman"/>
                <w:bCs/>
                <w:szCs w:val="24"/>
              </w:rPr>
              <w:t>區</w:t>
            </w:r>
            <w:r>
              <w:rPr>
                <w:rFonts w:ascii="Times New Roman" w:eastAsia="標楷體" w:hAnsi="Times New Roman"/>
                <w:bCs/>
                <w:szCs w:val="24"/>
              </w:rPr>
              <w:t>/</w:t>
            </w:r>
            <w:r>
              <w:rPr>
                <w:rFonts w:ascii="Times New Roman" w:eastAsia="標楷體" w:hAnsi="Times New Roman"/>
                <w:bCs/>
                <w:szCs w:val="24"/>
              </w:rPr>
              <w:t>地段號</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價格型態</w:t>
            </w:r>
            <w:r>
              <w:rPr>
                <w:rFonts w:ascii="Times New Roman" w:eastAsia="標楷體" w:hAnsi="Times New Roman"/>
                <w:bCs/>
                <w:szCs w:val="24"/>
              </w:rPr>
              <w:t>(</w:t>
            </w:r>
            <w:r>
              <w:rPr>
                <w:rFonts w:ascii="Times New Roman" w:eastAsia="標楷體" w:hAnsi="Times New Roman"/>
                <w:bCs/>
                <w:szCs w:val="24"/>
              </w:rPr>
              <w:t>如擬售價格、成交價格等</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pPr>
            <w:r>
              <w:rPr>
                <w:rFonts w:ascii="Times New Roman" w:eastAsia="標楷體" w:hAnsi="Times New Roman"/>
                <w:bCs/>
                <w:szCs w:val="24"/>
              </w:rPr>
              <w:t>交易總價</w:t>
            </w:r>
            <w:r>
              <w:rPr>
                <w:rFonts w:ascii="Times New Roman" w:eastAsia="標楷體" w:hAnsi="Times New Roman"/>
                <w:bCs/>
                <w:szCs w:val="24"/>
              </w:rPr>
              <w:t>(</w:t>
            </w:r>
            <w:r>
              <w:rPr>
                <w:rFonts w:ascii="Times New Roman" w:eastAsia="標楷體" w:hAnsi="Times New Roman"/>
                <w:szCs w:val="24"/>
              </w:rPr>
              <w:t>元</w:t>
            </w:r>
            <w:r>
              <w:rPr>
                <w:rFonts w:ascii="Times New Roman" w:eastAsia="標楷體" w:hAnsi="Times New Roman"/>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交易總面積</w:t>
            </w:r>
            <w:r>
              <w:rPr>
                <w:rFonts w:ascii="Times New Roman" w:eastAsia="標楷體" w:hAnsi="Times New Roman"/>
                <w:bCs/>
                <w:szCs w:val="24"/>
              </w:rPr>
              <w:t>(</w:t>
            </w:r>
            <w:r>
              <w:rPr>
                <w:rFonts w:ascii="Times New Roman" w:eastAsia="標楷體" w:hAnsi="Times New Roman"/>
                <w:bCs/>
                <w:szCs w:val="24"/>
              </w:rPr>
              <w:t>坪</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bCs/>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noWrap/>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pPr>
            <w:r>
              <w:rPr>
                <w:rFonts w:ascii="Times New Roman" w:eastAsia="標楷體" w:hAnsi="Times New Roman"/>
                <w:bCs/>
                <w:szCs w:val="24"/>
              </w:rPr>
              <w:t>交易單價</w:t>
            </w:r>
            <w:r>
              <w:rPr>
                <w:rFonts w:ascii="Times New Roman" w:eastAsia="標楷體" w:hAnsi="Times New Roman"/>
                <w:bCs/>
                <w:szCs w:val="24"/>
              </w:rPr>
              <w:t>(</w:t>
            </w:r>
            <w:r>
              <w:rPr>
                <w:rFonts w:ascii="Times New Roman" w:eastAsia="標楷體" w:hAnsi="Times New Roman"/>
                <w:szCs w:val="24"/>
              </w:rPr>
              <w:t>元</w:t>
            </w:r>
            <w:r>
              <w:rPr>
                <w:rFonts w:ascii="Times New Roman" w:eastAsia="標楷體" w:hAnsi="Times New Roman"/>
                <w:szCs w:val="24"/>
              </w:rPr>
              <w:t>/</w:t>
            </w:r>
            <w:r>
              <w:rPr>
                <w:rFonts w:ascii="Times New Roman" w:eastAsia="標楷體" w:hAnsi="Times New Roman"/>
                <w:szCs w:val="24"/>
              </w:rPr>
              <w:t>坪</w:t>
            </w:r>
            <w:r>
              <w:rPr>
                <w:rFonts w:ascii="Times New Roman" w:eastAsia="標楷體" w:hAnsi="Times New Roman"/>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bCs/>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勘察日期</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價格日期</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使用分區</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法定建蔽率</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法定容積率</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允建容積率</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土地形狀</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地形地勢</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proofErr w:type="gramStart"/>
            <w:r>
              <w:rPr>
                <w:rFonts w:ascii="Times New Roman" w:eastAsia="標楷體" w:hAnsi="Times New Roman"/>
                <w:bCs/>
                <w:szCs w:val="24"/>
              </w:rPr>
              <w:t>臨路條件</w:t>
            </w:r>
            <w:proofErr w:type="gramEnd"/>
            <w:r>
              <w:rPr>
                <w:rFonts w:ascii="Times New Roman" w:eastAsia="標楷體" w:hAnsi="Times New Roman"/>
                <w:bCs/>
                <w:szCs w:val="24"/>
              </w:rPr>
              <w:t>(</w:t>
            </w:r>
            <w:r>
              <w:rPr>
                <w:rFonts w:ascii="Times New Roman" w:eastAsia="標楷體" w:hAnsi="Times New Roman"/>
                <w:bCs/>
                <w:szCs w:val="24"/>
              </w:rPr>
              <w:t>如單面臨路、雙面臨路</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臨路路寬</w:t>
            </w:r>
            <w:r>
              <w:rPr>
                <w:rFonts w:ascii="Times New Roman" w:eastAsia="標楷體" w:hAnsi="Times New Roman"/>
                <w:bCs/>
                <w:szCs w:val="24"/>
              </w:rPr>
              <w:t>(M)</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道路種別</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寬度</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深度</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交通條件</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公共設施</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整體條件</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交易價格</w:t>
            </w:r>
            <w:r>
              <w:rPr>
                <w:rFonts w:ascii="Times New Roman" w:eastAsia="標楷體" w:hAnsi="Times New Roman"/>
                <w:bCs/>
                <w:szCs w:val="24"/>
              </w:rPr>
              <w:br/>
              <w:t>(</w:t>
            </w:r>
            <w:r>
              <w:rPr>
                <w:rFonts w:ascii="Times New Roman" w:eastAsia="標楷體" w:hAnsi="Times New Roman"/>
                <w:bCs/>
                <w:szCs w:val="24"/>
              </w:rPr>
              <w:t>元</w:t>
            </w:r>
            <w:r>
              <w:rPr>
                <w:rFonts w:ascii="Times New Roman" w:eastAsia="標楷體" w:hAnsi="Times New Roman"/>
                <w:bCs/>
                <w:szCs w:val="24"/>
              </w:rPr>
              <w:t>/</w:t>
            </w:r>
            <w:r>
              <w:rPr>
                <w:rFonts w:ascii="Times New Roman" w:eastAsia="標楷體" w:hAnsi="Times New Roman"/>
                <w:bCs/>
                <w:szCs w:val="24"/>
              </w:rPr>
              <w:t>坪</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bCs/>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議價空間</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bCs/>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成交</w:t>
            </w:r>
            <w:r>
              <w:rPr>
                <w:rFonts w:ascii="Times New Roman" w:eastAsia="標楷體" w:hAnsi="Times New Roman"/>
                <w:bCs/>
                <w:szCs w:val="24"/>
              </w:rPr>
              <w:t>(</w:t>
            </w:r>
            <w:r>
              <w:rPr>
                <w:rFonts w:ascii="Times New Roman" w:eastAsia="標楷體" w:hAnsi="Times New Roman"/>
                <w:bCs/>
                <w:szCs w:val="24"/>
              </w:rPr>
              <w:t>預估</w:t>
            </w:r>
            <w:r>
              <w:rPr>
                <w:rFonts w:ascii="Times New Roman" w:eastAsia="標楷體" w:hAnsi="Times New Roman"/>
                <w:bCs/>
                <w:szCs w:val="24"/>
              </w:rPr>
              <w:t>)</w:t>
            </w:r>
            <w:r>
              <w:rPr>
                <w:rFonts w:ascii="Times New Roman" w:eastAsia="標楷體" w:hAnsi="Times New Roman"/>
                <w:bCs/>
                <w:szCs w:val="24"/>
              </w:rPr>
              <w:t>價格</w:t>
            </w:r>
            <w:r>
              <w:rPr>
                <w:rFonts w:ascii="Times New Roman" w:eastAsia="標楷體" w:hAnsi="Times New Roman"/>
                <w:bCs/>
                <w:szCs w:val="24"/>
              </w:rPr>
              <w:br/>
              <w:t>(</w:t>
            </w:r>
            <w:r>
              <w:rPr>
                <w:rFonts w:ascii="Times New Roman" w:eastAsia="標楷體" w:hAnsi="Times New Roman"/>
                <w:bCs/>
                <w:szCs w:val="24"/>
              </w:rPr>
              <w:t>元</w:t>
            </w:r>
            <w:r>
              <w:rPr>
                <w:rFonts w:ascii="Times New Roman" w:eastAsia="標楷體" w:hAnsi="Times New Roman"/>
                <w:bCs/>
                <w:szCs w:val="24"/>
              </w:rPr>
              <w:t>/</w:t>
            </w:r>
            <w:r>
              <w:rPr>
                <w:rFonts w:ascii="Times New Roman" w:eastAsia="標楷體" w:hAnsi="Times New Roman"/>
                <w:bCs/>
                <w:szCs w:val="24"/>
              </w:rPr>
              <w:t>坪</w:t>
            </w:r>
            <w:r>
              <w:rPr>
                <w:rFonts w:ascii="Times New Roman" w:eastAsia="標楷體" w:hAnsi="Times New Roman"/>
                <w:bCs/>
                <w:szCs w:val="24"/>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bCs/>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t>資料來源</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bCs/>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88"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454"/>
        </w:trPr>
        <w:tc>
          <w:tcPr>
            <w:tcW w:w="1758" w:type="dxa"/>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320" w:lineRule="exact"/>
              <w:jc w:val="center"/>
              <w:rPr>
                <w:rFonts w:ascii="Times New Roman" w:eastAsia="標楷體" w:hAnsi="Times New Roman"/>
                <w:bCs/>
                <w:szCs w:val="24"/>
              </w:rPr>
            </w:pPr>
            <w:r>
              <w:rPr>
                <w:rFonts w:ascii="Times New Roman" w:eastAsia="標楷體" w:hAnsi="Times New Roman"/>
                <w:bCs/>
                <w:szCs w:val="24"/>
              </w:rPr>
              <w:lastRenderedPageBreak/>
              <w:t>備註</w:t>
            </w:r>
          </w:p>
        </w:tc>
        <w:tc>
          <w:tcPr>
            <w:tcW w:w="203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18444C" w:rsidRDefault="0018444C">
            <w:pPr>
              <w:spacing w:line="320" w:lineRule="exact"/>
              <w:rPr>
                <w:rFonts w:ascii="Times New Roman" w:eastAsia="標楷體" w:hAnsi="Times New Roman"/>
                <w:szCs w:val="24"/>
              </w:rPr>
            </w:pPr>
          </w:p>
        </w:tc>
        <w:tc>
          <w:tcPr>
            <w:tcW w:w="208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c>
          <w:tcPr>
            <w:tcW w:w="2088"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320" w:lineRule="exact"/>
              <w:jc w:val="center"/>
              <w:rPr>
                <w:rFonts w:ascii="Times New Roman" w:eastAsia="標楷體" w:hAnsi="Times New Roman"/>
                <w:szCs w:val="24"/>
              </w:rPr>
            </w:pPr>
          </w:p>
        </w:tc>
      </w:tr>
    </w:tbl>
    <w:p w:rsidR="0018444C" w:rsidRDefault="0018444C">
      <w:pPr>
        <w:pStyle w:val="DefaultText"/>
        <w:tabs>
          <w:tab w:val="center" w:pos="1985"/>
        </w:tabs>
        <w:spacing w:before="40" w:after="40" w:line="440" w:lineRule="exact"/>
        <w:ind w:left="1985"/>
        <w:rPr>
          <w:rFonts w:ascii="Times New Roman" w:eastAsia="標楷體" w:hAnsi="Times New Roman"/>
          <w:szCs w:val="28"/>
        </w:rPr>
      </w:pPr>
    </w:p>
    <w:p w:rsidR="0018444C" w:rsidRDefault="0018444C">
      <w:pPr>
        <w:rPr>
          <w:rFonts w:ascii="Times New Roman" w:eastAsia="標楷體" w:hAnsi="Times New Roman"/>
          <w:szCs w:val="28"/>
        </w:rPr>
      </w:pPr>
    </w:p>
    <w:p w:rsidR="0018444C" w:rsidRDefault="0018444C">
      <w:pPr>
        <w:rPr>
          <w:rFonts w:ascii="Times New Roman" w:eastAsia="標楷體" w:hAnsi="Times New Roman"/>
          <w:szCs w:val="28"/>
        </w:rPr>
      </w:pPr>
    </w:p>
    <w:p w:rsidR="0018444C" w:rsidRDefault="00980E38">
      <w:pPr>
        <w:pStyle w:val="DefaultText"/>
        <w:numPr>
          <w:ilvl w:val="0"/>
          <w:numId w:val="60"/>
        </w:numPr>
        <w:tabs>
          <w:tab w:val="center" w:pos="1985"/>
        </w:tabs>
        <w:spacing w:before="40" w:after="40" w:line="440" w:lineRule="exact"/>
        <w:ind w:left="1985" w:hanging="425"/>
      </w:pPr>
      <w:r>
        <w:rPr>
          <w:rFonts w:ascii="Times New Roman" w:eastAsia="標楷體" w:hAnsi="Times New Roman"/>
          <w:bCs/>
          <w:szCs w:val="28"/>
        </w:rPr>
        <w:t>未含容積移入之基地</w:t>
      </w:r>
      <w:r>
        <w:rPr>
          <w:rFonts w:ascii="Times New Roman" w:eastAsia="標楷體" w:hAnsi="Times New Roman"/>
        </w:rPr>
        <w:t>與比較標的區域因素比較表：</w:t>
      </w:r>
    </w:p>
    <w:tbl>
      <w:tblPr>
        <w:tblW w:w="9939" w:type="dxa"/>
        <w:jc w:val="center"/>
        <w:tblCellMar>
          <w:left w:w="10" w:type="dxa"/>
          <w:right w:w="10" w:type="dxa"/>
        </w:tblCellMar>
        <w:tblLook w:val="0000" w:firstRow="0" w:lastRow="0" w:firstColumn="0" w:lastColumn="0" w:noHBand="0" w:noVBand="0"/>
      </w:tblPr>
      <w:tblGrid>
        <w:gridCol w:w="661"/>
        <w:gridCol w:w="2488"/>
        <w:gridCol w:w="1262"/>
        <w:gridCol w:w="1134"/>
        <w:gridCol w:w="709"/>
        <w:gridCol w:w="1134"/>
        <w:gridCol w:w="708"/>
        <w:gridCol w:w="1134"/>
        <w:gridCol w:w="709"/>
      </w:tblGrid>
      <w:tr w:rsidR="0018444C">
        <w:trPr>
          <w:cantSplit/>
          <w:trHeight w:val="452"/>
          <w:jc w:val="center"/>
        </w:trPr>
        <w:tc>
          <w:tcPr>
            <w:tcW w:w="661"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主要項目</w:t>
            </w:r>
          </w:p>
        </w:tc>
        <w:tc>
          <w:tcPr>
            <w:tcW w:w="248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次要項目</w:t>
            </w:r>
          </w:p>
        </w:tc>
        <w:tc>
          <w:tcPr>
            <w:tcW w:w="126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proofErr w:type="gramStart"/>
            <w:r>
              <w:rPr>
                <w:rFonts w:ascii="Times New Roman" w:eastAsia="標楷體" w:hAnsi="Times New Roman"/>
                <w:sz w:val="22"/>
              </w:rPr>
              <w:t>勘</w:t>
            </w:r>
            <w:proofErr w:type="gramEnd"/>
            <w:r>
              <w:rPr>
                <w:rFonts w:ascii="Times New Roman" w:eastAsia="標楷體" w:hAnsi="Times New Roman"/>
                <w:sz w:val="22"/>
              </w:rPr>
              <w:t>估建物</w:t>
            </w:r>
          </w:p>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比</w:t>
            </w:r>
            <w:proofErr w:type="gramStart"/>
            <w:r>
              <w:rPr>
                <w:rFonts w:ascii="Times New Roman" w:eastAsia="標楷體" w:hAnsi="Times New Roman"/>
                <w:sz w:val="22"/>
              </w:rPr>
              <w:t>準</w:t>
            </w:r>
            <w:proofErr w:type="gramEnd"/>
            <w:r>
              <w:rPr>
                <w:rFonts w:ascii="Times New Roman" w:eastAsia="標楷體" w:hAnsi="Times New Roman"/>
                <w:sz w:val="22"/>
              </w:rPr>
              <w:t>單元</w:t>
            </w:r>
            <w:r>
              <w:rPr>
                <w:rFonts w:ascii="Times New Roman" w:eastAsia="標楷體" w:hAnsi="Times New Roman"/>
                <w:sz w:val="22"/>
              </w:rPr>
              <w:t>)</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w:t>
            </w:r>
            <w:proofErr w:type="gramStart"/>
            <w:r>
              <w:rPr>
                <w:rFonts w:ascii="Times New Roman" w:eastAsia="標楷體" w:hAnsi="Times New Roman"/>
                <w:sz w:val="22"/>
              </w:rPr>
              <w:t>一</w:t>
            </w:r>
            <w:proofErr w:type="gramEnd"/>
          </w:p>
        </w:tc>
        <w:tc>
          <w:tcPr>
            <w:tcW w:w="70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比較標的二</w:t>
            </w:r>
          </w:p>
        </w:tc>
        <w:tc>
          <w:tcPr>
            <w:tcW w:w="70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c>
          <w:tcPr>
            <w:tcW w:w="113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rPr>
                <w:rFonts w:ascii="Times New Roman" w:eastAsia="標楷體" w:hAnsi="Times New Roman"/>
                <w:sz w:val="22"/>
              </w:rPr>
            </w:pPr>
            <w:r>
              <w:rPr>
                <w:rFonts w:ascii="Times New Roman" w:eastAsia="標楷體" w:hAnsi="Times New Roman"/>
                <w:sz w:val="22"/>
              </w:rPr>
              <w:t>比較標的三</w:t>
            </w:r>
          </w:p>
        </w:tc>
        <w:tc>
          <w:tcPr>
            <w:tcW w:w="709"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980E38">
            <w:pPr>
              <w:spacing w:line="260" w:lineRule="exact"/>
              <w:jc w:val="center"/>
            </w:pPr>
            <w:r>
              <w:rPr>
                <w:rFonts w:ascii="Times New Roman" w:eastAsia="標楷體" w:hAnsi="Times New Roman"/>
                <w:bCs/>
                <w:sz w:val="22"/>
              </w:rPr>
              <w:t>調整百分率</w:t>
            </w:r>
          </w:p>
        </w:tc>
      </w:tr>
      <w:tr w:rsidR="0018444C">
        <w:trPr>
          <w:cantSplit/>
          <w:trHeight w:val="289"/>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道路條件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pPr>
            <w:r>
              <w:rPr>
                <w:rFonts w:ascii="Times New Roman" w:eastAsia="標楷體" w:hAnsi="Times New Roman"/>
                <w:sz w:val="22"/>
              </w:rPr>
              <w:t>區域主要道路寬度</w:t>
            </w:r>
            <w:r>
              <w:rPr>
                <w:rFonts w:ascii="Times New Roman" w:eastAsia="標楷體" w:hAnsi="Times New Roman"/>
                <w:bCs/>
                <w:sz w:val="22"/>
              </w:rPr>
              <w:t>(M)</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道路系統及連續性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人車動線規畫及道路配置</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289"/>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交通運輸條件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客運、公車便利性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鐵路運輸便利性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國道或快速道路便利性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trHeight w:val="65"/>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停車便利性</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環境條件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商業活動強度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ind w:left="113" w:right="113"/>
              <w:jc w:val="cente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土地利用成熟度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古蹟、觀光遊憩設施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服務性設施</w:t>
            </w:r>
            <w:r>
              <w:rPr>
                <w:rFonts w:ascii="Times New Roman" w:eastAsia="標楷體" w:hAnsi="Times New Roman"/>
                <w:sz w:val="22"/>
              </w:rPr>
              <w:t>(</w:t>
            </w:r>
            <w:r>
              <w:rPr>
                <w:rFonts w:ascii="Times New Roman" w:eastAsia="標楷體" w:hAnsi="Times New Roman"/>
                <w:sz w:val="22"/>
              </w:rPr>
              <w:t>郵局</w:t>
            </w:r>
            <w:r>
              <w:rPr>
                <w:rFonts w:ascii="Times New Roman" w:eastAsia="標楷體" w:hAnsi="Times New Roman"/>
                <w:sz w:val="22"/>
              </w:rPr>
              <w:t>.</w:t>
            </w:r>
            <w:r>
              <w:rPr>
                <w:rFonts w:ascii="Times New Roman" w:eastAsia="標楷體" w:hAnsi="Times New Roman"/>
                <w:sz w:val="22"/>
              </w:rPr>
              <w:t>銀行</w:t>
            </w:r>
            <w:r>
              <w:rPr>
                <w:rFonts w:ascii="Times New Roman" w:eastAsia="標楷體" w:hAnsi="Times New Roman"/>
                <w:sz w:val="22"/>
              </w:rPr>
              <w:t>.</w:t>
            </w:r>
            <w:r>
              <w:rPr>
                <w:rFonts w:ascii="Times New Roman" w:eastAsia="標楷體" w:hAnsi="Times New Roman"/>
                <w:sz w:val="22"/>
              </w:rPr>
              <w:t>醫院</w:t>
            </w:r>
            <w:r>
              <w:rPr>
                <w:rFonts w:ascii="Times New Roman" w:eastAsia="標楷體" w:hAnsi="Times New Roman"/>
                <w:sz w:val="22"/>
              </w:rPr>
              <w:t>.</w:t>
            </w:r>
            <w:r>
              <w:rPr>
                <w:rFonts w:ascii="Times New Roman" w:eastAsia="標楷體" w:hAnsi="Times New Roman"/>
                <w:sz w:val="22"/>
              </w:rPr>
              <w:t>機關等設施</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學校</w:t>
            </w:r>
            <w:r>
              <w:rPr>
                <w:rFonts w:ascii="Times New Roman" w:eastAsia="標楷體" w:hAnsi="Times New Roman"/>
                <w:sz w:val="22"/>
              </w:rPr>
              <w:t>(</w:t>
            </w:r>
            <w:r>
              <w:rPr>
                <w:rFonts w:ascii="Times New Roman" w:eastAsia="標楷體" w:hAnsi="Times New Roman"/>
                <w:sz w:val="22"/>
              </w:rPr>
              <w:t>國小、國中、高中、大專院校</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w:t>
            </w:r>
            <w:r>
              <w:rPr>
                <w:rFonts w:ascii="Times New Roman" w:eastAsia="標楷體" w:hAnsi="Times New Roman"/>
                <w:sz w:val="22"/>
              </w:rPr>
              <w:t>(</w:t>
            </w:r>
            <w:r>
              <w:rPr>
                <w:rFonts w:ascii="Times New Roman" w:eastAsia="標楷體" w:hAnsi="Times New Roman"/>
                <w:sz w:val="22"/>
              </w:rPr>
              <w:t>傳統市場、超級市場、超大型購物中心</w:t>
            </w:r>
            <w:r>
              <w:rPr>
                <w:rFonts w:ascii="Times New Roman" w:eastAsia="標楷體" w:hAnsi="Times New Roman"/>
                <w:sz w:val="22"/>
              </w:rPr>
              <w:t>)</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廣場、公園、綠地</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嫌惡設施</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排水之良否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自然條件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地勢坡度</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災害影響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使用分區</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rPr>
            </w:pPr>
            <w:r>
              <w:rPr>
                <w:rFonts w:ascii="Times New Roman" w:eastAsia="標楷體" w:hAnsi="Times New Roman"/>
              </w:rPr>
              <w:t>行政條件</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建築或用途管制</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其他</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市場供需情況</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ind w:left="113" w:right="113"/>
              <w:jc w:val="center"/>
              <w:rPr>
                <w:rFonts w:ascii="Times New Roman" w:eastAsia="標楷體" w:hAnsi="Times New Roman"/>
                <w:sz w:val="22"/>
              </w:rPr>
            </w:pPr>
            <w:r>
              <w:rPr>
                <w:rFonts w:ascii="Times New Roman" w:eastAsia="標楷體" w:hAnsi="Times New Roman"/>
                <w:sz w:val="22"/>
              </w:rPr>
              <w:t>其他</w:t>
            </w: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重大建設影響</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未來發展趨勢</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661"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2"/>
              </w:rPr>
            </w:pPr>
          </w:p>
        </w:tc>
        <w:tc>
          <w:tcPr>
            <w:tcW w:w="2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980E38">
            <w:pPr>
              <w:spacing w:line="260" w:lineRule="exact"/>
              <w:rPr>
                <w:rFonts w:ascii="Times New Roman" w:eastAsia="標楷體" w:hAnsi="Times New Roman"/>
                <w:sz w:val="22"/>
              </w:rPr>
            </w:pPr>
            <w:r>
              <w:rPr>
                <w:rFonts w:ascii="Times New Roman" w:eastAsia="標楷體" w:hAnsi="Times New Roman"/>
                <w:sz w:val="22"/>
              </w:rPr>
              <w:t>調整率小計</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r w:rsidR="0018444C">
        <w:trPr>
          <w:cantSplit/>
          <w:jc w:val="center"/>
        </w:trPr>
        <w:tc>
          <w:tcPr>
            <w:tcW w:w="3149"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26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c>
          <w:tcPr>
            <w:tcW w:w="709"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spacing w:line="260" w:lineRule="exact"/>
              <w:jc w:val="center"/>
              <w:rPr>
                <w:rFonts w:ascii="Times New Roman" w:eastAsia="標楷體" w:hAnsi="Times New Roman"/>
                <w:b/>
                <w:bCs/>
                <w:sz w:val="22"/>
              </w:rPr>
            </w:pPr>
          </w:p>
        </w:tc>
      </w:tr>
    </w:tbl>
    <w:p w:rsidR="0018444C" w:rsidRDefault="0018444C">
      <w:pPr>
        <w:pStyle w:val="DefaultText"/>
        <w:spacing w:before="40" w:after="40" w:line="440" w:lineRule="exact"/>
        <w:ind w:left="1560"/>
        <w:jc w:val="both"/>
        <w:rPr>
          <w:rFonts w:ascii="Times New Roman" w:eastAsia="標楷體" w:hAnsi="Times New Roman"/>
          <w:sz w:val="24"/>
          <w:szCs w:val="24"/>
        </w:rPr>
      </w:pPr>
    </w:p>
    <w:p w:rsidR="0018444C" w:rsidRDefault="0018444C">
      <w:pPr>
        <w:pStyle w:val="DefaultText"/>
        <w:spacing w:before="40" w:after="40" w:line="440" w:lineRule="exact"/>
        <w:ind w:left="1840"/>
        <w:jc w:val="both"/>
        <w:rPr>
          <w:rFonts w:ascii="Times New Roman" w:eastAsia="標楷體" w:hAnsi="Times New Roman"/>
          <w:sz w:val="24"/>
          <w:szCs w:val="24"/>
          <w:u w:val="single"/>
        </w:rPr>
      </w:pPr>
    </w:p>
    <w:p w:rsidR="0018444C" w:rsidRDefault="0018444C">
      <w:pPr>
        <w:pStyle w:val="DefaultText"/>
        <w:tabs>
          <w:tab w:val="center" w:pos="1985"/>
        </w:tabs>
        <w:spacing w:before="40" w:after="40" w:line="440" w:lineRule="exact"/>
        <w:ind w:left="1985"/>
        <w:rPr>
          <w:rFonts w:ascii="Times New Roman" w:eastAsia="標楷體" w:hAnsi="Times New Roman"/>
        </w:rPr>
      </w:pPr>
    </w:p>
    <w:p w:rsidR="0018444C" w:rsidRDefault="00980E38">
      <w:pPr>
        <w:pStyle w:val="DefaultText"/>
        <w:pageBreakBefore/>
        <w:numPr>
          <w:ilvl w:val="0"/>
          <w:numId w:val="60"/>
        </w:numPr>
        <w:tabs>
          <w:tab w:val="center" w:pos="-13055"/>
        </w:tabs>
        <w:spacing w:before="40" w:after="40" w:line="440" w:lineRule="exact"/>
      </w:pPr>
      <w:r>
        <w:rPr>
          <w:rFonts w:ascii="Times New Roman" w:eastAsia="標楷體" w:hAnsi="Times New Roman"/>
          <w:bCs/>
          <w:szCs w:val="28"/>
        </w:rPr>
        <w:lastRenderedPageBreak/>
        <w:t>未含容積移入之基地</w:t>
      </w:r>
      <w:r>
        <w:rPr>
          <w:rFonts w:ascii="Times New Roman" w:eastAsia="標楷體" w:hAnsi="Times New Roman"/>
        </w:rPr>
        <w:t>與比較標的個別因素比較表：</w:t>
      </w:r>
    </w:p>
    <w:tbl>
      <w:tblPr>
        <w:tblW w:w="5000" w:type="pct"/>
        <w:tblCellMar>
          <w:left w:w="10" w:type="dxa"/>
          <w:right w:w="10" w:type="dxa"/>
        </w:tblCellMar>
        <w:tblLook w:val="0000" w:firstRow="0" w:lastRow="0" w:firstColumn="0" w:lastColumn="0" w:noHBand="0" w:noVBand="0"/>
      </w:tblPr>
      <w:tblGrid>
        <w:gridCol w:w="459"/>
        <w:gridCol w:w="2527"/>
        <w:gridCol w:w="887"/>
        <w:gridCol w:w="1138"/>
        <w:gridCol w:w="954"/>
        <w:gridCol w:w="1138"/>
        <w:gridCol w:w="954"/>
        <w:gridCol w:w="1138"/>
        <w:gridCol w:w="952"/>
      </w:tblGrid>
      <w:tr w:rsidR="0018444C">
        <w:trPr>
          <w:trHeight w:val="645"/>
        </w:trPr>
        <w:tc>
          <w:tcPr>
            <w:tcW w:w="45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項目</w:t>
            </w:r>
          </w:p>
        </w:tc>
        <w:tc>
          <w:tcPr>
            <w:tcW w:w="2506"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比較細項</w:t>
            </w:r>
          </w:p>
        </w:tc>
        <w:tc>
          <w:tcPr>
            <w:tcW w:w="879"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proofErr w:type="gramStart"/>
            <w:r>
              <w:rPr>
                <w:rFonts w:ascii="Times New Roman" w:eastAsia="標楷體" w:hAnsi="Times New Roman"/>
                <w:szCs w:val="24"/>
              </w:rPr>
              <w:t>勘</w:t>
            </w:r>
            <w:proofErr w:type="gramEnd"/>
            <w:r>
              <w:rPr>
                <w:rFonts w:ascii="Times New Roman" w:eastAsia="標楷體" w:hAnsi="Times New Roman"/>
                <w:szCs w:val="24"/>
              </w:rPr>
              <w:t>估</w:t>
            </w:r>
            <w:r>
              <w:rPr>
                <w:rFonts w:ascii="Times New Roman" w:eastAsia="標楷體" w:hAnsi="Times New Roman"/>
                <w:szCs w:val="24"/>
              </w:rPr>
              <w:br/>
            </w:r>
            <w:r>
              <w:rPr>
                <w:rFonts w:ascii="Times New Roman" w:eastAsia="標楷體" w:hAnsi="Times New Roman"/>
                <w:szCs w:val="24"/>
              </w:rPr>
              <w:t>標的</w:t>
            </w:r>
          </w:p>
        </w:tc>
        <w:tc>
          <w:tcPr>
            <w:tcW w:w="1128"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比較</w:t>
            </w:r>
            <w:r>
              <w:rPr>
                <w:rFonts w:ascii="Times New Roman" w:eastAsia="標楷體" w:hAnsi="Times New Roman"/>
                <w:szCs w:val="24"/>
              </w:rPr>
              <w:br/>
            </w:r>
            <w:r>
              <w:rPr>
                <w:rFonts w:ascii="Times New Roman" w:eastAsia="標楷體" w:hAnsi="Times New Roman"/>
                <w:szCs w:val="24"/>
              </w:rPr>
              <w:t>標的</w:t>
            </w:r>
            <w:proofErr w:type="gramStart"/>
            <w:r>
              <w:rPr>
                <w:rFonts w:ascii="Times New Roman" w:eastAsia="標楷體" w:hAnsi="Times New Roman"/>
                <w:szCs w:val="24"/>
              </w:rPr>
              <w:t>ㄧ</w:t>
            </w:r>
            <w:proofErr w:type="gramEnd"/>
          </w:p>
        </w:tc>
        <w:tc>
          <w:tcPr>
            <w:tcW w:w="946"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調整</w:t>
            </w:r>
            <w:r>
              <w:rPr>
                <w:rFonts w:ascii="Times New Roman" w:eastAsia="標楷體" w:hAnsi="Times New Roman"/>
                <w:szCs w:val="24"/>
              </w:rPr>
              <w:br/>
            </w:r>
            <w:r>
              <w:rPr>
                <w:rFonts w:ascii="Times New Roman" w:eastAsia="標楷體" w:hAnsi="Times New Roman"/>
                <w:szCs w:val="24"/>
              </w:rPr>
              <w:t>百分率</w:t>
            </w:r>
          </w:p>
        </w:tc>
        <w:tc>
          <w:tcPr>
            <w:tcW w:w="1128"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比較</w:t>
            </w:r>
            <w:r>
              <w:rPr>
                <w:rFonts w:ascii="Times New Roman" w:eastAsia="標楷體" w:hAnsi="Times New Roman"/>
                <w:szCs w:val="24"/>
              </w:rPr>
              <w:br/>
            </w:r>
            <w:r>
              <w:rPr>
                <w:rFonts w:ascii="Times New Roman" w:eastAsia="標楷體" w:hAnsi="Times New Roman"/>
                <w:szCs w:val="24"/>
              </w:rPr>
              <w:t>標的二</w:t>
            </w:r>
          </w:p>
        </w:tc>
        <w:tc>
          <w:tcPr>
            <w:tcW w:w="946"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調整</w:t>
            </w:r>
            <w:r>
              <w:rPr>
                <w:rFonts w:ascii="Times New Roman" w:eastAsia="標楷體" w:hAnsi="Times New Roman"/>
                <w:szCs w:val="24"/>
              </w:rPr>
              <w:br/>
            </w:r>
            <w:r>
              <w:rPr>
                <w:rFonts w:ascii="Times New Roman" w:eastAsia="標楷體" w:hAnsi="Times New Roman"/>
                <w:szCs w:val="24"/>
              </w:rPr>
              <w:t>百分率</w:t>
            </w:r>
          </w:p>
        </w:tc>
        <w:tc>
          <w:tcPr>
            <w:tcW w:w="1128" w:type="dxa"/>
            <w:tcBorders>
              <w:top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比較</w:t>
            </w:r>
            <w:r>
              <w:rPr>
                <w:rFonts w:ascii="Times New Roman" w:eastAsia="標楷體" w:hAnsi="Times New Roman"/>
                <w:szCs w:val="24"/>
              </w:rPr>
              <w:br/>
            </w:r>
            <w:r>
              <w:rPr>
                <w:rFonts w:ascii="Times New Roman" w:eastAsia="標楷體" w:hAnsi="Times New Roman"/>
                <w:szCs w:val="24"/>
              </w:rPr>
              <w:t>標的三</w:t>
            </w:r>
          </w:p>
        </w:tc>
        <w:tc>
          <w:tcPr>
            <w:tcW w:w="944" w:type="dxa"/>
            <w:tcBorders>
              <w:top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調整</w:t>
            </w:r>
            <w:r>
              <w:rPr>
                <w:rFonts w:ascii="Times New Roman" w:eastAsia="標楷體" w:hAnsi="Times New Roman"/>
                <w:szCs w:val="24"/>
              </w:rPr>
              <w:br/>
            </w:r>
            <w:r>
              <w:rPr>
                <w:rFonts w:ascii="Times New Roman" w:eastAsia="標楷體" w:hAnsi="Times New Roman"/>
                <w:szCs w:val="24"/>
              </w:rPr>
              <w:t>百分率</w:t>
            </w:r>
          </w:p>
        </w:tc>
      </w:tr>
      <w:tr w:rsidR="0018444C">
        <w:trPr>
          <w:trHeight w:val="330"/>
        </w:trPr>
        <w:tc>
          <w:tcPr>
            <w:tcW w:w="456" w:type="dxa"/>
            <w:vMerge w:val="restart"/>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宗地條件</w:t>
            </w: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土地使用分區</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總價與單價關係</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面積</w:t>
            </w:r>
            <w:r>
              <w:rPr>
                <w:rFonts w:ascii="Times New Roman" w:eastAsia="標楷體" w:hAnsi="Times New Roman"/>
                <w:szCs w:val="24"/>
              </w:rPr>
              <w:t>(</w:t>
            </w:r>
            <w:r>
              <w:rPr>
                <w:rFonts w:ascii="Times New Roman" w:eastAsia="標楷體" w:hAnsi="Times New Roman"/>
                <w:szCs w:val="24"/>
              </w:rPr>
              <w:t>坪</w:t>
            </w:r>
            <w:r>
              <w:rPr>
                <w:rFonts w:ascii="Times New Roman" w:eastAsia="標楷體" w:hAnsi="Times New Roman"/>
                <w:szCs w:val="24"/>
              </w:rPr>
              <w:t>)</w:t>
            </w:r>
            <w:r>
              <w:rPr>
                <w:rFonts w:ascii="Times New Roman" w:eastAsia="標楷體" w:hAnsi="Times New Roman"/>
                <w:szCs w:val="24"/>
              </w:rPr>
              <w:t>與規劃潛力</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pPr>
            <w:r>
              <w:rPr>
                <w:rFonts w:ascii="Times New Roman" w:eastAsia="標楷體" w:hAnsi="Times New Roman"/>
                <w:szCs w:val="24"/>
              </w:rPr>
              <w:t>法定建蔽率</w:t>
            </w:r>
            <w:r>
              <w:rPr>
                <w:rFonts w:ascii="Times New Roman" w:eastAsia="標楷體" w:hAnsi="Times New Roman"/>
                <w:sz w:val="22"/>
              </w:rPr>
              <w:t>(%)</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pPr>
            <w:r>
              <w:rPr>
                <w:rFonts w:ascii="Times New Roman" w:eastAsia="標楷體" w:hAnsi="Times New Roman"/>
                <w:szCs w:val="24"/>
              </w:rPr>
              <w:t>法定容積率</w:t>
            </w:r>
            <w:r>
              <w:rPr>
                <w:rFonts w:ascii="Times New Roman" w:eastAsia="標楷體" w:hAnsi="Times New Roman"/>
                <w:sz w:val="22"/>
              </w:rPr>
              <w:t>(%)</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pPr>
            <w:r>
              <w:rPr>
                <w:rFonts w:ascii="Times New Roman" w:eastAsia="標楷體" w:hAnsi="Times New Roman"/>
                <w:szCs w:val="24"/>
              </w:rPr>
              <w:t>允建容積率</w:t>
            </w:r>
            <w:r>
              <w:rPr>
                <w:rFonts w:ascii="Times New Roman" w:eastAsia="標楷體" w:hAnsi="Times New Roman"/>
                <w:sz w:val="22"/>
              </w:rPr>
              <w:t>(%)</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土地形狀</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地形地勢</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寬深度比</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鄰地使用</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開發限制</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小計</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2" w:type="dxa"/>
            <w:gridSpan w:val="2"/>
            <w:tcBorders>
              <w:top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val="restart"/>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道路條件</w:t>
            </w: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proofErr w:type="gramStart"/>
            <w:r>
              <w:rPr>
                <w:rFonts w:ascii="Times New Roman" w:eastAsia="標楷體" w:hAnsi="Times New Roman"/>
                <w:szCs w:val="24"/>
              </w:rPr>
              <w:t>臨路條件</w:t>
            </w:r>
            <w:proofErr w:type="gramEnd"/>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proofErr w:type="gramStart"/>
            <w:r>
              <w:rPr>
                <w:rFonts w:ascii="Times New Roman" w:eastAsia="標楷體" w:hAnsi="Times New Roman"/>
                <w:szCs w:val="24"/>
              </w:rPr>
              <w:t>臨路寬度</w:t>
            </w:r>
            <w:proofErr w:type="gramEnd"/>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道路種別</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道路鋪設</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道路規劃</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小計</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2" w:type="dxa"/>
            <w:gridSpan w:val="2"/>
            <w:tcBorders>
              <w:top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val="restart"/>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接近條件</w:t>
            </w: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接近車站程度</w:t>
            </w:r>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接近學校程度</w:t>
            </w:r>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接近市場程度</w:t>
            </w:r>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接近公園程度</w:t>
            </w:r>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接近停車場程度</w:t>
            </w:r>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接近服務設施程度</w:t>
            </w:r>
            <w:r>
              <w:rPr>
                <w:rFonts w:ascii="Times New Roman" w:eastAsia="標楷體" w:hAnsi="Times New Roman"/>
                <w:szCs w:val="24"/>
              </w:rPr>
              <w:t>(M)</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小計</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2" w:type="dxa"/>
            <w:gridSpan w:val="2"/>
            <w:tcBorders>
              <w:top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val="restart"/>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環境條件</w:t>
            </w: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嫌惡設施有無</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日照</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通風</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景觀有無</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停車方便性</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Cs w:val="24"/>
              </w:rPr>
            </w:pP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商業聚集度</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456" w:type="dxa"/>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rPr>
                <w:rFonts w:ascii="Times New Roman" w:eastAsia="標楷體" w:hAnsi="Times New Roman"/>
                <w:szCs w:val="24"/>
              </w:rPr>
            </w:pPr>
            <w:r>
              <w:rPr>
                <w:rFonts w:ascii="Times New Roman" w:eastAsia="標楷體" w:hAnsi="Times New Roman"/>
                <w:szCs w:val="24"/>
              </w:rPr>
              <w:t xml:space="preserve">　</w:t>
            </w:r>
          </w:p>
        </w:tc>
        <w:tc>
          <w:tcPr>
            <w:tcW w:w="250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小計</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2" w:type="dxa"/>
            <w:gridSpan w:val="2"/>
            <w:tcBorders>
              <w:top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2962"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其他</w:t>
            </w:r>
          </w:p>
        </w:tc>
        <w:tc>
          <w:tcPr>
            <w:tcW w:w="8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11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944" w:type="dxa"/>
            <w:tcBorders>
              <w:bottom w:val="sing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r w:rsidR="0018444C">
        <w:trPr>
          <w:trHeight w:val="330"/>
        </w:trPr>
        <w:tc>
          <w:tcPr>
            <w:tcW w:w="2962"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jc w:val="center"/>
              <w:rPr>
                <w:rFonts w:ascii="Times New Roman" w:eastAsia="標楷體" w:hAnsi="Times New Roman"/>
                <w:szCs w:val="24"/>
              </w:rPr>
            </w:pPr>
            <w:r>
              <w:rPr>
                <w:rFonts w:ascii="Times New Roman" w:eastAsia="標楷體" w:hAnsi="Times New Roman"/>
                <w:szCs w:val="24"/>
              </w:rPr>
              <w:t>個別因素調整百分率</w:t>
            </w:r>
          </w:p>
        </w:tc>
        <w:tc>
          <w:tcPr>
            <w:tcW w:w="879" w:type="dxa"/>
            <w:tcBorders>
              <w:bottom w:val="doub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4" w:type="dxa"/>
            <w:gridSpan w:val="2"/>
            <w:tcBorders>
              <w:top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c>
          <w:tcPr>
            <w:tcW w:w="2072" w:type="dxa"/>
            <w:gridSpan w:val="2"/>
            <w:tcBorders>
              <w:top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8444C" w:rsidRDefault="0018444C">
            <w:pPr>
              <w:jc w:val="center"/>
              <w:rPr>
                <w:rFonts w:ascii="Times New Roman" w:eastAsia="標楷體" w:hAnsi="Times New Roman"/>
                <w:szCs w:val="24"/>
              </w:rPr>
            </w:pPr>
          </w:p>
        </w:tc>
      </w:tr>
    </w:tbl>
    <w:p w:rsidR="0018444C" w:rsidRDefault="0018444C">
      <w:pPr>
        <w:pStyle w:val="DefaultText"/>
        <w:spacing w:before="40" w:after="40" w:line="440" w:lineRule="exact"/>
        <w:ind w:left="1560"/>
        <w:jc w:val="both"/>
        <w:rPr>
          <w:rFonts w:ascii="Times New Roman" w:eastAsia="標楷體" w:hAnsi="Times New Roman"/>
          <w:sz w:val="24"/>
          <w:szCs w:val="24"/>
        </w:rPr>
      </w:pPr>
    </w:p>
    <w:p w:rsidR="0018444C" w:rsidRDefault="00980E38">
      <w:pPr>
        <w:pStyle w:val="DefaultText"/>
        <w:spacing w:before="40" w:after="40" w:line="440" w:lineRule="exact"/>
        <w:ind w:left="1560"/>
        <w:jc w:val="both"/>
        <w:sectPr w:rsidR="0018444C">
          <w:headerReference w:type="even" r:id="rId11"/>
          <w:headerReference w:type="default" r:id="rId12"/>
          <w:footerReference w:type="even" r:id="rId13"/>
          <w:footerReference w:type="default" r:id="rId14"/>
          <w:pgSz w:w="11905" w:h="16838"/>
          <w:pgMar w:top="1701" w:right="907" w:bottom="851" w:left="907" w:header="646" w:footer="392" w:gutter="0"/>
          <w:cols w:space="720"/>
        </w:sectPr>
      </w:pPr>
      <w:r>
        <w:rPr>
          <w:rFonts w:ascii="Times New Roman" w:eastAsia="標楷體" w:hAnsi="Times New Roman"/>
          <w:sz w:val="24"/>
          <w:szCs w:val="24"/>
        </w:rPr>
        <w:t>《注意須知》：參見前述含容積移入基地「比較法」之《注意須知》內容。</w:t>
      </w:r>
    </w:p>
    <w:p w:rsidR="0018444C" w:rsidRDefault="00980E38">
      <w:pPr>
        <w:pStyle w:val="DefaultText"/>
        <w:numPr>
          <w:ilvl w:val="0"/>
          <w:numId w:val="60"/>
        </w:numPr>
        <w:tabs>
          <w:tab w:val="center" w:pos="1985"/>
        </w:tabs>
        <w:spacing w:before="40" w:after="40" w:line="440" w:lineRule="exact"/>
        <w:ind w:left="1985" w:hanging="425"/>
      </w:pPr>
      <w:r>
        <w:rPr>
          <w:rFonts w:ascii="Times New Roman" w:eastAsia="標楷體" w:hAnsi="Times New Roman"/>
          <w:bCs/>
          <w:szCs w:val="28"/>
        </w:rPr>
        <w:lastRenderedPageBreak/>
        <w:t>未含容積移入之基地</w:t>
      </w:r>
      <w:r>
        <w:rPr>
          <w:rFonts w:ascii="Times New Roman" w:eastAsia="標楷體" w:hAnsi="Times New Roman"/>
        </w:rPr>
        <w:t>與比較標的總</w:t>
      </w:r>
      <w:proofErr w:type="gramStart"/>
      <w:r>
        <w:rPr>
          <w:rFonts w:ascii="Times New Roman" w:eastAsia="標楷體" w:hAnsi="Times New Roman"/>
        </w:rPr>
        <w:t>調整率表</w:t>
      </w:r>
      <w:proofErr w:type="gramEnd"/>
      <w:r>
        <w:rPr>
          <w:rFonts w:ascii="Times New Roman" w:eastAsia="標楷體" w:hAnsi="Times New Roman"/>
        </w:rPr>
        <w:t>：</w:t>
      </w:r>
    </w:p>
    <w:tbl>
      <w:tblPr>
        <w:tblW w:w="9072" w:type="dxa"/>
        <w:jc w:val="center"/>
        <w:tblLayout w:type="fixed"/>
        <w:tblCellMar>
          <w:left w:w="10" w:type="dxa"/>
          <w:right w:w="10" w:type="dxa"/>
        </w:tblCellMar>
        <w:tblLook w:val="0000" w:firstRow="0" w:lastRow="0" w:firstColumn="0" w:lastColumn="0" w:noHBand="0" w:noVBand="0"/>
      </w:tblPr>
      <w:tblGrid>
        <w:gridCol w:w="1276"/>
        <w:gridCol w:w="1694"/>
        <w:gridCol w:w="2133"/>
        <w:gridCol w:w="1984"/>
        <w:gridCol w:w="1985"/>
      </w:tblGrid>
      <w:tr w:rsidR="0018444C">
        <w:trPr>
          <w:cantSplit/>
          <w:trHeight w:hRule="exact" w:val="660"/>
          <w:jc w:val="center"/>
        </w:trPr>
        <w:tc>
          <w:tcPr>
            <w:tcW w:w="2970" w:type="dxa"/>
            <w:gridSpan w:val="2"/>
            <w:tcBorders>
              <w:top w:val="double" w:sz="4"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項目</w:t>
            </w:r>
          </w:p>
        </w:tc>
        <w:tc>
          <w:tcPr>
            <w:tcW w:w="2133" w:type="dxa"/>
            <w:tcBorders>
              <w:top w:val="double" w:sz="4"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center"/>
              <w:rPr>
                <w:rFonts w:ascii="Times New Roman" w:eastAsia="標楷體" w:hAnsi="Times New Roman"/>
                <w:sz w:val="22"/>
                <w:szCs w:val="22"/>
              </w:rPr>
            </w:pPr>
            <w:r>
              <w:rPr>
                <w:rFonts w:ascii="Times New Roman" w:eastAsia="標楷體" w:hAnsi="Times New Roman"/>
                <w:sz w:val="22"/>
                <w:szCs w:val="22"/>
              </w:rPr>
              <w:t>比較標的</w:t>
            </w:r>
            <w:proofErr w:type="gramStart"/>
            <w:r>
              <w:rPr>
                <w:rFonts w:ascii="Times New Roman" w:eastAsia="標楷體" w:hAnsi="Times New Roman"/>
                <w:sz w:val="22"/>
                <w:szCs w:val="22"/>
              </w:rPr>
              <w:t>一</w:t>
            </w:r>
            <w:proofErr w:type="gramEnd"/>
          </w:p>
        </w:tc>
        <w:tc>
          <w:tcPr>
            <w:tcW w:w="1984" w:type="dxa"/>
            <w:tcBorders>
              <w:top w:val="double" w:sz="4"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center"/>
              <w:rPr>
                <w:rFonts w:ascii="Times New Roman" w:eastAsia="標楷體" w:hAnsi="Times New Roman"/>
                <w:sz w:val="22"/>
                <w:szCs w:val="22"/>
              </w:rPr>
            </w:pPr>
            <w:r>
              <w:rPr>
                <w:rFonts w:ascii="Times New Roman" w:eastAsia="標楷體" w:hAnsi="Times New Roman"/>
                <w:sz w:val="22"/>
                <w:szCs w:val="22"/>
              </w:rPr>
              <w:t>比較標的二</w:t>
            </w:r>
          </w:p>
        </w:tc>
        <w:tc>
          <w:tcPr>
            <w:tcW w:w="1985" w:type="dxa"/>
            <w:tcBorders>
              <w:top w:val="double" w:sz="4"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center"/>
              <w:rPr>
                <w:rFonts w:ascii="Times New Roman" w:eastAsia="標楷體" w:hAnsi="Times New Roman"/>
                <w:sz w:val="22"/>
                <w:szCs w:val="22"/>
              </w:rPr>
            </w:pPr>
            <w:r>
              <w:rPr>
                <w:rFonts w:ascii="Times New Roman" w:eastAsia="標楷體" w:hAnsi="Times New Roman"/>
                <w:sz w:val="22"/>
                <w:szCs w:val="22"/>
              </w:rPr>
              <w:t>比較標的三</w:t>
            </w:r>
          </w:p>
        </w:tc>
      </w:tr>
      <w:tr w:rsidR="0018444C">
        <w:trPr>
          <w:cantSplit/>
          <w:trHeight w:hRule="exact" w:val="397"/>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0"/>
              <w:spacing w:line="300" w:lineRule="exact"/>
              <w:jc w:val="both"/>
              <w:rPr>
                <w:rFonts w:ascii="Times New Roman" w:eastAsia="標楷體" w:hAnsi="Times New Roman"/>
                <w:sz w:val="22"/>
                <w:szCs w:val="22"/>
              </w:rPr>
            </w:pPr>
            <w:r>
              <w:rPr>
                <w:rFonts w:ascii="Times New Roman" w:eastAsia="標楷體" w:hAnsi="Times New Roman"/>
                <w:sz w:val="22"/>
                <w:szCs w:val="22"/>
              </w:rPr>
              <w:t>交易價格</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0"/>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97"/>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價格型態</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97"/>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情況因素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97"/>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調整後價格</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97"/>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價格日期</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97"/>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調整後價格</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97"/>
          <w:jc w:val="center"/>
        </w:trPr>
        <w:tc>
          <w:tcPr>
            <w:tcW w:w="1276"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區域因素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97"/>
          <w:jc w:val="center"/>
        </w:trPr>
        <w:tc>
          <w:tcPr>
            <w:tcW w:w="1276"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R"/>
              <w:spacing w:line="300" w:lineRule="exact"/>
              <w:jc w:val="both"/>
              <w:rPr>
                <w:rFonts w:ascii="Times New Roman" w:eastAsia="標楷體" w:hAnsi="Times New Roman"/>
                <w:sz w:val="22"/>
                <w:szCs w:val="22"/>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調整後售價</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97"/>
          <w:jc w:val="center"/>
        </w:trPr>
        <w:tc>
          <w:tcPr>
            <w:tcW w:w="1276" w:type="dxa"/>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個別因素</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DefaultText"/>
              <w:spacing w:line="300" w:lineRule="exact"/>
              <w:jc w:val="both"/>
              <w:rPr>
                <w:rFonts w:ascii="Times New Roman" w:eastAsia="標楷體" w:hAnsi="Times New Roman"/>
                <w:sz w:val="22"/>
                <w:szCs w:val="22"/>
              </w:rPr>
            </w:pPr>
            <w:r>
              <w:rPr>
                <w:rFonts w:ascii="Times New Roman" w:eastAsia="標楷體" w:hAnsi="Times New Roman"/>
                <w:sz w:val="22"/>
                <w:szCs w:val="22"/>
              </w:rPr>
              <w:t>調整百分率</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97"/>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spacing w:line="300" w:lineRule="exact"/>
              <w:jc w:val="both"/>
              <w:rPr>
                <w:rFonts w:ascii="Times New Roman" w:eastAsia="標楷體" w:hAnsi="Times New Roman"/>
                <w:sz w:val="22"/>
              </w:rPr>
            </w:pPr>
            <w:r>
              <w:rPr>
                <w:rFonts w:ascii="Times New Roman" w:eastAsia="標楷體" w:hAnsi="Times New Roman"/>
                <w:sz w:val="22"/>
              </w:rPr>
              <w:t>試算價格</w:t>
            </w:r>
            <w:r>
              <w:rPr>
                <w:rFonts w:ascii="Times New Roman" w:eastAsia="標楷體" w:hAnsi="Times New Roman"/>
                <w:sz w:val="22"/>
              </w:rPr>
              <w:t>(</w:t>
            </w:r>
            <w:r>
              <w:rPr>
                <w:rFonts w:ascii="Times New Roman" w:eastAsia="標楷體" w:hAnsi="Times New Roman"/>
                <w:sz w:val="22"/>
              </w:rPr>
              <w:t>元</w:t>
            </w:r>
            <w:r>
              <w:rPr>
                <w:rFonts w:ascii="Times New Roman" w:eastAsia="標楷體" w:hAnsi="Times New Roman"/>
                <w:sz w:val="22"/>
              </w:rPr>
              <w:t>/</w:t>
            </w:r>
            <w:r>
              <w:rPr>
                <w:rFonts w:ascii="Times New Roman" w:eastAsia="標楷體" w:hAnsi="Times New Roman"/>
                <w:sz w:val="22"/>
              </w:rPr>
              <w:t>坪</w:t>
            </w:r>
            <w:r>
              <w:rPr>
                <w:rFonts w:ascii="Times New Roman" w:eastAsia="標楷體" w:hAnsi="Times New Roman"/>
                <w:sz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97"/>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比較標的加權數</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DefaultText"/>
              <w:spacing w:line="300" w:lineRule="exact"/>
              <w:jc w:val="both"/>
              <w:rPr>
                <w:rFonts w:ascii="Times New Roman" w:eastAsia="標楷體" w:hAnsi="Times New Roman"/>
                <w:sz w:val="22"/>
                <w:szCs w:val="22"/>
              </w:rPr>
            </w:pPr>
          </w:p>
        </w:tc>
      </w:tr>
      <w:tr w:rsidR="0018444C">
        <w:trPr>
          <w:cantSplit/>
          <w:trHeight w:hRule="exact" w:val="397"/>
          <w:jc w:val="center"/>
        </w:trPr>
        <w:tc>
          <w:tcPr>
            <w:tcW w:w="2970"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加權數計算後金額</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tc>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c>
          <w:tcPr>
            <w:tcW w:w="1985" w:type="dxa"/>
            <w:tcBorders>
              <w:top w:val="single" w:sz="6" w:space="0" w:color="000000"/>
              <w:left w:val="single" w:sz="6" w:space="0" w:color="000000"/>
              <w:bottom w:val="single" w:sz="6" w:space="0" w:color="000000"/>
              <w:right w:val="double" w:sz="4" w:space="0" w:color="000000"/>
            </w:tcBorders>
            <w:shd w:val="clear" w:color="auto" w:fill="auto"/>
            <w:tcMar>
              <w:top w:w="0" w:type="dxa"/>
              <w:left w:w="64" w:type="dxa"/>
              <w:bottom w:w="0" w:type="dxa"/>
              <w:right w:w="64" w:type="dxa"/>
            </w:tcMar>
            <w:vAlign w:val="center"/>
          </w:tcPr>
          <w:p w:rsidR="0018444C" w:rsidRDefault="0018444C">
            <w:pPr>
              <w:spacing w:line="300" w:lineRule="exact"/>
              <w:jc w:val="both"/>
              <w:rPr>
                <w:rFonts w:ascii="Times New Roman" w:eastAsia="標楷體" w:hAnsi="Times New Roman"/>
                <w:sz w:val="22"/>
              </w:rPr>
            </w:pPr>
          </w:p>
        </w:tc>
      </w:tr>
      <w:tr w:rsidR="0018444C">
        <w:trPr>
          <w:cantSplit/>
          <w:trHeight w:hRule="exact" w:val="397"/>
          <w:jc w:val="center"/>
        </w:trPr>
        <w:tc>
          <w:tcPr>
            <w:tcW w:w="2970"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64" w:type="dxa"/>
              <w:bottom w:w="0" w:type="dxa"/>
              <w:right w:w="64" w:type="dxa"/>
            </w:tcMar>
            <w:vAlign w:val="center"/>
          </w:tcPr>
          <w:p w:rsidR="0018444C" w:rsidRDefault="00980E38">
            <w:pPr>
              <w:pStyle w:val="R"/>
              <w:spacing w:line="300" w:lineRule="exact"/>
              <w:jc w:val="both"/>
              <w:rPr>
                <w:rFonts w:ascii="Times New Roman" w:eastAsia="標楷體" w:hAnsi="Times New Roman"/>
                <w:sz w:val="22"/>
                <w:szCs w:val="22"/>
              </w:rPr>
            </w:pPr>
            <w:r>
              <w:rPr>
                <w:rFonts w:ascii="Times New Roman" w:eastAsia="標楷體" w:hAnsi="Times New Roman"/>
                <w:sz w:val="22"/>
                <w:szCs w:val="22"/>
              </w:rPr>
              <w:t>最後推定比較價格</w:t>
            </w:r>
            <w:r>
              <w:rPr>
                <w:rFonts w:ascii="Times New Roman" w:eastAsia="標楷體" w:hAnsi="Times New Roman"/>
                <w:sz w:val="22"/>
                <w:szCs w:val="22"/>
              </w:rPr>
              <w:t>(</w:t>
            </w:r>
            <w:r>
              <w:rPr>
                <w:rFonts w:ascii="Times New Roman" w:eastAsia="標楷體" w:hAnsi="Times New Roman"/>
                <w:sz w:val="22"/>
                <w:szCs w:val="22"/>
              </w:rPr>
              <w:t>元</w:t>
            </w:r>
            <w:r>
              <w:rPr>
                <w:rFonts w:ascii="Times New Roman" w:eastAsia="標楷體" w:hAnsi="Times New Roman"/>
                <w:sz w:val="22"/>
                <w:szCs w:val="22"/>
              </w:rPr>
              <w:t>/</w:t>
            </w:r>
            <w:r>
              <w:rPr>
                <w:rFonts w:ascii="Times New Roman" w:eastAsia="標楷體" w:hAnsi="Times New Roman"/>
                <w:sz w:val="22"/>
                <w:szCs w:val="22"/>
              </w:rPr>
              <w:t>坪</w:t>
            </w:r>
            <w:r>
              <w:rPr>
                <w:rFonts w:ascii="Times New Roman" w:eastAsia="標楷體" w:hAnsi="Times New Roman"/>
                <w:sz w:val="22"/>
                <w:szCs w:val="22"/>
              </w:rPr>
              <w:t>)</w:t>
            </w:r>
          </w:p>
        </w:tc>
        <w:tc>
          <w:tcPr>
            <w:tcW w:w="6102"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64" w:type="dxa"/>
              <w:bottom w:w="0" w:type="dxa"/>
              <w:right w:w="64" w:type="dxa"/>
            </w:tcMar>
            <w:vAlign w:val="center"/>
          </w:tcPr>
          <w:p w:rsidR="0018444C" w:rsidRDefault="0018444C">
            <w:pPr>
              <w:pStyle w:val="r0"/>
              <w:spacing w:line="300" w:lineRule="exact"/>
              <w:jc w:val="both"/>
              <w:rPr>
                <w:rFonts w:ascii="Times New Roman" w:eastAsia="標楷體" w:hAnsi="Times New Roman"/>
                <w:sz w:val="22"/>
                <w:szCs w:val="22"/>
              </w:rPr>
            </w:pPr>
          </w:p>
        </w:tc>
      </w:tr>
    </w:tbl>
    <w:p w:rsidR="0018444C" w:rsidRDefault="0018444C">
      <w:pPr>
        <w:pStyle w:val="DefaultText"/>
        <w:tabs>
          <w:tab w:val="center" w:pos="1985"/>
        </w:tabs>
        <w:spacing w:before="40" w:after="40" w:line="440" w:lineRule="exact"/>
        <w:ind w:left="1985"/>
        <w:rPr>
          <w:rFonts w:ascii="Times New Roman" w:eastAsia="標楷體" w:hAnsi="Times New Roman"/>
        </w:rPr>
      </w:pPr>
    </w:p>
    <w:p w:rsidR="0018444C" w:rsidRDefault="00980E38">
      <w:pPr>
        <w:pStyle w:val="DefaultText"/>
        <w:numPr>
          <w:ilvl w:val="0"/>
          <w:numId w:val="60"/>
        </w:numPr>
        <w:tabs>
          <w:tab w:val="center" w:pos="1985"/>
        </w:tabs>
        <w:spacing w:before="40" w:after="40" w:line="440" w:lineRule="exact"/>
        <w:ind w:left="1985" w:hanging="425"/>
      </w:pPr>
      <w:r>
        <w:rPr>
          <w:rFonts w:ascii="Times New Roman" w:eastAsia="標楷體" w:hAnsi="Times New Roman"/>
          <w:bCs/>
          <w:szCs w:val="28"/>
        </w:rPr>
        <w:t>未含容積移入之基地</w:t>
      </w:r>
      <w:r>
        <w:rPr>
          <w:rFonts w:ascii="Times New Roman" w:eastAsia="標楷體" w:hAnsi="Times New Roman"/>
        </w:rPr>
        <w:t>比較價格結論：</w:t>
      </w:r>
    </w:p>
    <w:p w:rsidR="0018444C" w:rsidRDefault="0018444C">
      <w:pPr>
        <w:pStyle w:val="affff"/>
        <w:ind w:left="1644" w:firstLine="480"/>
        <w:rPr>
          <w:rFonts w:ascii="Times New Roman" w:hAnsi="Times New Roman"/>
        </w:rPr>
      </w:pPr>
    </w:p>
    <w:p w:rsidR="0018444C" w:rsidRDefault="0018444C">
      <w:pPr>
        <w:pStyle w:val="affff"/>
        <w:ind w:left="1644" w:firstLine="480"/>
        <w:rPr>
          <w:rFonts w:ascii="Times New Roman" w:hAnsi="Times New Roman"/>
        </w:rPr>
      </w:pPr>
    </w:p>
    <w:p w:rsidR="0018444C" w:rsidRDefault="0018444C">
      <w:pPr>
        <w:pStyle w:val="affff"/>
        <w:ind w:left="1644" w:firstLine="480"/>
        <w:rPr>
          <w:rFonts w:ascii="Times New Roman" w:hAnsi="Times New Roman"/>
        </w:rPr>
      </w:pPr>
    </w:p>
    <w:p w:rsidR="0018444C" w:rsidRDefault="0018444C">
      <w:pPr>
        <w:pStyle w:val="affff"/>
        <w:ind w:left="1644" w:firstLine="480"/>
        <w:rPr>
          <w:rFonts w:ascii="Times New Roman" w:hAnsi="Times New Roman"/>
        </w:rPr>
      </w:pPr>
    </w:p>
    <w:p w:rsidR="0018444C" w:rsidRDefault="0018444C">
      <w:pPr>
        <w:pStyle w:val="affff"/>
        <w:ind w:left="1644" w:firstLine="480"/>
        <w:rPr>
          <w:rFonts w:ascii="Times New Roman" w:hAnsi="Times New Roman"/>
        </w:rPr>
      </w:pPr>
    </w:p>
    <w:p w:rsidR="0018444C" w:rsidRDefault="0018444C">
      <w:pPr>
        <w:pStyle w:val="affff"/>
        <w:ind w:left="1644" w:firstLine="480"/>
        <w:rPr>
          <w:rFonts w:ascii="Times New Roman" w:hAnsi="Times New Roman"/>
        </w:rPr>
      </w:pPr>
    </w:p>
    <w:p w:rsidR="0018444C" w:rsidRDefault="0018444C">
      <w:pPr>
        <w:pStyle w:val="affff"/>
        <w:ind w:left="1644" w:firstLine="480"/>
        <w:rPr>
          <w:rFonts w:ascii="Times New Roman" w:hAnsi="Times New Roman"/>
        </w:rPr>
      </w:pPr>
    </w:p>
    <w:p w:rsidR="0018444C" w:rsidRDefault="0018444C">
      <w:pPr>
        <w:pStyle w:val="affff"/>
        <w:ind w:left="1644" w:firstLine="480"/>
        <w:rPr>
          <w:rFonts w:ascii="Times New Roman" w:hAnsi="Times New Roman"/>
        </w:rPr>
      </w:pPr>
    </w:p>
    <w:p w:rsidR="0018444C" w:rsidRDefault="0018444C">
      <w:pPr>
        <w:pStyle w:val="2"/>
        <w:pageBreakBefore/>
        <w:tabs>
          <w:tab w:val="left" w:pos="993"/>
          <w:tab w:val="left" w:pos="1134"/>
        </w:tabs>
        <w:spacing w:line="440" w:lineRule="exact"/>
        <w:ind w:left="883"/>
        <w:rPr>
          <w:rFonts w:ascii="Times New Roman" w:hAnsi="Times New Roman"/>
        </w:rPr>
      </w:pPr>
    </w:p>
    <w:p w:rsidR="0018444C" w:rsidRDefault="00980E38">
      <w:pPr>
        <w:pStyle w:val="DefaultText"/>
        <w:numPr>
          <w:ilvl w:val="0"/>
          <w:numId w:val="52"/>
        </w:numPr>
        <w:spacing w:before="40" w:after="40" w:line="440" w:lineRule="exact"/>
        <w:ind w:left="1418" w:hanging="709"/>
      </w:pPr>
      <w:bookmarkStart w:id="313" w:name="_Toc488152840"/>
      <w:bookmarkStart w:id="314" w:name="_Toc488163393"/>
      <w:r>
        <w:rPr>
          <w:rStyle w:val="30"/>
          <w:rFonts w:ascii="Times New Roman" w:hAnsi="Times New Roman"/>
        </w:rPr>
        <w:t>折現現金流量分析法評估過程</w:t>
      </w:r>
      <w:bookmarkEnd w:id="313"/>
      <w:bookmarkEnd w:id="314"/>
      <w:r>
        <w:rPr>
          <w:rFonts w:ascii="Times New Roman" w:eastAsia="標楷體" w:hAnsi="Times New Roman"/>
        </w:rPr>
        <w:t>：</w:t>
      </w:r>
    </w:p>
    <w:p w:rsidR="0018444C" w:rsidRDefault="00980E38">
      <w:pPr>
        <w:pStyle w:val="DefaultText"/>
        <w:numPr>
          <w:ilvl w:val="0"/>
          <w:numId w:val="61"/>
        </w:numPr>
        <w:spacing w:before="40" w:after="40" w:line="440" w:lineRule="exact"/>
        <w:ind w:left="1559" w:hanging="425"/>
        <w:rPr>
          <w:rFonts w:ascii="Times New Roman" w:eastAsia="標楷體" w:hAnsi="Times New Roman"/>
          <w:szCs w:val="28"/>
        </w:rPr>
      </w:pPr>
      <w:r>
        <w:rPr>
          <w:rFonts w:ascii="Times New Roman" w:eastAsia="標楷體" w:hAnsi="Times New Roman"/>
          <w:szCs w:val="28"/>
        </w:rPr>
        <w:t>折現現金流量分析期間</w:t>
      </w:r>
    </w:p>
    <w:p w:rsidR="0018444C" w:rsidRDefault="00980E38">
      <w:pPr>
        <w:pStyle w:val="DefaultText"/>
        <w:spacing w:before="40" w:after="40" w:line="440" w:lineRule="exact"/>
        <w:ind w:left="2271" w:hanging="406"/>
        <w:jc w:val="both"/>
        <w:rPr>
          <w:rFonts w:ascii="Times New Roman" w:eastAsia="標楷體" w:hAnsi="Times New Roman"/>
          <w:sz w:val="24"/>
          <w:szCs w:val="24"/>
        </w:rPr>
      </w:pPr>
      <w:r>
        <w:rPr>
          <w:rFonts w:ascii="Times New Roman" w:eastAsia="標楷體" w:hAnsi="Times New Roman"/>
          <w:sz w:val="24"/>
          <w:szCs w:val="24"/>
        </w:rPr>
        <w:t>《注意須知》：現金流量分析期間依下列原則定之</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收益無一定期限者，分析期間以</w:t>
      </w:r>
      <w:proofErr w:type="gramStart"/>
      <w:r>
        <w:rPr>
          <w:rFonts w:ascii="Times New Roman" w:eastAsia="標楷體" w:hAnsi="Times New Roman"/>
          <w:sz w:val="24"/>
          <w:szCs w:val="24"/>
        </w:rPr>
        <w:t>不</w:t>
      </w:r>
      <w:proofErr w:type="gramEnd"/>
      <w:r>
        <w:rPr>
          <w:rFonts w:ascii="Times New Roman" w:eastAsia="標楷體" w:hAnsi="Times New Roman"/>
          <w:sz w:val="24"/>
          <w:szCs w:val="24"/>
        </w:rPr>
        <w:t>逾十年為原則。</w:t>
      </w:r>
    </w:p>
    <w:p w:rsidR="0018444C" w:rsidRDefault="00980E38">
      <w:pPr>
        <w:pStyle w:val="DefaultText"/>
        <w:numPr>
          <w:ilvl w:val="0"/>
          <w:numId w:val="39"/>
        </w:numPr>
        <w:spacing w:before="40" w:after="40" w:line="440" w:lineRule="exact"/>
        <w:ind w:hanging="280"/>
        <w:jc w:val="both"/>
        <w:rPr>
          <w:rFonts w:ascii="Times New Roman" w:eastAsia="標楷體" w:hAnsi="Times New Roman"/>
          <w:sz w:val="24"/>
          <w:szCs w:val="24"/>
        </w:rPr>
      </w:pPr>
      <w:r>
        <w:rPr>
          <w:rFonts w:ascii="Times New Roman" w:eastAsia="標楷體" w:hAnsi="Times New Roman"/>
          <w:sz w:val="24"/>
          <w:szCs w:val="24"/>
        </w:rPr>
        <w:t>收益有特定期限者，則應依剩餘期間估算。</w:t>
      </w:r>
    </w:p>
    <w:p w:rsidR="0018444C" w:rsidRDefault="00980E38">
      <w:pPr>
        <w:pStyle w:val="DefaultText"/>
        <w:numPr>
          <w:ilvl w:val="0"/>
          <w:numId w:val="61"/>
        </w:numPr>
        <w:spacing w:before="40" w:after="40" w:line="440" w:lineRule="exact"/>
        <w:ind w:left="1559" w:hanging="425"/>
        <w:rPr>
          <w:rFonts w:ascii="Times New Roman" w:eastAsia="標楷體" w:hAnsi="Times New Roman"/>
          <w:szCs w:val="28"/>
        </w:rPr>
      </w:pPr>
      <w:r>
        <w:rPr>
          <w:rFonts w:ascii="Times New Roman" w:eastAsia="標楷體" w:hAnsi="Times New Roman"/>
          <w:szCs w:val="28"/>
        </w:rPr>
        <w:t>總收入及有效總收入分析</w:t>
      </w:r>
    </w:p>
    <w:p w:rsidR="0018444C" w:rsidRDefault="00980E38">
      <w:pPr>
        <w:pStyle w:val="DefaultText"/>
        <w:spacing w:before="40" w:after="40" w:line="440" w:lineRule="exact"/>
        <w:ind w:left="2271" w:hanging="406"/>
        <w:jc w:val="both"/>
        <w:rPr>
          <w:rFonts w:ascii="Times New Roman" w:eastAsia="標楷體" w:hAnsi="Times New Roman"/>
          <w:sz w:val="24"/>
          <w:szCs w:val="24"/>
        </w:rPr>
      </w:pPr>
      <w:r>
        <w:rPr>
          <w:rFonts w:ascii="Times New Roman" w:eastAsia="標楷體" w:hAnsi="Times New Roman"/>
          <w:sz w:val="24"/>
          <w:szCs w:val="24"/>
        </w:rPr>
        <w:t>《注意須知》：請參照本範本前述事項。</w:t>
      </w:r>
    </w:p>
    <w:p w:rsidR="0018444C" w:rsidRDefault="00980E38">
      <w:pPr>
        <w:pStyle w:val="DefaultText"/>
        <w:numPr>
          <w:ilvl w:val="0"/>
          <w:numId w:val="62"/>
        </w:numPr>
        <w:spacing w:before="40" w:after="40" w:line="440" w:lineRule="exact"/>
        <w:ind w:left="2240" w:hanging="378"/>
        <w:jc w:val="both"/>
        <w:rPr>
          <w:rFonts w:ascii="Times New Roman" w:eastAsia="標楷體" w:hAnsi="Times New Roman"/>
          <w:szCs w:val="28"/>
        </w:rPr>
      </w:pPr>
      <w:r>
        <w:rPr>
          <w:rFonts w:ascii="Times New Roman" w:eastAsia="標楷體" w:hAnsi="Times New Roman"/>
          <w:szCs w:val="28"/>
        </w:rPr>
        <w:t>合理市場租金評估</w:t>
      </w:r>
    </w:p>
    <w:p w:rsidR="0018444C" w:rsidRDefault="00980E38">
      <w:pPr>
        <w:pStyle w:val="DefaultText"/>
        <w:spacing w:before="40" w:after="40" w:line="440" w:lineRule="exact"/>
        <w:ind w:left="2271" w:hanging="406"/>
        <w:jc w:val="both"/>
      </w:pPr>
      <w:r>
        <w:rPr>
          <w:rFonts w:ascii="Times New Roman" w:eastAsia="標楷體" w:hAnsi="Times New Roman"/>
          <w:sz w:val="24"/>
          <w:szCs w:val="24"/>
        </w:rPr>
        <w:t>《注意須知》：請參照本範本前述事項。</w:t>
      </w:r>
    </w:p>
    <w:p w:rsidR="0018444C" w:rsidRDefault="00980E38">
      <w:pPr>
        <w:pStyle w:val="DefaultText"/>
        <w:numPr>
          <w:ilvl w:val="0"/>
          <w:numId w:val="62"/>
        </w:numPr>
        <w:spacing w:before="40" w:after="40" w:line="440" w:lineRule="exact"/>
        <w:ind w:left="2240" w:hanging="378"/>
        <w:jc w:val="both"/>
        <w:rPr>
          <w:rFonts w:ascii="Times New Roman" w:eastAsia="標楷體" w:hAnsi="Times New Roman"/>
          <w:szCs w:val="28"/>
        </w:rPr>
      </w:pPr>
      <w:r>
        <w:rPr>
          <w:rFonts w:ascii="Times New Roman" w:eastAsia="標楷體" w:hAnsi="Times New Roman"/>
          <w:szCs w:val="28"/>
        </w:rPr>
        <w:t>押金孳息及其他收入</w:t>
      </w:r>
    </w:p>
    <w:p w:rsidR="0018444C" w:rsidRDefault="00980E38">
      <w:pPr>
        <w:pStyle w:val="DefaultText"/>
        <w:spacing w:before="40" w:after="40" w:line="440" w:lineRule="exact"/>
        <w:ind w:left="2271" w:hanging="406"/>
        <w:jc w:val="both"/>
        <w:rPr>
          <w:rFonts w:ascii="Times New Roman" w:eastAsia="標楷體" w:hAnsi="Times New Roman"/>
          <w:sz w:val="24"/>
          <w:szCs w:val="24"/>
        </w:rPr>
      </w:pPr>
      <w:r>
        <w:rPr>
          <w:rFonts w:ascii="Times New Roman" w:eastAsia="標楷體" w:hAnsi="Times New Roman"/>
          <w:sz w:val="24"/>
          <w:szCs w:val="24"/>
        </w:rPr>
        <w:t>《注意須知》：請參照本範本前述事項。</w:t>
      </w:r>
    </w:p>
    <w:p w:rsidR="0018444C" w:rsidRDefault="00980E38">
      <w:pPr>
        <w:pStyle w:val="DefaultText"/>
        <w:numPr>
          <w:ilvl w:val="0"/>
          <w:numId w:val="62"/>
        </w:numPr>
        <w:spacing w:before="40" w:after="40" w:line="440" w:lineRule="exact"/>
        <w:ind w:left="2240" w:hanging="378"/>
        <w:jc w:val="both"/>
        <w:rPr>
          <w:rFonts w:ascii="Times New Roman" w:eastAsia="標楷體" w:hAnsi="Times New Roman"/>
          <w:szCs w:val="28"/>
        </w:rPr>
      </w:pPr>
      <w:r>
        <w:rPr>
          <w:rFonts w:ascii="Times New Roman" w:eastAsia="標楷體" w:hAnsi="Times New Roman"/>
          <w:szCs w:val="28"/>
        </w:rPr>
        <w:t>閒置及其他損失</w:t>
      </w:r>
    </w:p>
    <w:p w:rsidR="0018444C" w:rsidRDefault="00980E38">
      <w:pPr>
        <w:pStyle w:val="DefaultText"/>
        <w:spacing w:before="40" w:after="40" w:line="440" w:lineRule="exact"/>
        <w:ind w:left="2271" w:hanging="406"/>
        <w:jc w:val="both"/>
        <w:rPr>
          <w:rFonts w:ascii="Times New Roman" w:eastAsia="標楷體" w:hAnsi="Times New Roman"/>
          <w:sz w:val="24"/>
          <w:szCs w:val="24"/>
        </w:rPr>
      </w:pPr>
      <w:r>
        <w:rPr>
          <w:rFonts w:ascii="Times New Roman" w:eastAsia="標楷體" w:hAnsi="Times New Roman"/>
          <w:sz w:val="24"/>
          <w:szCs w:val="24"/>
        </w:rPr>
        <w:t>《注意須知》：請參照本範本前述事項。</w:t>
      </w:r>
    </w:p>
    <w:p w:rsidR="0018444C" w:rsidRDefault="00980E38">
      <w:pPr>
        <w:pStyle w:val="DefaultText"/>
        <w:numPr>
          <w:ilvl w:val="0"/>
          <w:numId w:val="62"/>
        </w:numPr>
        <w:spacing w:before="40" w:after="40" w:line="440" w:lineRule="exact"/>
        <w:ind w:left="2240" w:hanging="378"/>
        <w:jc w:val="both"/>
        <w:rPr>
          <w:rFonts w:ascii="Times New Roman" w:eastAsia="標楷體" w:hAnsi="Times New Roman"/>
          <w:szCs w:val="28"/>
        </w:rPr>
      </w:pPr>
      <w:r>
        <w:rPr>
          <w:rFonts w:ascii="Times New Roman" w:eastAsia="標楷體" w:hAnsi="Times New Roman"/>
          <w:szCs w:val="28"/>
        </w:rPr>
        <w:t>各期現金流入</w:t>
      </w:r>
      <w:r>
        <w:rPr>
          <w:rFonts w:ascii="Times New Roman" w:eastAsia="標楷體" w:hAnsi="Times New Roman"/>
          <w:szCs w:val="28"/>
        </w:rPr>
        <w:t>(</w:t>
      </w:r>
      <w:r>
        <w:rPr>
          <w:rFonts w:ascii="Times New Roman" w:eastAsia="標楷體" w:hAnsi="Times New Roman"/>
          <w:szCs w:val="28"/>
        </w:rPr>
        <w:t>有效總收入</w:t>
      </w:r>
      <w:r>
        <w:rPr>
          <w:rFonts w:ascii="Times New Roman" w:eastAsia="標楷體" w:hAnsi="Times New Roman"/>
          <w:szCs w:val="28"/>
        </w:rPr>
        <w:t>)</w:t>
      </w:r>
      <w:r>
        <w:rPr>
          <w:rFonts w:ascii="Times New Roman" w:eastAsia="標楷體" w:hAnsi="Times New Roman"/>
          <w:szCs w:val="28"/>
        </w:rPr>
        <w:t>分析</w:t>
      </w:r>
    </w:p>
    <w:p w:rsidR="0018444C" w:rsidRDefault="00980E38">
      <w:pPr>
        <w:pStyle w:val="DefaultText"/>
        <w:numPr>
          <w:ilvl w:val="0"/>
          <w:numId w:val="62"/>
        </w:numPr>
        <w:spacing w:before="40" w:after="40" w:line="440" w:lineRule="exact"/>
        <w:ind w:left="2240" w:hanging="378"/>
        <w:jc w:val="both"/>
        <w:rPr>
          <w:rFonts w:ascii="Times New Roman" w:eastAsia="標楷體" w:hAnsi="Times New Roman"/>
          <w:szCs w:val="28"/>
        </w:rPr>
      </w:pPr>
      <w:r>
        <w:rPr>
          <w:rFonts w:ascii="Times New Roman" w:eastAsia="標楷體" w:hAnsi="Times New Roman"/>
          <w:szCs w:val="28"/>
        </w:rPr>
        <w:t>總費用推估</w:t>
      </w:r>
    </w:p>
    <w:p w:rsidR="0018444C" w:rsidRDefault="00980E38">
      <w:pPr>
        <w:pStyle w:val="DefaultText"/>
        <w:spacing w:before="40" w:after="40" w:line="440" w:lineRule="exact"/>
        <w:ind w:left="2271" w:hanging="406"/>
        <w:jc w:val="both"/>
        <w:rPr>
          <w:rFonts w:ascii="Times New Roman" w:eastAsia="標楷體" w:hAnsi="Times New Roman"/>
          <w:sz w:val="24"/>
          <w:szCs w:val="24"/>
        </w:rPr>
      </w:pPr>
      <w:r>
        <w:rPr>
          <w:rFonts w:ascii="Times New Roman" w:eastAsia="標楷體" w:hAnsi="Times New Roman"/>
          <w:sz w:val="24"/>
          <w:szCs w:val="24"/>
        </w:rPr>
        <w:t>《注意須知》：請參照本範本前述事項。</w:t>
      </w:r>
    </w:p>
    <w:p w:rsidR="0018444C" w:rsidRDefault="00980E38">
      <w:pPr>
        <w:pStyle w:val="DefaultText"/>
        <w:numPr>
          <w:ilvl w:val="0"/>
          <w:numId w:val="62"/>
        </w:numPr>
        <w:spacing w:before="40" w:after="40" w:line="440" w:lineRule="exact"/>
        <w:ind w:left="2240" w:hanging="378"/>
        <w:jc w:val="both"/>
        <w:rPr>
          <w:rFonts w:ascii="Times New Roman" w:eastAsia="標楷體" w:hAnsi="Times New Roman"/>
          <w:szCs w:val="28"/>
        </w:rPr>
      </w:pPr>
      <w:r>
        <w:rPr>
          <w:rFonts w:ascii="Times New Roman" w:eastAsia="標楷體" w:hAnsi="Times New Roman"/>
          <w:szCs w:val="28"/>
        </w:rPr>
        <w:t>開發成本推估</w:t>
      </w:r>
    </w:p>
    <w:p w:rsidR="0018444C" w:rsidRDefault="00980E38">
      <w:pPr>
        <w:pStyle w:val="DefaultText"/>
        <w:spacing w:before="40" w:after="40" w:line="440" w:lineRule="exact"/>
        <w:ind w:left="2271" w:hanging="406"/>
        <w:jc w:val="both"/>
        <w:rPr>
          <w:rFonts w:ascii="Times New Roman" w:eastAsia="標楷體" w:hAnsi="Times New Roman"/>
          <w:sz w:val="24"/>
          <w:szCs w:val="24"/>
        </w:rPr>
      </w:pPr>
      <w:r>
        <w:rPr>
          <w:rFonts w:ascii="Times New Roman" w:eastAsia="標楷體" w:hAnsi="Times New Roman"/>
          <w:sz w:val="24"/>
          <w:szCs w:val="24"/>
        </w:rPr>
        <w:t>《注意須知》包含營造施工費、規劃設計費及其他必要費用。並應考量建築工期設定合理之工程比例。</w:t>
      </w:r>
    </w:p>
    <w:p w:rsidR="0018444C" w:rsidRDefault="00980E38">
      <w:pPr>
        <w:pStyle w:val="DefaultText"/>
        <w:numPr>
          <w:ilvl w:val="0"/>
          <w:numId w:val="62"/>
        </w:numPr>
        <w:spacing w:before="40" w:after="40" w:line="440" w:lineRule="exact"/>
        <w:ind w:left="2240" w:hanging="378"/>
        <w:jc w:val="both"/>
        <w:rPr>
          <w:rFonts w:ascii="Times New Roman" w:eastAsia="標楷體" w:hAnsi="Times New Roman"/>
          <w:szCs w:val="28"/>
        </w:rPr>
      </w:pPr>
      <w:r>
        <w:rPr>
          <w:rFonts w:ascii="Times New Roman" w:eastAsia="標楷體" w:hAnsi="Times New Roman"/>
          <w:szCs w:val="28"/>
        </w:rPr>
        <w:t>折現率推估</w:t>
      </w:r>
    </w:p>
    <w:p w:rsidR="0018444C" w:rsidRDefault="00980E38">
      <w:pPr>
        <w:pStyle w:val="DefaultText"/>
        <w:spacing w:before="40" w:after="40" w:line="440" w:lineRule="exact"/>
        <w:ind w:left="2271" w:hanging="406"/>
        <w:jc w:val="both"/>
        <w:rPr>
          <w:rFonts w:ascii="Times New Roman" w:eastAsia="標楷體" w:hAnsi="Times New Roman"/>
          <w:sz w:val="24"/>
          <w:szCs w:val="24"/>
        </w:rPr>
      </w:pPr>
      <w:r>
        <w:rPr>
          <w:rFonts w:ascii="Times New Roman" w:eastAsia="標楷體" w:hAnsi="Times New Roman"/>
          <w:sz w:val="24"/>
          <w:szCs w:val="24"/>
        </w:rPr>
        <w:t>《注意須知》請參照本範本前述事項。</w:t>
      </w:r>
    </w:p>
    <w:p w:rsidR="0018444C" w:rsidRDefault="00980E38">
      <w:pPr>
        <w:pStyle w:val="DefaultText"/>
        <w:numPr>
          <w:ilvl w:val="0"/>
          <w:numId w:val="62"/>
        </w:numPr>
        <w:spacing w:before="40" w:after="40" w:line="440" w:lineRule="exact"/>
        <w:ind w:left="2240" w:hanging="378"/>
        <w:jc w:val="both"/>
        <w:rPr>
          <w:rFonts w:ascii="Times New Roman" w:eastAsia="標楷體" w:hAnsi="Times New Roman"/>
          <w:szCs w:val="28"/>
        </w:rPr>
      </w:pPr>
      <w:r>
        <w:rPr>
          <w:rFonts w:ascii="Times New Roman" w:eastAsia="標楷體" w:hAnsi="Times New Roman"/>
          <w:szCs w:val="28"/>
        </w:rPr>
        <w:t>期末處分價值推估</w:t>
      </w:r>
    </w:p>
    <w:p w:rsidR="0018444C" w:rsidRDefault="00980E38">
      <w:pPr>
        <w:pStyle w:val="DefaultText"/>
        <w:spacing w:before="40" w:after="40" w:line="440" w:lineRule="exact"/>
        <w:ind w:left="2271" w:hanging="406"/>
        <w:jc w:val="both"/>
        <w:rPr>
          <w:rFonts w:ascii="Times New Roman" w:eastAsia="標楷體" w:hAnsi="Times New Roman"/>
          <w:sz w:val="24"/>
          <w:szCs w:val="24"/>
        </w:rPr>
      </w:pPr>
      <w:r>
        <w:rPr>
          <w:rFonts w:ascii="Times New Roman" w:eastAsia="標楷體" w:hAnsi="Times New Roman"/>
          <w:sz w:val="24"/>
          <w:szCs w:val="24"/>
        </w:rPr>
        <w:t>《注意須知》請參照本範本前述事項。</w:t>
      </w:r>
    </w:p>
    <w:p w:rsidR="0018444C" w:rsidRDefault="00980E38">
      <w:pPr>
        <w:pStyle w:val="DefaultText"/>
        <w:numPr>
          <w:ilvl w:val="0"/>
          <w:numId w:val="62"/>
        </w:numPr>
        <w:spacing w:before="40" w:after="40" w:line="440" w:lineRule="exact"/>
        <w:ind w:left="2240" w:hanging="378"/>
        <w:jc w:val="both"/>
        <w:rPr>
          <w:rFonts w:ascii="Times New Roman" w:eastAsia="標楷體" w:hAnsi="Times New Roman"/>
          <w:szCs w:val="28"/>
        </w:rPr>
      </w:pPr>
      <w:r>
        <w:rPr>
          <w:rFonts w:ascii="Times New Roman" w:eastAsia="標楷體" w:hAnsi="Times New Roman"/>
          <w:szCs w:val="28"/>
        </w:rPr>
        <w:t>折現現金流量分析收益價格</w:t>
      </w:r>
    </w:p>
    <w:p w:rsidR="0018444C" w:rsidRDefault="00980E38">
      <w:pPr>
        <w:pStyle w:val="DefaultText"/>
        <w:spacing w:before="40" w:after="40" w:line="440" w:lineRule="exact"/>
        <w:ind w:left="2271" w:hanging="406"/>
        <w:jc w:val="both"/>
        <w:rPr>
          <w:rFonts w:ascii="Times New Roman" w:eastAsia="標楷體" w:hAnsi="Times New Roman"/>
          <w:sz w:val="24"/>
          <w:szCs w:val="24"/>
        </w:rPr>
      </w:pPr>
      <w:r>
        <w:rPr>
          <w:rFonts w:ascii="Times New Roman" w:eastAsia="標楷體" w:hAnsi="Times New Roman"/>
          <w:sz w:val="24"/>
          <w:szCs w:val="24"/>
        </w:rPr>
        <w:t>《注意須知》以各年度營運收入減去開發成本及營運成本與費用並加上期末處分淨額，折現後即為</w:t>
      </w:r>
      <w:proofErr w:type="gramStart"/>
      <w:r>
        <w:rPr>
          <w:rFonts w:ascii="Times New Roman" w:eastAsia="標楷體" w:hAnsi="Times New Roman"/>
          <w:sz w:val="24"/>
          <w:szCs w:val="24"/>
        </w:rPr>
        <w:t>勘估標</w:t>
      </w:r>
      <w:proofErr w:type="gramEnd"/>
      <w:r>
        <w:rPr>
          <w:rFonts w:ascii="Times New Roman" w:eastAsia="標楷體" w:hAnsi="Times New Roman"/>
          <w:sz w:val="24"/>
          <w:szCs w:val="24"/>
        </w:rPr>
        <w:t>的土地總值。</w:t>
      </w:r>
    </w:p>
    <w:p w:rsidR="0018444C" w:rsidRDefault="00980E38">
      <w:pPr>
        <w:pStyle w:val="DefaultText"/>
        <w:spacing w:before="40" w:after="40" w:line="440" w:lineRule="exact"/>
        <w:ind w:left="1020"/>
      </w:pPr>
      <w:r>
        <w:rPr>
          <w:rFonts w:ascii="Times New Roman" w:eastAsia="標楷體" w:hAnsi="Times New Roman"/>
        </w:rPr>
        <w:t>(</w:t>
      </w:r>
      <w:r>
        <w:rPr>
          <w:rFonts w:ascii="Times New Roman" w:eastAsia="標楷體" w:hAnsi="Times New Roman"/>
        </w:rPr>
        <w:t>四</w:t>
      </w:r>
      <w:r>
        <w:rPr>
          <w:rFonts w:ascii="Times New Roman" w:eastAsia="標楷體" w:hAnsi="Times New Roman"/>
        </w:rPr>
        <w:t>)</w:t>
      </w:r>
      <w:r>
        <w:rPr>
          <w:rFonts w:ascii="Times New Roman" w:eastAsia="標楷體" w:hAnsi="Times New Roman"/>
        </w:rPr>
        <w:t>未含容積移入之</w:t>
      </w:r>
      <w:r>
        <w:rPr>
          <w:rFonts w:ascii="Times New Roman" w:eastAsia="標楷體" w:hAnsi="Times New Roman"/>
          <w:bCs/>
          <w:szCs w:val="28"/>
        </w:rPr>
        <w:t>基地</w:t>
      </w:r>
      <w:r>
        <w:rPr>
          <w:rFonts w:ascii="Times New Roman" w:eastAsia="標楷體" w:hAnsi="Times New Roman"/>
          <w:szCs w:val="28"/>
        </w:rPr>
        <w:t>價格決定</w:t>
      </w:r>
    </w:p>
    <w:p w:rsidR="0018444C" w:rsidRDefault="0018444C">
      <w:pPr>
        <w:rPr>
          <w:rFonts w:ascii="Times New Roman" w:eastAsia="標楷體" w:hAnsi="Times New Roman"/>
          <w:sz w:val="28"/>
          <w:szCs w:val="28"/>
        </w:rPr>
      </w:pPr>
    </w:p>
    <w:p w:rsidR="0018444C" w:rsidRDefault="0018444C">
      <w:pPr>
        <w:rPr>
          <w:rFonts w:ascii="Times New Roman" w:eastAsia="標楷體" w:hAnsi="Times New Roman"/>
          <w:sz w:val="28"/>
          <w:szCs w:val="28"/>
        </w:rPr>
      </w:pPr>
    </w:p>
    <w:p w:rsidR="0018444C" w:rsidRDefault="0018444C">
      <w:pPr>
        <w:rPr>
          <w:rFonts w:ascii="Times New Roman" w:eastAsia="標楷體" w:hAnsi="Times New Roman"/>
          <w:sz w:val="28"/>
          <w:szCs w:val="28"/>
        </w:rPr>
      </w:pPr>
    </w:p>
    <w:p w:rsidR="0018444C" w:rsidRDefault="00980E38">
      <w:pPr>
        <w:pStyle w:val="2"/>
        <w:numPr>
          <w:ilvl w:val="0"/>
          <w:numId w:val="30"/>
        </w:numPr>
        <w:tabs>
          <w:tab w:val="left" w:pos="-2847"/>
          <w:tab w:val="left" w:pos="-2706"/>
        </w:tabs>
        <w:spacing w:line="440" w:lineRule="exact"/>
        <w:rPr>
          <w:rFonts w:ascii="Times New Roman" w:hAnsi="Times New Roman"/>
          <w:b w:val="0"/>
          <w:sz w:val="28"/>
          <w:szCs w:val="28"/>
        </w:rPr>
      </w:pPr>
      <w:bookmarkStart w:id="315" w:name="_Toc396902279"/>
      <w:bookmarkStart w:id="316" w:name="_Toc457337625"/>
      <w:bookmarkStart w:id="317" w:name="_Toc462301015"/>
      <w:bookmarkStart w:id="318" w:name="_Toc488152841"/>
      <w:bookmarkStart w:id="319" w:name="_Toc488163394"/>
      <w:r>
        <w:rPr>
          <w:rFonts w:ascii="Times New Roman" w:hAnsi="Times New Roman"/>
          <w:b w:val="0"/>
          <w:sz w:val="28"/>
          <w:szCs w:val="28"/>
        </w:rPr>
        <w:t>評估價值結論</w:t>
      </w:r>
      <w:bookmarkEnd w:id="315"/>
      <w:bookmarkEnd w:id="316"/>
      <w:bookmarkEnd w:id="317"/>
      <w:bookmarkEnd w:id="318"/>
      <w:bookmarkEnd w:id="319"/>
    </w:p>
    <w:p w:rsidR="0018444C" w:rsidRDefault="00980E38">
      <w:pPr>
        <w:pStyle w:val="DefaultText"/>
        <w:ind w:left="1176" w:firstLine="574"/>
        <w:jc w:val="both"/>
      </w:pPr>
      <w:proofErr w:type="gramStart"/>
      <w:r>
        <w:rPr>
          <w:rFonts w:ascii="Times New Roman" w:eastAsia="標楷體" w:hAnsi="Times New Roman"/>
          <w:bCs/>
          <w:szCs w:val="28"/>
        </w:rPr>
        <w:t>勘估標</w:t>
      </w:r>
      <w:proofErr w:type="gramEnd"/>
      <w:r>
        <w:rPr>
          <w:rFonts w:ascii="Times New Roman" w:eastAsia="標楷體" w:hAnsi="Times New Roman"/>
          <w:bCs/>
          <w:szCs w:val="28"/>
        </w:rPr>
        <w:t>的係座落於之不動產，本報告基於估價目的為供委託單位</w:t>
      </w:r>
      <w:proofErr w:type="gramStart"/>
      <w:r>
        <w:rPr>
          <w:rFonts w:ascii="Times New Roman" w:eastAsia="標楷體" w:hAnsi="Times New Roman"/>
          <w:bCs/>
          <w:szCs w:val="28"/>
        </w:rPr>
        <w:t>計算容移代金</w:t>
      </w:r>
      <w:proofErr w:type="gramEnd"/>
      <w:r>
        <w:rPr>
          <w:rFonts w:ascii="Times New Roman" w:eastAsia="標楷體" w:hAnsi="Times New Roman"/>
          <w:bCs/>
          <w:szCs w:val="28"/>
        </w:rPr>
        <w:t>參考，價格種類為正常價格，價格日期為民國</w:t>
      </w:r>
      <w:r>
        <w:rPr>
          <w:rFonts w:ascii="Times New Roman" w:eastAsia="標楷體" w:hAnsi="Times New Roman"/>
          <w:bCs/>
          <w:szCs w:val="28"/>
        </w:rPr>
        <w:t>○○</w:t>
      </w:r>
      <w:r>
        <w:rPr>
          <w:rFonts w:ascii="Times New Roman" w:eastAsia="標楷體" w:hAnsi="Times New Roman"/>
          <w:bCs/>
          <w:szCs w:val="28"/>
        </w:rPr>
        <w:t>年</w:t>
      </w:r>
      <w:r>
        <w:rPr>
          <w:rFonts w:ascii="Times New Roman" w:eastAsia="標楷體" w:hAnsi="Times New Roman"/>
          <w:bCs/>
          <w:szCs w:val="28"/>
        </w:rPr>
        <w:t>○○</w:t>
      </w:r>
      <w:r>
        <w:rPr>
          <w:rFonts w:ascii="Times New Roman" w:eastAsia="標楷體" w:hAnsi="Times New Roman"/>
          <w:bCs/>
          <w:szCs w:val="28"/>
        </w:rPr>
        <w:t>月</w:t>
      </w:r>
      <w:r>
        <w:rPr>
          <w:rFonts w:ascii="Times New Roman" w:eastAsia="標楷體" w:hAnsi="Times New Roman"/>
          <w:bCs/>
          <w:szCs w:val="28"/>
        </w:rPr>
        <w:t>○○</w:t>
      </w:r>
      <w:r>
        <w:rPr>
          <w:rFonts w:ascii="Times New Roman" w:eastAsia="標楷體" w:hAnsi="Times New Roman"/>
          <w:bCs/>
          <w:szCs w:val="28"/>
        </w:rPr>
        <w:t>日，考量委託人提供之</w:t>
      </w:r>
      <w:proofErr w:type="gramStart"/>
      <w:r>
        <w:rPr>
          <w:rFonts w:ascii="Times New Roman" w:eastAsia="標楷體" w:hAnsi="Times New Roman"/>
          <w:bCs/>
          <w:szCs w:val="28"/>
        </w:rPr>
        <w:t>勘估標</w:t>
      </w:r>
      <w:proofErr w:type="gramEnd"/>
      <w:r>
        <w:rPr>
          <w:rFonts w:ascii="Times New Roman" w:eastAsia="標楷體" w:hAnsi="Times New Roman"/>
          <w:bCs/>
          <w:szCs w:val="28"/>
        </w:rPr>
        <w:t>的基本資料，評估</w:t>
      </w:r>
      <w:proofErr w:type="gramStart"/>
      <w:r>
        <w:rPr>
          <w:rFonts w:ascii="Times New Roman" w:eastAsia="標楷體" w:hAnsi="Times New Roman"/>
          <w:bCs/>
          <w:szCs w:val="28"/>
        </w:rPr>
        <w:t>勘估標</w:t>
      </w:r>
      <w:proofErr w:type="gramEnd"/>
      <w:r>
        <w:rPr>
          <w:rFonts w:ascii="Times New Roman" w:eastAsia="標楷體" w:hAnsi="Times New Roman"/>
          <w:bCs/>
          <w:szCs w:val="28"/>
        </w:rPr>
        <w:t>的於現行不動產市場正常條件下之</w:t>
      </w:r>
      <w:proofErr w:type="gramStart"/>
      <w:r>
        <w:rPr>
          <w:rFonts w:ascii="Times New Roman" w:eastAsia="標楷體" w:hAnsi="Times New Roman"/>
          <w:bCs/>
          <w:szCs w:val="28"/>
        </w:rPr>
        <w:t>合理容移代金</w:t>
      </w:r>
      <w:proofErr w:type="gramEnd"/>
      <w:r>
        <w:rPr>
          <w:rFonts w:ascii="Times New Roman" w:eastAsia="標楷體" w:hAnsi="Times New Roman"/>
          <w:bCs/>
          <w:szCs w:val="28"/>
        </w:rPr>
        <w:t>價值。</w:t>
      </w:r>
    </w:p>
    <w:p w:rsidR="0018444C" w:rsidRDefault="00980E38">
      <w:pPr>
        <w:pStyle w:val="DefaultText"/>
        <w:ind w:left="1176" w:firstLine="574"/>
        <w:jc w:val="both"/>
        <w:rPr>
          <w:rFonts w:ascii="Times New Roman" w:eastAsia="標楷體" w:hAnsi="Times New Roman"/>
          <w:bCs/>
          <w:szCs w:val="28"/>
        </w:rPr>
      </w:pPr>
      <w:r>
        <w:rPr>
          <w:rFonts w:ascii="Times New Roman" w:eastAsia="標楷體" w:hAnsi="Times New Roman"/>
          <w:bCs/>
          <w:szCs w:val="28"/>
        </w:rPr>
        <w:t>經針對</w:t>
      </w:r>
      <w:proofErr w:type="gramStart"/>
      <w:r>
        <w:rPr>
          <w:rFonts w:ascii="Times New Roman" w:eastAsia="標楷體" w:hAnsi="Times New Roman"/>
          <w:bCs/>
          <w:szCs w:val="28"/>
        </w:rPr>
        <w:t>勘估標</w:t>
      </w:r>
      <w:proofErr w:type="gramEnd"/>
      <w:r>
        <w:rPr>
          <w:rFonts w:ascii="Times New Roman" w:eastAsia="標楷體" w:hAnsi="Times New Roman"/>
          <w:bCs/>
          <w:szCs w:val="28"/>
        </w:rPr>
        <w:t>的進行一般因素、區域因素、個別因素、不動產市場及最有效使用之分析後，採用等估價方法進行評估，各方法評估結果及最終價格決定如下。</w:t>
      </w:r>
    </w:p>
    <w:p w:rsidR="0018444C" w:rsidRDefault="00980E38">
      <w:pPr>
        <w:pStyle w:val="DefaultText"/>
        <w:numPr>
          <w:ilvl w:val="0"/>
          <w:numId w:val="63"/>
        </w:numPr>
        <w:spacing w:before="40" w:after="40" w:line="440" w:lineRule="exact"/>
        <w:ind w:left="1134" w:hanging="567"/>
      </w:pPr>
      <w:bookmarkStart w:id="320" w:name="_Toc488152842"/>
      <w:bookmarkStart w:id="321" w:name="_Toc488163395"/>
      <w:r>
        <w:rPr>
          <w:rStyle w:val="30"/>
          <w:rFonts w:ascii="Times New Roman" w:hAnsi="Times New Roman"/>
        </w:rPr>
        <w:t>含容積移入之基地價格</w:t>
      </w:r>
      <w:bookmarkEnd w:id="320"/>
      <w:bookmarkEnd w:id="321"/>
      <w:r>
        <w:rPr>
          <w:rFonts w:ascii="Times New Roman" w:eastAsia="標楷體" w:hAnsi="Times New Roman"/>
          <w:szCs w:val="28"/>
        </w:rPr>
        <w:t>：</w:t>
      </w:r>
    </w:p>
    <w:p w:rsidR="0018444C" w:rsidRDefault="00980E38">
      <w:pPr>
        <w:pStyle w:val="DefaultText"/>
        <w:numPr>
          <w:ilvl w:val="0"/>
          <w:numId w:val="64"/>
        </w:numPr>
        <w:spacing w:before="40" w:after="40" w:line="440" w:lineRule="exact"/>
        <w:ind w:left="1559" w:hanging="425"/>
        <w:rPr>
          <w:rFonts w:ascii="Times New Roman" w:eastAsia="標楷體" w:hAnsi="Times New Roman"/>
          <w:bCs/>
          <w:szCs w:val="28"/>
        </w:rPr>
      </w:pPr>
      <w:r>
        <w:rPr>
          <w:rFonts w:ascii="Times New Roman" w:eastAsia="標楷體" w:hAnsi="Times New Roman"/>
          <w:bCs/>
          <w:szCs w:val="28"/>
        </w:rPr>
        <w:t>土地開發分析法評估結果：</w:t>
      </w:r>
    </w:p>
    <w:p w:rsidR="0018444C" w:rsidRDefault="00980E38">
      <w:pPr>
        <w:pStyle w:val="DefaultText"/>
        <w:spacing w:before="120"/>
        <w:ind w:left="3184" w:hanging="630"/>
        <w:rPr>
          <w:rFonts w:ascii="Times New Roman" w:eastAsia="標楷體" w:hAnsi="Times New Roman"/>
          <w:szCs w:val="28"/>
        </w:rPr>
      </w:pPr>
      <w:r>
        <w:rPr>
          <w:rFonts w:ascii="Times New Roman" w:eastAsia="標楷體" w:hAnsi="Times New Roman"/>
          <w:szCs w:val="28"/>
        </w:rPr>
        <w:t>土地開發分析價格：新臺幣</w:t>
      </w:r>
      <w:r>
        <w:rPr>
          <w:rFonts w:ascii="Times New Roman" w:eastAsia="標楷體" w:hAnsi="Times New Roman"/>
          <w:szCs w:val="28"/>
        </w:rPr>
        <w:t>____________________</w:t>
      </w:r>
      <w:r>
        <w:rPr>
          <w:rFonts w:ascii="Times New Roman" w:eastAsia="標楷體" w:hAnsi="Times New Roman"/>
          <w:szCs w:val="28"/>
        </w:rPr>
        <w:t>元</w:t>
      </w:r>
    </w:p>
    <w:p w:rsidR="0018444C" w:rsidRDefault="00980E38">
      <w:pPr>
        <w:pStyle w:val="DefaultText"/>
        <w:numPr>
          <w:ilvl w:val="0"/>
          <w:numId w:val="64"/>
        </w:numPr>
        <w:spacing w:before="40" w:after="40" w:line="440" w:lineRule="exact"/>
        <w:ind w:left="1559" w:hanging="425"/>
        <w:rPr>
          <w:rFonts w:ascii="Times New Roman" w:eastAsia="標楷體" w:hAnsi="Times New Roman"/>
          <w:bCs/>
          <w:szCs w:val="28"/>
        </w:rPr>
      </w:pPr>
      <w:r>
        <w:rPr>
          <w:rFonts w:ascii="Times New Roman" w:eastAsia="標楷體" w:hAnsi="Times New Roman"/>
          <w:bCs/>
          <w:szCs w:val="28"/>
        </w:rPr>
        <w:t>比較法評估結果：</w:t>
      </w:r>
    </w:p>
    <w:p w:rsidR="0018444C" w:rsidRDefault="00980E38">
      <w:pPr>
        <w:pStyle w:val="DefaultText"/>
        <w:spacing w:before="120"/>
        <w:ind w:left="3184" w:hanging="630"/>
        <w:rPr>
          <w:rFonts w:ascii="Times New Roman" w:eastAsia="標楷體" w:hAnsi="Times New Roman"/>
          <w:szCs w:val="28"/>
        </w:rPr>
      </w:pPr>
      <w:r>
        <w:rPr>
          <w:rFonts w:ascii="Times New Roman" w:eastAsia="標楷體" w:hAnsi="Times New Roman"/>
          <w:szCs w:val="28"/>
        </w:rPr>
        <w:t>比較價格：新臺幣</w:t>
      </w:r>
      <w:r>
        <w:rPr>
          <w:rFonts w:ascii="Times New Roman" w:eastAsia="標楷體" w:hAnsi="Times New Roman"/>
          <w:szCs w:val="28"/>
        </w:rPr>
        <w:t>____________________</w:t>
      </w:r>
      <w:r>
        <w:rPr>
          <w:rFonts w:ascii="Times New Roman" w:eastAsia="標楷體" w:hAnsi="Times New Roman"/>
          <w:szCs w:val="28"/>
        </w:rPr>
        <w:t>元</w:t>
      </w:r>
    </w:p>
    <w:p w:rsidR="0018444C" w:rsidRDefault="00980E38">
      <w:pPr>
        <w:pStyle w:val="DefaultText"/>
        <w:numPr>
          <w:ilvl w:val="0"/>
          <w:numId w:val="64"/>
        </w:numPr>
        <w:spacing w:before="40" w:after="40" w:line="440" w:lineRule="exact"/>
        <w:ind w:left="1559" w:hanging="425"/>
        <w:rPr>
          <w:rFonts w:ascii="Times New Roman" w:eastAsia="標楷體" w:hAnsi="Times New Roman"/>
          <w:bCs/>
          <w:szCs w:val="28"/>
        </w:rPr>
      </w:pPr>
      <w:r>
        <w:rPr>
          <w:rFonts w:ascii="Times New Roman" w:eastAsia="標楷體" w:hAnsi="Times New Roman"/>
          <w:bCs/>
          <w:szCs w:val="28"/>
        </w:rPr>
        <w:t>折現現金流量分析法：</w:t>
      </w:r>
    </w:p>
    <w:p w:rsidR="0018444C" w:rsidRDefault="00980E38">
      <w:pPr>
        <w:pStyle w:val="DefaultText"/>
        <w:spacing w:before="120"/>
        <w:ind w:left="3184" w:hanging="630"/>
        <w:rPr>
          <w:rFonts w:ascii="Times New Roman" w:eastAsia="標楷體" w:hAnsi="Times New Roman"/>
          <w:szCs w:val="28"/>
        </w:rPr>
      </w:pPr>
      <w:r>
        <w:rPr>
          <w:rFonts w:ascii="Times New Roman" w:eastAsia="標楷體" w:hAnsi="Times New Roman"/>
          <w:szCs w:val="28"/>
        </w:rPr>
        <w:t>收益價格：新臺幣</w:t>
      </w:r>
      <w:r>
        <w:rPr>
          <w:rFonts w:ascii="Times New Roman" w:eastAsia="標楷體" w:hAnsi="Times New Roman"/>
          <w:szCs w:val="28"/>
        </w:rPr>
        <w:t>____________________</w:t>
      </w:r>
      <w:r>
        <w:rPr>
          <w:rFonts w:ascii="Times New Roman" w:eastAsia="標楷體" w:hAnsi="Times New Roman"/>
          <w:szCs w:val="28"/>
        </w:rPr>
        <w:t>元</w:t>
      </w:r>
    </w:p>
    <w:p w:rsidR="0018444C" w:rsidRDefault="00980E38">
      <w:pPr>
        <w:pStyle w:val="DefaultText"/>
        <w:numPr>
          <w:ilvl w:val="0"/>
          <w:numId w:val="64"/>
        </w:numPr>
        <w:spacing w:before="40" w:after="40" w:line="440" w:lineRule="exact"/>
        <w:ind w:left="1559" w:hanging="425"/>
        <w:rPr>
          <w:rFonts w:ascii="Times New Roman" w:eastAsia="標楷體" w:hAnsi="Times New Roman"/>
          <w:bCs/>
          <w:szCs w:val="28"/>
        </w:rPr>
      </w:pPr>
      <w:r>
        <w:rPr>
          <w:rFonts w:ascii="Times New Roman" w:eastAsia="標楷體" w:hAnsi="Times New Roman"/>
          <w:bCs/>
          <w:szCs w:val="28"/>
        </w:rPr>
        <w:t>最終決定含容積移入之基地價格：</w:t>
      </w:r>
    </w:p>
    <w:p w:rsidR="0018444C" w:rsidRDefault="00980E38">
      <w:pPr>
        <w:pStyle w:val="DefaultText"/>
        <w:spacing w:before="120"/>
        <w:ind w:left="3184" w:hanging="630"/>
      </w:pPr>
      <w:r>
        <w:rPr>
          <w:rFonts w:ascii="Times New Roman" w:eastAsia="標楷體" w:hAnsi="Times New Roman"/>
          <w:szCs w:val="28"/>
        </w:rPr>
        <w:t>新臺幣</w:t>
      </w:r>
      <w:r>
        <w:rPr>
          <w:rFonts w:ascii="Times New Roman" w:eastAsia="標楷體" w:hAnsi="Times New Roman"/>
          <w:bCs/>
          <w:szCs w:val="28"/>
        </w:rPr>
        <w:t>____________________</w:t>
      </w:r>
      <w:r>
        <w:rPr>
          <w:rFonts w:ascii="Times New Roman" w:eastAsia="標楷體" w:hAnsi="Times New Roman"/>
          <w:szCs w:val="28"/>
        </w:rPr>
        <w:t>元</w:t>
      </w:r>
    </w:p>
    <w:p w:rsidR="0018444C" w:rsidRDefault="00980E38">
      <w:pPr>
        <w:pStyle w:val="DefaultText"/>
        <w:numPr>
          <w:ilvl w:val="0"/>
          <w:numId w:val="63"/>
        </w:numPr>
        <w:spacing w:before="40" w:after="40" w:line="440" w:lineRule="exact"/>
        <w:ind w:left="1134" w:hanging="567"/>
      </w:pPr>
      <w:bookmarkStart w:id="322" w:name="_Toc488152843"/>
      <w:bookmarkStart w:id="323" w:name="_Toc488163396"/>
      <w:r>
        <w:rPr>
          <w:rStyle w:val="30"/>
          <w:rFonts w:ascii="Times New Roman" w:hAnsi="Times New Roman"/>
        </w:rPr>
        <w:t>未含容積移入之基地價格</w:t>
      </w:r>
      <w:bookmarkEnd w:id="322"/>
      <w:bookmarkEnd w:id="323"/>
      <w:r>
        <w:rPr>
          <w:rFonts w:ascii="Times New Roman" w:eastAsia="標楷體" w:hAnsi="Times New Roman"/>
          <w:szCs w:val="28"/>
        </w:rPr>
        <w:t>：</w:t>
      </w:r>
    </w:p>
    <w:p w:rsidR="0018444C" w:rsidRDefault="00980E38">
      <w:pPr>
        <w:pStyle w:val="DefaultText"/>
        <w:numPr>
          <w:ilvl w:val="0"/>
          <w:numId w:val="65"/>
        </w:numPr>
        <w:spacing w:before="40" w:after="40" w:line="440" w:lineRule="exact"/>
        <w:ind w:left="1559" w:hanging="425"/>
        <w:rPr>
          <w:rFonts w:ascii="Times New Roman" w:eastAsia="標楷體" w:hAnsi="Times New Roman"/>
          <w:bCs/>
          <w:szCs w:val="28"/>
        </w:rPr>
      </w:pPr>
      <w:r>
        <w:rPr>
          <w:rFonts w:ascii="Times New Roman" w:eastAsia="標楷體" w:hAnsi="Times New Roman"/>
          <w:bCs/>
          <w:szCs w:val="28"/>
        </w:rPr>
        <w:t>土地開發分析法評估結果：</w:t>
      </w:r>
    </w:p>
    <w:p w:rsidR="0018444C" w:rsidRDefault="00980E38">
      <w:pPr>
        <w:pStyle w:val="DefaultText"/>
        <w:spacing w:before="120"/>
        <w:ind w:left="3184" w:hanging="630"/>
      </w:pPr>
      <w:r>
        <w:rPr>
          <w:rFonts w:ascii="Times New Roman" w:eastAsia="標楷體" w:hAnsi="Times New Roman"/>
          <w:szCs w:val="28"/>
        </w:rPr>
        <w:t>土地開發分析價格：新臺幣</w:t>
      </w:r>
      <w:r>
        <w:rPr>
          <w:rFonts w:ascii="Times New Roman" w:eastAsia="標楷體" w:hAnsi="Times New Roman"/>
          <w:bCs/>
          <w:szCs w:val="28"/>
        </w:rPr>
        <w:t>____________________</w:t>
      </w:r>
      <w:r>
        <w:rPr>
          <w:rFonts w:ascii="Times New Roman" w:eastAsia="標楷體" w:hAnsi="Times New Roman"/>
          <w:szCs w:val="28"/>
        </w:rPr>
        <w:t>元</w:t>
      </w:r>
    </w:p>
    <w:p w:rsidR="0018444C" w:rsidRDefault="00980E38">
      <w:pPr>
        <w:pStyle w:val="DefaultText"/>
        <w:numPr>
          <w:ilvl w:val="0"/>
          <w:numId w:val="65"/>
        </w:numPr>
        <w:spacing w:before="40" w:after="40" w:line="440" w:lineRule="exact"/>
        <w:ind w:left="1559" w:hanging="425"/>
        <w:rPr>
          <w:rFonts w:ascii="Times New Roman" w:eastAsia="標楷體" w:hAnsi="Times New Roman"/>
          <w:bCs/>
          <w:szCs w:val="28"/>
        </w:rPr>
      </w:pPr>
      <w:r>
        <w:rPr>
          <w:rFonts w:ascii="Times New Roman" w:eastAsia="標楷體" w:hAnsi="Times New Roman"/>
          <w:bCs/>
          <w:szCs w:val="28"/>
        </w:rPr>
        <w:t>比較法評估結果：</w:t>
      </w:r>
    </w:p>
    <w:p w:rsidR="0018444C" w:rsidRDefault="00980E38">
      <w:pPr>
        <w:pStyle w:val="DefaultText"/>
        <w:spacing w:before="120"/>
        <w:ind w:left="3184" w:hanging="630"/>
      </w:pPr>
      <w:r>
        <w:rPr>
          <w:rFonts w:ascii="Times New Roman" w:eastAsia="標楷體" w:hAnsi="Times New Roman"/>
          <w:szCs w:val="28"/>
        </w:rPr>
        <w:t>比較價格：新臺幣</w:t>
      </w:r>
      <w:r>
        <w:rPr>
          <w:rFonts w:ascii="Times New Roman" w:eastAsia="標楷體" w:hAnsi="Times New Roman"/>
          <w:bCs/>
          <w:szCs w:val="28"/>
        </w:rPr>
        <w:t>____________________</w:t>
      </w:r>
      <w:r>
        <w:rPr>
          <w:rFonts w:ascii="Times New Roman" w:eastAsia="標楷體" w:hAnsi="Times New Roman"/>
          <w:szCs w:val="28"/>
        </w:rPr>
        <w:t>元</w:t>
      </w:r>
    </w:p>
    <w:p w:rsidR="0018444C" w:rsidRDefault="00980E38">
      <w:pPr>
        <w:pStyle w:val="DefaultText"/>
        <w:numPr>
          <w:ilvl w:val="0"/>
          <w:numId w:val="65"/>
        </w:numPr>
        <w:spacing w:before="40" w:after="40" w:line="440" w:lineRule="exact"/>
        <w:ind w:left="1559" w:hanging="425"/>
        <w:rPr>
          <w:rFonts w:ascii="Times New Roman" w:eastAsia="標楷體" w:hAnsi="Times New Roman"/>
          <w:bCs/>
          <w:szCs w:val="28"/>
        </w:rPr>
      </w:pPr>
      <w:r>
        <w:rPr>
          <w:rFonts w:ascii="Times New Roman" w:eastAsia="標楷體" w:hAnsi="Times New Roman"/>
          <w:bCs/>
          <w:szCs w:val="28"/>
        </w:rPr>
        <w:t>折現現金流量分析法</w:t>
      </w:r>
    </w:p>
    <w:p w:rsidR="0018444C" w:rsidRDefault="00980E38">
      <w:pPr>
        <w:pStyle w:val="DefaultText"/>
        <w:spacing w:before="120"/>
        <w:ind w:left="3184" w:hanging="630"/>
      </w:pPr>
      <w:r>
        <w:rPr>
          <w:rFonts w:ascii="Times New Roman" w:eastAsia="標楷體" w:hAnsi="Times New Roman"/>
          <w:szCs w:val="28"/>
        </w:rPr>
        <w:t>收益價格：新臺幣</w:t>
      </w:r>
      <w:r>
        <w:rPr>
          <w:rFonts w:ascii="Times New Roman" w:eastAsia="標楷體" w:hAnsi="Times New Roman"/>
          <w:bCs/>
          <w:szCs w:val="28"/>
        </w:rPr>
        <w:t>____________________</w:t>
      </w:r>
      <w:r>
        <w:rPr>
          <w:rFonts w:ascii="Times New Roman" w:eastAsia="標楷體" w:hAnsi="Times New Roman"/>
          <w:szCs w:val="28"/>
        </w:rPr>
        <w:t>元</w:t>
      </w:r>
    </w:p>
    <w:p w:rsidR="0018444C" w:rsidRDefault="00980E38">
      <w:pPr>
        <w:pStyle w:val="DefaultText"/>
        <w:numPr>
          <w:ilvl w:val="0"/>
          <w:numId w:val="65"/>
        </w:numPr>
        <w:spacing w:before="40" w:after="40" w:line="440" w:lineRule="exact"/>
        <w:ind w:left="1559" w:hanging="425"/>
        <w:rPr>
          <w:rFonts w:ascii="Times New Roman" w:eastAsia="標楷體" w:hAnsi="Times New Roman"/>
          <w:bCs/>
          <w:szCs w:val="28"/>
        </w:rPr>
      </w:pPr>
      <w:r>
        <w:rPr>
          <w:rFonts w:ascii="Times New Roman" w:eastAsia="標楷體" w:hAnsi="Times New Roman"/>
          <w:bCs/>
          <w:szCs w:val="28"/>
        </w:rPr>
        <w:t>最終決定未含容積移入之基地價格：</w:t>
      </w:r>
    </w:p>
    <w:p w:rsidR="0018444C" w:rsidRDefault="00980E38">
      <w:pPr>
        <w:pStyle w:val="DefaultText"/>
        <w:spacing w:before="120"/>
        <w:ind w:left="3184" w:hanging="630"/>
      </w:pPr>
      <w:r>
        <w:rPr>
          <w:rFonts w:ascii="Times New Roman" w:eastAsia="標楷體" w:hAnsi="Times New Roman"/>
          <w:szCs w:val="28"/>
        </w:rPr>
        <w:t>新臺幣</w:t>
      </w:r>
      <w:r>
        <w:rPr>
          <w:rFonts w:ascii="Times New Roman" w:eastAsia="標楷體" w:hAnsi="Times New Roman"/>
          <w:bCs/>
          <w:szCs w:val="28"/>
        </w:rPr>
        <w:t>____________________</w:t>
      </w:r>
      <w:r>
        <w:rPr>
          <w:rFonts w:ascii="Times New Roman" w:eastAsia="標楷體" w:hAnsi="Times New Roman"/>
          <w:szCs w:val="28"/>
        </w:rPr>
        <w:t>元</w:t>
      </w:r>
    </w:p>
    <w:p w:rsidR="0018444C" w:rsidRDefault="00980E38">
      <w:pPr>
        <w:pStyle w:val="DefaultText"/>
        <w:pageBreakBefore/>
        <w:numPr>
          <w:ilvl w:val="0"/>
          <w:numId w:val="63"/>
        </w:numPr>
        <w:spacing w:before="40" w:after="40" w:line="440" w:lineRule="exact"/>
        <w:ind w:left="1134" w:hanging="567"/>
      </w:pPr>
      <w:bookmarkStart w:id="324" w:name="_Toc488152844"/>
      <w:bookmarkStart w:id="325" w:name="_Toc488163397"/>
      <w:r>
        <w:rPr>
          <w:rStyle w:val="30"/>
          <w:rFonts w:ascii="Times New Roman" w:hAnsi="Times New Roman"/>
        </w:rPr>
        <w:lastRenderedPageBreak/>
        <w:t>最後決定之金額</w:t>
      </w:r>
      <w:bookmarkEnd w:id="324"/>
      <w:bookmarkEnd w:id="325"/>
      <w:r>
        <w:rPr>
          <w:rFonts w:ascii="Times New Roman" w:eastAsia="標楷體" w:hAnsi="Times New Roman"/>
          <w:szCs w:val="28"/>
        </w:rPr>
        <w:t>：</w:t>
      </w:r>
    </w:p>
    <w:p w:rsidR="0018444C" w:rsidRDefault="00980E38">
      <w:pPr>
        <w:pStyle w:val="DefaultText"/>
        <w:ind w:left="1451" w:hanging="25"/>
        <w:jc w:val="both"/>
      </w:pPr>
      <w:r>
        <w:rPr>
          <w:rFonts w:ascii="Times New Roman" w:eastAsia="標楷體" w:hAnsi="Times New Roman"/>
          <w:szCs w:val="28"/>
        </w:rPr>
        <w:t>經考量本次估價目的及</w:t>
      </w:r>
      <w:proofErr w:type="gramStart"/>
      <w:r>
        <w:rPr>
          <w:rFonts w:ascii="Times New Roman" w:eastAsia="標楷體" w:hAnsi="Times New Roman"/>
          <w:szCs w:val="28"/>
        </w:rPr>
        <w:t>勘估標</w:t>
      </w:r>
      <w:proofErr w:type="gramEnd"/>
      <w:r>
        <w:rPr>
          <w:rFonts w:ascii="Times New Roman" w:eastAsia="標楷體" w:hAnsi="Times New Roman"/>
          <w:szCs w:val="28"/>
        </w:rPr>
        <w:t>的特性、不動產市場狀況及各估價方法之試算價格，</w:t>
      </w:r>
      <w:proofErr w:type="gramStart"/>
      <w:r>
        <w:rPr>
          <w:rFonts w:ascii="Times New Roman" w:eastAsia="標楷體" w:hAnsi="Times New Roman"/>
          <w:szCs w:val="28"/>
        </w:rPr>
        <w:t>容移代金</w:t>
      </w:r>
      <w:proofErr w:type="gramEnd"/>
      <w:r>
        <w:rPr>
          <w:rFonts w:ascii="Times New Roman" w:eastAsia="標楷體" w:hAnsi="Times New Roman"/>
          <w:szCs w:val="28"/>
        </w:rPr>
        <w:t>最終金額為：新臺幣</w:t>
      </w:r>
      <w:r>
        <w:rPr>
          <w:rFonts w:ascii="Times New Roman" w:eastAsia="標楷體" w:hAnsi="Times New Roman"/>
          <w:bCs/>
          <w:szCs w:val="28"/>
        </w:rPr>
        <w:t>___________________</w:t>
      </w:r>
      <w:r>
        <w:rPr>
          <w:rFonts w:ascii="Times New Roman" w:eastAsia="標楷體" w:hAnsi="Times New Roman"/>
          <w:szCs w:val="28"/>
        </w:rPr>
        <w:t>元。</w:t>
      </w:r>
    </w:p>
    <w:p w:rsidR="0018444C" w:rsidRDefault="00980E38">
      <w:pPr>
        <w:spacing w:line="360" w:lineRule="exact"/>
        <w:ind w:firstLine="1121"/>
        <w:rPr>
          <w:rFonts w:ascii="Times New Roman" w:eastAsia="標楷體" w:hAnsi="Times New Roman"/>
          <w:b/>
          <w:bCs/>
          <w:sz w:val="28"/>
          <w:szCs w:val="28"/>
        </w:rPr>
      </w:pPr>
      <w:r>
        <w:rPr>
          <w:rFonts w:ascii="Times New Roman" w:eastAsia="標楷體" w:hAnsi="Times New Roman"/>
          <w:b/>
          <w:bCs/>
          <w:sz w:val="28"/>
          <w:szCs w:val="28"/>
        </w:rPr>
        <w:t>計算如下：</w:t>
      </w:r>
    </w:p>
    <w:p w:rsidR="0018444C" w:rsidRDefault="00980E38">
      <w:pPr>
        <w:spacing w:line="360" w:lineRule="exact"/>
        <w:ind w:firstLine="1121"/>
        <w:rPr>
          <w:rFonts w:ascii="Times New Roman" w:eastAsia="標楷體" w:hAnsi="Times New Roman"/>
          <w:b/>
          <w:bCs/>
          <w:sz w:val="28"/>
          <w:szCs w:val="28"/>
        </w:rPr>
      </w:pPr>
      <w:r>
        <w:rPr>
          <w:rFonts w:ascii="Times New Roman" w:eastAsia="標楷體" w:hAnsi="Times New Roman"/>
          <w:b/>
          <w:bCs/>
          <w:sz w:val="28"/>
          <w:szCs w:val="28"/>
        </w:rPr>
        <w:t>評定金額＝</w:t>
      </w:r>
      <w:r>
        <w:rPr>
          <w:rFonts w:ascii="Times New Roman" w:eastAsia="標楷體" w:hAnsi="Times New Roman"/>
          <w:b/>
          <w:bCs/>
          <w:sz w:val="28"/>
          <w:szCs w:val="28"/>
        </w:rPr>
        <w:t>(</w:t>
      </w:r>
      <w:r>
        <w:rPr>
          <w:rFonts w:ascii="Times New Roman" w:eastAsia="標楷體" w:hAnsi="Times New Roman"/>
          <w:b/>
          <w:bCs/>
          <w:sz w:val="28"/>
          <w:szCs w:val="28"/>
        </w:rPr>
        <w:t>含容積移入之基地價格</w:t>
      </w:r>
      <w:r>
        <w:rPr>
          <w:rFonts w:ascii="Times New Roman" w:eastAsia="標楷體" w:hAnsi="Times New Roman"/>
          <w:b/>
          <w:bCs/>
          <w:sz w:val="28"/>
          <w:szCs w:val="28"/>
        </w:rPr>
        <w:t>-</w:t>
      </w:r>
      <w:r>
        <w:rPr>
          <w:rFonts w:ascii="Times New Roman" w:eastAsia="標楷體" w:hAnsi="Times New Roman"/>
          <w:b/>
          <w:bCs/>
          <w:sz w:val="28"/>
          <w:szCs w:val="28"/>
        </w:rPr>
        <w:t>未含容積移入之基地價格</w:t>
      </w:r>
      <w:r>
        <w:rPr>
          <w:rFonts w:ascii="Times New Roman" w:eastAsia="標楷體" w:hAnsi="Times New Roman"/>
          <w:b/>
          <w:bCs/>
          <w:sz w:val="28"/>
          <w:szCs w:val="28"/>
        </w:rPr>
        <w:t>)</w:t>
      </w:r>
    </w:p>
    <w:p w:rsidR="0018444C" w:rsidRDefault="00980E38">
      <w:pPr>
        <w:pStyle w:val="DefaultText"/>
        <w:numPr>
          <w:ilvl w:val="0"/>
          <w:numId w:val="63"/>
        </w:numPr>
        <w:spacing w:before="40" w:after="40" w:line="440" w:lineRule="exact"/>
        <w:ind w:left="1134" w:hanging="567"/>
      </w:pPr>
      <w:bookmarkStart w:id="326" w:name="_Toc488152845"/>
      <w:bookmarkStart w:id="327" w:name="_Toc488163398"/>
      <w:r>
        <w:rPr>
          <w:rStyle w:val="30"/>
          <w:rFonts w:ascii="Times New Roman" w:hAnsi="Times New Roman"/>
        </w:rPr>
        <w:t>其他說明事項</w:t>
      </w:r>
      <w:bookmarkEnd w:id="326"/>
      <w:bookmarkEnd w:id="327"/>
      <w:r>
        <w:rPr>
          <w:rFonts w:ascii="Times New Roman" w:eastAsia="標楷體" w:hAnsi="Times New Roman"/>
          <w:bCs/>
          <w:szCs w:val="28"/>
        </w:rPr>
        <w:t>：</w:t>
      </w:r>
    </w:p>
    <w:p w:rsidR="0018444C" w:rsidRDefault="00980E38">
      <w:pPr>
        <w:pStyle w:val="DefaultText"/>
        <w:spacing w:before="40" w:after="40" w:line="440" w:lineRule="exact"/>
        <w:ind w:left="1280"/>
        <w:jc w:val="both"/>
        <w:rPr>
          <w:rFonts w:ascii="Times New Roman" w:eastAsia="標楷體" w:hAnsi="Times New Roman"/>
          <w:sz w:val="24"/>
          <w:szCs w:val="24"/>
        </w:rPr>
      </w:pPr>
      <w:r>
        <w:rPr>
          <w:rFonts w:ascii="Times New Roman" w:eastAsia="標楷體" w:hAnsi="Times New Roman"/>
          <w:sz w:val="24"/>
          <w:szCs w:val="24"/>
        </w:rPr>
        <w:t>《注意須知》：就個案特殊事項補充說明，若無特殊事項則刪除本項。</w:t>
      </w:r>
    </w:p>
    <w:p w:rsidR="0018444C" w:rsidRDefault="0018444C">
      <w:pPr>
        <w:pStyle w:val="DefaultText"/>
        <w:spacing w:before="40" w:after="40" w:line="440" w:lineRule="exact"/>
        <w:ind w:left="1134"/>
        <w:rPr>
          <w:rFonts w:ascii="Times New Roman" w:eastAsia="標楷體" w:hAnsi="Times New Roman"/>
          <w:b/>
          <w:bCs/>
          <w:szCs w:val="28"/>
        </w:rPr>
      </w:pPr>
    </w:p>
    <w:p w:rsidR="0018444C" w:rsidRDefault="00980E38">
      <w:pPr>
        <w:pStyle w:val="1"/>
        <w:pageBreakBefore/>
        <w:numPr>
          <w:ilvl w:val="0"/>
          <w:numId w:val="14"/>
        </w:numPr>
        <w:tabs>
          <w:tab w:val="clear" w:pos="720"/>
          <w:tab w:val="clear" w:pos="1440"/>
          <w:tab w:val="clear" w:pos="2160"/>
          <w:tab w:val="clear" w:pos="2472"/>
          <w:tab w:val="clear" w:pos="2880"/>
          <w:tab w:val="clear" w:pos="3600"/>
          <w:tab w:val="clear" w:pos="4320"/>
          <w:tab w:val="clear" w:pos="5040"/>
          <w:tab w:val="clear" w:pos="5760"/>
          <w:tab w:val="clear" w:pos="6480"/>
          <w:tab w:val="clear" w:pos="7200"/>
          <w:tab w:val="clear" w:pos="7920"/>
          <w:tab w:val="clear" w:pos="8640"/>
        </w:tabs>
        <w:spacing w:after="50"/>
        <w:ind w:left="709" w:hanging="709"/>
        <w:rPr>
          <w:rFonts w:ascii="Times New Roman" w:hAnsi="Times New Roman"/>
          <w:sz w:val="32"/>
          <w:szCs w:val="32"/>
        </w:rPr>
      </w:pPr>
      <w:bookmarkStart w:id="328" w:name="_Toc462301017"/>
      <w:bookmarkStart w:id="329" w:name="_Toc488152847"/>
      <w:bookmarkStart w:id="330" w:name="_Toc488163400"/>
      <w:r>
        <w:rPr>
          <w:rFonts w:ascii="Times New Roman" w:hAnsi="Times New Roman"/>
          <w:sz w:val="32"/>
          <w:szCs w:val="32"/>
        </w:rPr>
        <w:lastRenderedPageBreak/>
        <w:t>自主檢核表</w:t>
      </w:r>
      <w:bookmarkEnd w:id="0"/>
      <w:bookmarkEnd w:id="1"/>
      <w:bookmarkEnd w:id="2"/>
      <w:bookmarkEnd w:id="3"/>
      <w:bookmarkEnd w:id="328"/>
      <w:bookmarkEnd w:id="329"/>
      <w:bookmarkEnd w:id="330"/>
    </w:p>
    <w:p w:rsidR="0018444C" w:rsidRDefault="00980E38">
      <w:pPr>
        <w:pStyle w:val="DefaultText"/>
        <w:ind w:left="480"/>
        <w:jc w:val="both"/>
      </w:pPr>
      <w:r>
        <w:rPr>
          <w:rFonts w:ascii="Times New Roman" w:eastAsia="標楷體" w:hAnsi="Times New Roman"/>
          <w:szCs w:val="28"/>
        </w:rPr>
        <w:t>若符合下列各項目內容描述，檢核人請於方格內打勾</w:t>
      </w:r>
      <w:r>
        <w:rPr>
          <w:rFonts w:ascii="Times New Roman" w:eastAsia="標楷體" w:hAnsi="Times New Roman"/>
          <w:szCs w:val="28"/>
        </w:rPr>
        <w:t>(</w:t>
      </w:r>
      <w:r>
        <w:rPr>
          <w:rFonts w:ascii="Times New Roman" w:eastAsia="標楷體" w:hAnsi="Times New Roman"/>
          <w:szCs w:val="28"/>
        </w:rPr>
        <w:t>)</w:t>
      </w:r>
      <w:r>
        <w:rPr>
          <w:rFonts w:ascii="Times New Roman" w:eastAsia="標楷體" w:hAnsi="Times New Roman"/>
          <w:szCs w:val="28"/>
        </w:rPr>
        <w:t>，若未符合描述，請於方格內</w:t>
      </w:r>
      <w:proofErr w:type="gramStart"/>
      <w:r>
        <w:rPr>
          <w:rFonts w:ascii="Times New Roman" w:eastAsia="標楷體" w:hAnsi="Times New Roman"/>
          <w:szCs w:val="28"/>
        </w:rPr>
        <w:t>打叉</w:t>
      </w:r>
      <w:proofErr w:type="gramEnd"/>
      <w:r>
        <w:rPr>
          <w:rFonts w:ascii="Times New Roman" w:eastAsia="標楷體" w:hAnsi="Times New Roman"/>
          <w:szCs w:val="28"/>
        </w:rPr>
        <w:t>(</w:t>
      </w:r>
      <w:r>
        <w:rPr>
          <w:rFonts w:ascii="Times New Roman" w:eastAsia="標楷體" w:hAnsi="Times New Roman"/>
          <w:szCs w:val="28"/>
        </w:rPr>
        <w:t>)</w:t>
      </w:r>
      <w:r>
        <w:rPr>
          <w:rFonts w:ascii="Times New Roman" w:eastAsia="標楷體" w:hAnsi="Times New Roman"/>
          <w:szCs w:val="28"/>
        </w:rPr>
        <w:t>。</w:t>
      </w:r>
    </w:p>
    <w:p w:rsidR="0018444C" w:rsidRDefault="0018444C">
      <w:pPr>
        <w:pStyle w:val="DefaultText"/>
        <w:ind w:left="480"/>
        <w:jc w:val="both"/>
        <w:rPr>
          <w:rFonts w:ascii="Times New Roman" w:eastAsia="標楷體" w:hAnsi="Times New Roman"/>
          <w:szCs w:val="28"/>
          <w:u w:val="single"/>
        </w:rPr>
      </w:pPr>
    </w:p>
    <w:p w:rsidR="0018444C" w:rsidRDefault="0018444C">
      <w:pPr>
        <w:rPr>
          <w:rFonts w:ascii="Times New Roman" w:eastAsia="標楷體" w:hAnsi="Times New Roman"/>
        </w:rPr>
      </w:pPr>
    </w:p>
    <w:tbl>
      <w:tblPr>
        <w:tblW w:w="10307" w:type="dxa"/>
        <w:jc w:val="center"/>
        <w:tblCellMar>
          <w:left w:w="10" w:type="dxa"/>
          <w:right w:w="10" w:type="dxa"/>
        </w:tblCellMar>
        <w:tblLook w:val="0000" w:firstRow="0" w:lastRow="0" w:firstColumn="0" w:lastColumn="0" w:noHBand="0" w:noVBand="0"/>
      </w:tblPr>
      <w:tblGrid>
        <w:gridCol w:w="1754"/>
        <w:gridCol w:w="6859"/>
        <w:gridCol w:w="1694"/>
      </w:tblGrid>
      <w:tr w:rsidR="0018444C">
        <w:trPr>
          <w:trHeight w:val="454"/>
          <w:tblHeader/>
          <w:jc w:val="center"/>
        </w:trPr>
        <w:tc>
          <w:tcPr>
            <w:tcW w:w="1754" w:type="dxa"/>
            <w:tcBorders>
              <w:top w:val="double" w:sz="6" w:space="0" w:color="000000"/>
              <w:left w:val="doub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tcPr>
          <w:p w:rsidR="0018444C" w:rsidRDefault="00980E38">
            <w:pPr>
              <w:snapToGrid w:val="0"/>
              <w:spacing w:line="240" w:lineRule="atLeast"/>
              <w:jc w:val="center"/>
            </w:pPr>
            <w:r>
              <w:rPr>
                <w:rFonts w:ascii="Times New Roman" w:eastAsia="標楷體" w:hAnsi="Times New Roman"/>
                <w:b/>
                <w:sz w:val="20"/>
                <w:szCs w:val="20"/>
              </w:rPr>
              <w:t>項目</w:t>
            </w:r>
          </w:p>
        </w:tc>
        <w:tc>
          <w:tcPr>
            <w:tcW w:w="6859" w:type="dxa"/>
            <w:tcBorders>
              <w:top w:val="doub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tcPr>
          <w:p w:rsidR="0018444C" w:rsidRDefault="00980E38">
            <w:pPr>
              <w:snapToGrid w:val="0"/>
              <w:spacing w:line="240" w:lineRule="atLeast"/>
              <w:jc w:val="center"/>
              <w:rPr>
                <w:rFonts w:ascii="Times New Roman" w:eastAsia="標楷體" w:hAnsi="Times New Roman"/>
                <w:b/>
                <w:sz w:val="20"/>
                <w:szCs w:val="20"/>
              </w:rPr>
            </w:pPr>
            <w:r>
              <w:rPr>
                <w:rFonts w:ascii="Times New Roman" w:eastAsia="標楷體" w:hAnsi="Times New Roman"/>
                <w:b/>
                <w:sz w:val="20"/>
                <w:szCs w:val="20"/>
              </w:rPr>
              <w:t>表單內容</w:t>
            </w:r>
          </w:p>
        </w:tc>
        <w:tc>
          <w:tcPr>
            <w:tcW w:w="1694" w:type="dxa"/>
            <w:tcBorders>
              <w:top w:val="double" w:sz="6" w:space="0" w:color="000000"/>
              <w:left w:val="single" w:sz="6" w:space="0" w:color="000000"/>
              <w:bottom w:val="single" w:sz="6" w:space="0" w:color="000000"/>
              <w:right w:val="double" w:sz="6" w:space="0" w:color="000000"/>
            </w:tcBorders>
            <w:shd w:val="clear" w:color="auto" w:fill="BFBFBF"/>
            <w:tcMar>
              <w:top w:w="0" w:type="dxa"/>
              <w:left w:w="108" w:type="dxa"/>
              <w:bottom w:w="0" w:type="dxa"/>
              <w:right w:w="108" w:type="dxa"/>
            </w:tcMar>
            <w:vAlign w:val="center"/>
          </w:tcPr>
          <w:p w:rsidR="0018444C" w:rsidRDefault="00980E38">
            <w:pPr>
              <w:snapToGrid w:val="0"/>
              <w:spacing w:line="240" w:lineRule="atLeast"/>
              <w:jc w:val="center"/>
              <w:rPr>
                <w:rFonts w:ascii="Times New Roman" w:eastAsia="標楷體" w:hAnsi="Times New Roman"/>
                <w:b/>
                <w:sz w:val="20"/>
                <w:szCs w:val="20"/>
              </w:rPr>
            </w:pPr>
            <w:r>
              <w:rPr>
                <w:rFonts w:ascii="Times New Roman" w:eastAsia="標楷體" w:hAnsi="Times New Roman"/>
                <w:b/>
                <w:sz w:val="20"/>
                <w:szCs w:val="20"/>
              </w:rPr>
              <w:t>備註</w:t>
            </w:r>
          </w:p>
        </w:tc>
      </w:tr>
      <w:tr w:rsidR="0018444C">
        <w:trPr>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snapToGrid w:val="0"/>
              <w:spacing w:line="240" w:lineRule="atLeast"/>
              <w:jc w:val="center"/>
              <w:rPr>
                <w:rFonts w:ascii="Times New Roman" w:eastAsia="標楷體" w:hAnsi="Times New Roman"/>
              </w:rPr>
            </w:pPr>
            <w:r>
              <w:rPr>
                <w:rFonts w:ascii="Times New Roman" w:eastAsia="標楷體" w:hAnsi="Times New Roman"/>
              </w:rPr>
              <w:t>封面</w:t>
            </w:r>
          </w:p>
        </w:tc>
        <w:tc>
          <w:tcPr>
            <w:tcW w:w="6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980E38">
            <w:pPr>
              <w:snapToGrid w:val="0"/>
              <w:spacing w:line="360" w:lineRule="exact"/>
              <w:ind w:left="1119" w:hanging="1119"/>
              <w:jc w:val="both"/>
            </w:pPr>
            <w:r>
              <w:rPr>
                <w:rFonts w:ascii="Times New Roman" w:eastAsia="標楷體" w:hAnsi="Times New Roman"/>
                <w:b/>
              </w:rPr>
              <w:t>一、</w:t>
            </w:r>
            <w:r>
              <w:rPr>
                <w:rFonts w:ascii="Times New Roman" w:eastAsia="標楷體" w:hAnsi="Times New Roman"/>
              </w:rPr>
              <w:t>□</w:t>
            </w:r>
            <w:r>
              <w:rPr>
                <w:rFonts w:ascii="Times New Roman" w:eastAsia="標楷體" w:hAnsi="Times New Roman"/>
                <w:kern w:val="0"/>
              </w:rPr>
              <w:t>報告書封面標題是否與</w:t>
            </w:r>
            <w:r>
              <w:rPr>
                <w:rFonts w:ascii="Times New Roman" w:eastAsia="標楷體" w:hAnsi="Times New Roman"/>
                <w:color w:val="FF0000"/>
                <w:kern w:val="0"/>
              </w:rPr>
              <w:t>容積移轉折</w:t>
            </w:r>
            <w:proofErr w:type="gramStart"/>
            <w:r>
              <w:rPr>
                <w:rFonts w:ascii="Times New Roman" w:eastAsia="標楷體" w:hAnsi="Times New Roman"/>
                <w:color w:val="FF0000"/>
                <w:kern w:val="0"/>
              </w:rPr>
              <w:t>繳</w:t>
            </w:r>
            <w:proofErr w:type="gramEnd"/>
            <w:r>
              <w:rPr>
                <w:rFonts w:ascii="Times New Roman" w:eastAsia="標楷體" w:hAnsi="Times New Roman"/>
                <w:color w:val="FF0000"/>
                <w:kern w:val="0"/>
              </w:rPr>
              <w:t>代金估價說明書</w:t>
            </w:r>
            <w:r>
              <w:rPr>
                <w:rFonts w:ascii="Times New Roman" w:eastAsia="標楷體" w:hAnsi="Times New Roman"/>
                <w:kern w:val="0"/>
              </w:rPr>
              <w:t>一致</w:t>
            </w:r>
            <w:r>
              <w:rPr>
                <w:rFonts w:ascii="Times New Roman" w:eastAsia="標楷體" w:hAnsi="Times New Roman"/>
                <w:szCs w:val="24"/>
              </w:rPr>
              <w:t>。</w:t>
            </w:r>
          </w:p>
          <w:p w:rsidR="0018444C" w:rsidRDefault="00980E38">
            <w:pPr>
              <w:snapToGrid w:val="0"/>
              <w:spacing w:line="360" w:lineRule="exact"/>
              <w:ind w:left="1118" w:hanging="1118"/>
              <w:jc w:val="both"/>
            </w:pPr>
            <w:r>
              <w:rPr>
                <w:rFonts w:ascii="Times New Roman" w:eastAsia="標楷體" w:hAnsi="Times New Roman"/>
                <w:kern w:val="0"/>
              </w:rPr>
              <w:t>二、</w:t>
            </w:r>
            <w:r>
              <w:rPr>
                <w:rFonts w:ascii="Times New Roman" w:eastAsia="標楷體" w:hAnsi="Times New Roman"/>
                <w:kern w:val="0"/>
              </w:rPr>
              <w:t>□</w:t>
            </w:r>
            <w:r>
              <w:rPr>
                <w:rFonts w:ascii="Times New Roman" w:eastAsia="標楷體" w:hAnsi="Times New Roman"/>
                <w:kern w:val="0"/>
              </w:rPr>
              <w:t>是否有登載報告書版本</w:t>
            </w:r>
            <w:r>
              <w:rPr>
                <w:rFonts w:ascii="Times New Roman" w:eastAsia="標楷體" w:hAnsi="Times New Roman"/>
                <w:szCs w:val="24"/>
              </w:rPr>
              <w:t>。</w:t>
            </w:r>
          </w:p>
          <w:p w:rsidR="0018444C" w:rsidRDefault="00980E38">
            <w:pPr>
              <w:snapToGrid w:val="0"/>
              <w:spacing w:line="360" w:lineRule="exact"/>
              <w:ind w:left="1118" w:hanging="1118"/>
              <w:jc w:val="both"/>
            </w:pPr>
            <w:r>
              <w:rPr>
                <w:rFonts w:ascii="Times New Roman" w:eastAsia="標楷體" w:hAnsi="Times New Roman"/>
                <w:kern w:val="0"/>
              </w:rPr>
              <w:t>三、</w:t>
            </w:r>
            <w:r>
              <w:rPr>
                <w:rFonts w:ascii="Times New Roman" w:eastAsia="標楷體" w:hAnsi="Times New Roman"/>
                <w:kern w:val="0"/>
              </w:rPr>
              <w:t>□</w:t>
            </w:r>
            <w:r>
              <w:rPr>
                <w:rFonts w:ascii="Times New Roman" w:eastAsia="標楷體" w:hAnsi="Times New Roman"/>
                <w:kern w:val="0"/>
              </w:rPr>
              <w:t>是否有登載報告書出件日期</w:t>
            </w:r>
            <w:r>
              <w:rPr>
                <w:rFonts w:ascii="Times New Roman" w:eastAsia="標楷體" w:hAnsi="Times New Roman"/>
                <w:szCs w:val="24"/>
              </w:rPr>
              <w:t>。</w:t>
            </w:r>
          </w:p>
        </w:tc>
        <w:tc>
          <w:tcPr>
            <w:tcW w:w="169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18444C" w:rsidRDefault="0018444C">
            <w:pPr>
              <w:snapToGrid w:val="0"/>
              <w:spacing w:line="360" w:lineRule="exact"/>
              <w:ind w:left="1119" w:hanging="1119"/>
              <w:jc w:val="both"/>
              <w:rPr>
                <w:rFonts w:ascii="Times New Roman" w:eastAsia="標楷體" w:hAnsi="Times New Roman"/>
                <w:b/>
              </w:rPr>
            </w:pPr>
          </w:p>
        </w:tc>
      </w:tr>
      <w:tr w:rsidR="0018444C">
        <w:trPr>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snapToGrid w:val="0"/>
              <w:spacing w:line="280" w:lineRule="exact"/>
              <w:jc w:val="center"/>
              <w:rPr>
                <w:rFonts w:ascii="Times New Roman" w:eastAsia="標楷體" w:hAnsi="Times New Roman"/>
              </w:rPr>
            </w:pPr>
            <w:r>
              <w:rPr>
                <w:rFonts w:ascii="Times New Roman" w:eastAsia="標楷體" w:hAnsi="Times New Roman"/>
              </w:rPr>
              <w:t>摘要</w:t>
            </w:r>
          </w:p>
        </w:tc>
        <w:tc>
          <w:tcPr>
            <w:tcW w:w="6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980E38">
            <w:pPr>
              <w:pStyle w:val="affff1"/>
              <w:spacing w:line="360" w:lineRule="exact"/>
              <w:ind w:left="692" w:hanging="692"/>
            </w:pPr>
            <w:r>
              <w:rPr>
                <w:rFonts w:ascii="Times New Roman" w:hAnsi="Times New Roman"/>
                <w:sz w:val="24"/>
                <w:szCs w:val="24"/>
              </w:rPr>
              <w:t>一、</w:t>
            </w:r>
            <w:r>
              <w:rPr>
                <w:rFonts w:ascii="Times New Roman" w:hAnsi="Times New Roman"/>
                <w:kern w:val="0"/>
                <w:sz w:val="24"/>
                <w:szCs w:val="24"/>
              </w:rPr>
              <w:t>委託單位</w:t>
            </w:r>
            <w:r>
              <w:rPr>
                <w:rFonts w:ascii="Times New Roman" w:hAnsi="Times New Roman"/>
                <w:sz w:val="24"/>
                <w:szCs w:val="24"/>
              </w:rPr>
              <w:t>：</w:t>
            </w:r>
            <w:r>
              <w:rPr>
                <w:rFonts w:ascii="Times New Roman" w:hAnsi="Times New Roman"/>
                <w:b w:val="0"/>
                <w:sz w:val="24"/>
                <w:szCs w:val="24"/>
              </w:rPr>
              <w:t>□</w:t>
            </w:r>
            <w:r>
              <w:rPr>
                <w:rFonts w:ascii="Times New Roman" w:hAnsi="Times New Roman"/>
                <w:b w:val="0"/>
                <w:kern w:val="0"/>
                <w:sz w:val="24"/>
                <w:szCs w:val="24"/>
              </w:rPr>
              <w:t>委託人是否為</w:t>
            </w:r>
            <w:proofErr w:type="gramStart"/>
            <w:r>
              <w:rPr>
                <w:rFonts w:ascii="Times New Roman" w:hAnsi="Times New Roman"/>
                <w:b w:val="0"/>
                <w:kern w:val="0"/>
                <w:sz w:val="24"/>
                <w:szCs w:val="24"/>
              </w:rPr>
              <w:t>臺</w:t>
            </w:r>
            <w:proofErr w:type="gramEnd"/>
            <w:r>
              <w:rPr>
                <w:rFonts w:ascii="Times New Roman" w:hAnsi="Times New Roman"/>
                <w:b w:val="0"/>
                <w:kern w:val="0"/>
                <w:sz w:val="24"/>
                <w:szCs w:val="24"/>
              </w:rPr>
              <w:t>南市政府都市發展局</w:t>
            </w:r>
            <w:r>
              <w:rPr>
                <w:rFonts w:ascii="Times New Roman" w:hAnsi="Times New Roman"/>
                <w:sz w:val="24"/>
                <w:szCs w:val="24"/>
              </w:rPr>
              <w:t>。</w:t>
            </w:r>
          </w:p>
          <w:p w:rsidR="0018444C" w:rsidRDefault="00980E38">
            <w:pPr>
              <w:pStyle w:val="affff1"/>
              <w:spacing w:line="360" w:lineRule="exact"/>
              <w:ind w:left="692" w:hanging="692"/>
            </w:pPr>
            <w:r>
              <w:rPr>
                <w:rFonts w:ascii="Times New Roman" w:hAnsi="Times New Roman"/>
                <w:sz w:val="24"/>
                <w:szCs w:val="24"/>
              </w:rPr>
              <w:t>二、</w:t>
            </w:r>
            <w:r>
              <w:rPr>
                <w:rFonts w:ascii="Times New Roman" w:hAnsi="Times New Roman"/>
                <w:kern w:val="0"/>
                <w:sz w:val="24"/>
                <w:szCs w:val="24"/>
              </w:rPr>
              <w:t>基地基本資料</w:t>
            </w:r>
            <w:r>
              <w:rPr>
                <w:rFonts w:ascii="Times New Roman" w:hAnsi="Times New Roman"/>
                <w:sz w:val="24"/>
                <w:szCs w:val="24"/>
              </w:rPr>
              <w:t>：</w:t>
            </w:r>
            <w:r>
              <w:rPr>
                <w:rFonts w:ascii="Times New Roman" w:hAnsi="Times New Roman"/>
                <w:b w:val="0"/>
                <w:sz w:val="24"/>
                <w:szCs w:val="24"/>
              </w:rPr>
              <w:t>□</w:t>
            </w:r>
            <w:r>
              <w:rPr>
                <w:rFonts w:ascii="Times New Roman" w:hAnsi="Times New Roman"/>
                <w:b w:val="0"/>
                <w:kern w:val="0"/>
                <w:sz w:val="24"/>
                <w:szCs w:val="24"/>
              </w:rPr>
              <w:t>是否與</w:t>
            </w:r>
            <w:r>
              <w:rPr>
                <w:rFonts w:ascii="Times New Roman" w:hAnsi="Times New Roman"/>
                <w:b w:val="0"/>
                <w:color w:val="FF0000"/>
                <w:kern w:val="0"/>
                <w:sz w:val="24"/>
                <w:szCs w:val="24"/>
              </w:rPr>
              <w:t>容積移轉折</w:t>
            </w:r>
            <w:proofErr w:type="gramStart"/>
            <w:r>
              <w:rPr>
                <w:rFonts w:ascii="Times New Roman" w:hAnsi="Times New Roman"/>
                <w:b w:val="0"/>
                <w:color w:val="FF0000"/>
                <w:kern w:val="0"/>
                <w:sz w:val="24"/>
                <w:szCs w:val="24"/>
              </w:rPr>
              <w:t>繳</w:t>
            </w:r>
            <w:proofErr w:type="gramEnd"/>
            <w:r>
              <w:rPr>
                <w:rFonts w:ascii="Times New Roman" w:hAnsi="Times New Roman"/>
                <w:b w:val="0"/>
                <w:color w:val="FF0000"/>
                <w:kern w:val="0"/>
                <w:sz w:val="24"/>
                <w:szCs w:val="24"/>
              </w:rPr>
              <w:t>代金估價說明書</w:t>
            </w:r>
            <w:r>
              <w:rPr>
                <w:rFonts w:ascii="Times New Roman" w:hAnsi="Times New Roman"/>
                <w:b w:val="0"/>
                <w:kern w:val="0"/>
                <w:sz w:val="24"/>
                <w:szCs w:val="24"/>
              </w:rPr>
              <w:t>一致</w:t>
            </w:r>
            <w:r>
              <w:rPr>
                <w:rFonts w:ascii="Times New Roman" w:hAnsi="Times New Roman"/>
                <w:sz w:val="24"/>
                <w:szCs w:val="24"/>
              </w:rPr>
              <w:t>。</w:t>
            </w:r>
          </w:p>
        </w:tc>
        <w:tc>
          <w:tcPr>
            <w:tcW w:w="169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18444C" w:rsidRDefault="0018444C">
            <w:pPr>
              <w:pStyle w:val="affff1"/>
              <w:spacing w:line="360" w:lineRule="exact"/>
              <w:ind w:left="692" w:hanging="692"/>
              <w:rPr>
                <w:rFonts w:ascii="Times New Roman" w:hAnsi="Times New Roman"/>
                <w:sz w:val="24"/>
                <w:szCs w:val="24"/>
              </w:rPr>
            </w:pPr>
          </w:p>
        </w:tc>
      </w:tr>
      <w:tr w:rsidR="0018444C">
        <w:trPr>
          <w:trHeight w:val="1875"/>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8444C" w:rsidRDefault="00980E38">
            <w:pPr>
              <w:snapToGrid w:val="0"/>
              <w:spacing w:line="240" w:lineRule="atLeast"/>
              <w:ind w:left="480" w:hanging="480"/>
              <w:jc w:val="center"/>
            </w:pPr>
            <w:r>
              <w:rPr>
                <w:rFonts w:ascii="Times New Roman" w:eastAsia="標楷體" w:hAnsi="Times New Roman"/>
                <w:b/>
              </w:rPr>
              <w:t>貳、估價基本事項說明</w:t>
            </w:r>
          </w:p>
        </w:tc>
        <w:tc>
          <w:tcPr>
            <w:tcW w:w="6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980E38">
            <w:pPr>
              <w:pStyle w:val="affff1"/>
              <w:spacing w:line="360" w:lineRule="exact"/>
              <w:ind w:left="692" w:hanging="692"/>
            </w:pPr>
            <w:r>
              <w:rPr>
                <w:rFonts w:ascii="Times New Roman" w:hAnsi="Times New Roman"/>
                <w:sz w:val="24"/>
                <w:szCs w:val="24"/>
              </w:rPr>
              <w:t>一、</w:t>
            </w:r>
            <w:r>
              <w:rPr>
                <w:rFonts w:ascii="Times New Roman" w:hAnsi="Times New Roman"/>
                <w:kern w:val="0"/>
                <w:sz w:val="24"/>
                <w:szCs w:val="24"/>
              </w:rPr>
              <w:t>委託單位</w:t>
            </w:r>
            <w:r>
              <w:rPr>
                <w:rFonts w:ascii="Times New Roman" w:hAnsi="Times New Roman"/>
                <w:sz w:val="24"/>
                <w:szCs w:val="24"/>
              </w:rPr>
              <w:t>：</w:t>
            </w:r>
            <w:r>
              <w:rPr>
                <w:rFonts w:ascii="Times New Roman" w:hAnsi="Times New Roman"/>
                <w:b w:val="0"/>
                <w:sz w:val="24"/>
                <w:szCs w:val="24"/>
              </w:rPr>
              <w:t>□</w:t>
            </w:r>
            <w:r>
              <w:rPr>
                <w:rFonts w:ascii="Times New Roman" w:hAnsi="Times New Roman"/>
                <w:b w:val="0"/>
                <w:kern w:val="0"/>
                <w:sz w:val="24"/>
                <w:szCs w:val="24"/>
              </w:rPr>
              <w:t>委託人是否為</w:t>
            </w:r>
            <w:proofErr w:type="gramStart"/>
            <w:r>
              <w:rPr>
                <w:rFonts w:ascii="Times New Roman" w:hAnsi="Times New Roman"/>
                <w:b w:val="0"/>
                <w:kern w:val="0"/>
                <w:sz w:val="24"/>
                <w:szCs w:val="24"/>
              </w:rPr>
              <w:t>臺</w:t>
            </w:r>
            <w:proofErr w:type="gramEnd"/>
            <w:r>
              <w:rPr>
                <w:rFonts w:ascii="Times New Roman" w:hAnsi="Times New Roman"/>
                <w:b w:val="0"/>
                <w:kern w:val="0"/>
                <w:sz w:val="24"/>
                <w:szCs w:val="24"/>
              </w:rPr>
              <w:t>南市政府都市發展局</w:t>
            </w:r>
            <w:r>
              <w:rPr>
                <w:rFonts w:ascii="Times New Roman" w:hAnsi="Times New Roman"/>
                <w:sz w:val="24"/>
                <w:szCs w:val="24"/>
              </w:rPr>
              <w:t>。</w:t>
            </w:r>
          </w:p>
          <w:p w:rsidR="0018444C" w:rsidRDefault="00980E38">
            <w:pPr>
              <w:pStyle w:val="affff1"/>
              <w:spacing w:line="360" w:lineRule="exact"/>
              <w:ind w:left="692" w:hanging="692"/>
            </w:pPr>
            <w:r>
              <w:rPr>
                <w:rFonts w:ascii="Times New Roman" w:hAnsi="Times New Roman"/>
                <w:sz w:val="24"/>
                <w:szCs w:val="24"/>
              </w:rPr>
              <w:t>二、</w:t>
            </w:r>
            <w:r>
              <w:rPr>
                <w:rFonts w:ascii="Times New Roman" w:hAnsi="Times New Roman"/>
                <w:kern w:val="0"/>
                <w:sz w:val="24"/>
                <w:szCs w:val="24"/>
              </w:rPr>
              <w:t>基地基本資料</w:t>
            </w:r>
            <w:r>
              <w:rPr>
                <w:rFonts w:ascii="Times New Roman" w:hAnsi="Times New Roman"/>
                <w:sz w:val="24"/>
                <w:szCs w:val="24"/>
              </w:rPr>
              <w:t>：</w:t>
            </w:r>
            <w:r>
              <w:rPr>
                <w:rFonts w:ascii="Times New Roman" w:hAnsi="Times New Roman"/>
                <w:b w:val="0"/>
                <w:sz w:val="24"/>
                <w:szCs w:val="24"/>
              </w:rPr>
              <w:t>□</w:t>
            </w:r>
            <w:r>
              <w:rPr>
                <w:rFonts w:ascii="Times New Roman" w:hAnsi="Times New Roman"/>
                <w:b w:val="0"/>
                <w:kern w:val="0"/>
                <w:sz w:val="24"/>
                <w:szCs w:val="24"/>
              </w:rPr>
              <w:t>是否與</w:t>
            </w:r>
            <w:r>
              <w:rPr>
                <w:rFonts w:ascii="Times New Roman" w:hAnsi="Times New Roman"/>
                <w:b w:val="0"/>
                <w:color w:val="FF0000"/>
                <w:kern w:val="0"/>
                <w:sz w:val="24"/>
                <w:szCs w:val="24"/>
              </w:rPr>
              <w:t>容積移轉折</w:t>
            </w:r>
            <w:proofErr w:type="gramStart"/>
            <w:r>
              <w:rPr>
                <w:rFonts w:ascii="Times New Roman" w:hAnsi="Times New Roman"/>
                <w:b w:val="0"/>
                <w:color w:val="FF0000"/>
                <w:kern w:val="0"/>
                <w:sz w:val="24"/>
                <w:szCs w:val="24"/>
              </w:rPr>
              <w:t>繳</w:t>
            </w:r>
            <w:proofErr w:type="gramEnd"/>
            <w:r>
              <w:rPr>
                <w:rFonts w:ascii="Times New Roman" w:hAnsi="Times New Roman"/>
                <w:b w:val="0"/>
                <w:color w:val="FF0000"/>
                <w:kern w:val="0"/>
                <w:sz w:val="24"/>
                <w:szCs w:val="24"/>
              </w:rPr>
              <w:t>代金估價說明書</w:t>
            </w:r>
            <w:r>
              <w:rPr>
                <w:rFonts w:ascii="Times New Roman" w:hAnsi="Times New Roman"/>
                <w:b w:val="0"/>
                <w:kern w:val="0"/>
                <w:sz w:val="24"/>
                <w:szCs w:val="24"/>
              </w:rPr>
              <w:t>一致</w:t>
            </w:r>
            <w:r>
              <w:rPr>
                <w:rFonts w:ascii="Times New Roman" w:hAnsi="Times New Roman"/>
                <w:sz w:val="24"/>
                <w:szCs w:val="24"/>
              </w:rPr>
              <w:t>。</w:t>
            </w:r>
          </w:p>
          <w:p w:rsidR="0018444C" w:rsidRDefault="00980E38">
            <w:pPr>
              <w:pStyle w:val="affff1"/>
              <w:spacing w:line="360" w:lineRule="exact"/>
              <w:ind w:left="692" w:hanging="692"/>
            </w:pPr>
            <w:r>
              <w:rPr>
                <w:rFonts w:ascii="Times New Roman" w:hAnsi="Times New Roman"/>
                <w:sz w:val="24"/>
                <w:szCs w:val="24"/>
              </w:rPr>
              <w:t>三、</w:t>
            </w:r>
            <w:r>
              <w:rPr>
                <w:rFonts w:ascii="Times New Roman" w:hAnsi="Times New Roman"/>
                <w:kern w:val="0"/>
                <w:sz w:val="24"/>
                <w:szCs w:val="24"/>
              </w:rPr>
              <w:t>估價前提：</w:t>
            </w:r>
          </w:p>
          <w:p w:rsidR="0018444C" w:rsidRDefault="00980E38">
            <w:pPr>
              <w:pStyle w:val="25"/>
              <w:snapToGrid w:val="0"/>
              <w:spacing w:line="320" w:lineRule="exact"/>
              <w:ind w:left="775" w:hanging="254"/>
            </w:pPr>
            <w:r>
              <w:rPr>
                <w:rFonts w:ascii="Times New Roman" w:hAnsi="Times New Roman"/>
                <w:sz w:val="24"/>
                <w:szCs w:val="24"/>
              </w:rPr>
              <w:t>□</w:t>
            </w:r>
            <w:r>
              <w:rPr>
                <w:rFonts w:ascii="Times New Roman" w:hAnsi="Times New Roman"/>
                <w:sz w:val="24"/>
                <w:szCs w:val="24"/>
              </w:rPr>
              <w:t>價格日</w:t>
            </w:r>
            <w:r>
              <w:rPr>
                <w:rFonts w:ascii="Times New Roman" w:hAnsi="Times New Roman"/>
                <w:kern w:val="0"/>
                <w:sz w:val="24"/>
                <w:szCs w:val="24"/>
              </w:rPr>
              <w:t>期是否為</w:t>
            </w:r>
            <w:r>
              <w:rPr>
                <w:rFonts w:ascii="Times New Roman" w:hAnsi="Times New Roman"/>
                <w:color w:val="FF0000"/>
                <w:kern w:val="0"/>
                <w:sz w:val="24"/>
                <w:szCs w:val="24"/>
              </w:rPr>
              <w:t xml:space="preserve"> </w:t>
            </w:r>
            <w:r>
              <w:rPr>
                <w:rFonts w:ascii="Times New Roman" w:hAnsi="Times New Roman"/>
                <w:sz w:val="24"/>
                <w:szCs w:val="24"/>
              </w:rPr>
              <w:t>。</w:t>
            </w:r>
          </w:p>
          <w:p w:rsidR="0018444C" w:rsidRDefault="00980E38">
            <w:pPr>
              <w:pStyle w:val="25"/>
              <w:snapToGrid w:val="0"/>
              <w:spacing w:line="320" w:lineRule="exact"/>
              <w:ind w:left="775" w:hanging="254"/>
            </w:pPr>
            <w:r>
              <w:rPr>
                <w:rFonts w:ascii="Times New Roman" w:hAnsi="Times New Roman"/>
                <w:kern w:val="0"/>
                <w:sz w:val="24"/>
                <w:szCs w:val="24"/>
              </w:rPr>
              <w:t>□</w:t>
            </w:r>
            <w:r>
              <w:rPr>
                <w:rFonts w:ascii="Times New Roman" w:hAnsi="Times New Roman"/>
                <w:kern w:val="0"/>
                <w:sz w:val="24"/>
                <w:szCs w:val="24"/>
              </w:rPr>
              <w:t>估價條件</w:t>
            </w:r>
            <w:r>
              <w:rPr>
                <w:rFonts w:ascii="Times New Roman" w:hAnsi="Times New Roman"/>
                <w:sz w:val="24"/>
                <w:szCs w:val="24"/>
              </w:rPr>
              <w:t>是否依範本相關內容規定。</w:t>
            </w:r>
          </w:p>
          <w:p w:rsidR="0018444C" w:rsidRDefault="00980E38">
            <w:pPr>
              <w:pStyle w:val="25"/>
              <w:snapToGrid w:val="0"/>
              <w:spacing w:before="120" w:line="340" w:lineRule="exact"/>
              <w:ind w:left="0" w:firstLine="0"/>
            </w:pPr>
            <w:r>
              <w:rPr>
                <w:rFonts w:ascii="Times New Roman" w:hAnsi="Times New Roman"/>
                <w:sz w:val="24"/>
                <w:szCs w:val="24"/>
              </w:rPr>
              <w:t>四、</w:t>
            </w:r>
            <w:r>
              <w:rPr>
                <w:rFonts w:ascii="Times New Roman" w:hAnsi="Times New Roman"/>
                <w:b/>
                <w:sz w:val="24"/>
                <w:szCs w:val="24"/>
              </w:rPr>
              <w:t>現況勘察情況說明：</w:t>
            </w:r>
          </w:p>
          <w:p w:rsidR="0018444C" w:rsidRDefault="00980E38">
            <w:pPr>
              <w:pStyle w:val="25"/>
              <w:snapToGrid w:val="0"/>
              <w:spacing w:line="320" w:lineRule="exact"/>
              <w:ind w:left="775" w:hanging="254"/>
            </w:pPr>
            <w:r>
              <w:rPr>
                <w:rFonts w:ascii="Times New Roman" w:hAnsi="Times New Roman"/>
                <w:sz w:val="24"/>
                <w:szCs w:val="24"/>
              </w:rPr>
              <w:t>□</w:t>
            </w:r>
            <w:r>
              <w:rPr>
                <w:rFonts w:ascii="Times New Roman" w:hAnsi="Times New Roman"/>
                <w:kern w:val="0"/>
                <w:sz w:val="24"/>
                <w:szCs w:val="24"/>
              </w:rPr>
              <w:t>若委託人未領</w:t>
            </w:r>
            <w:proofErr w:type="gramStart"/>
            <w:r>
              <w:rPr>
                <w:rFonts w:ascii="Times New Roman" w:hAnsi="Times New Roman"/>
                <w:kern w:val="0"/>
                <w:sz w:val="24"/>
                <w:szCs w:val="24"/>
              </w:rPr>
              <w:t>勘</w:t>
            </w:r>
            <w:proofErr w:type="gramEnd"/>
            <w:r>
              <w:rPr>
                <w:rFonts w:ascii="Times New Roman" w:hAnsi="Times New Roman"/>
                <w:kern w:val="0"/>
                <w:sz w:val="24"/>
                <w:szCs w:val="24"/>
              </w:rPr>
              <w:t>，是否依不動產估價技術規則第十三條規定，於不動產估價報告書中敘明</w:t>
            </w:r>
            <w:r>
              <w:rPr>
                <w:rFonts w:ascii="Times New Roman" w:hAnsi="Times New Roman"/>
                <w:sz w:val="24"/>
                <w:szCs w:val="24"/>
              </w:rPr>
              <w:t>。</w:t>
            </w:r>
          </w:p>
        </w:tc>
        <w:tc>
          <w:tcPr>
            <w:tcW w:w="1694"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18444C" w:rsidRDefault="0018444C">
            <w:pPr>
              <w:pStyle w:val="affff1"/>
              <w:spacing w:line="360" w:lineRule="exact"/>
              <w:ind w:left="692" w:hanging="692"/>
              <w:rPr>
                <w:rFonts w:ascii="Times New Roman" w:hAnsi="Times New Roman"/>
                <w:sz w:val="24"/>
                <w:szCs w:val="24"/>
              </w:rPr>
            </w:pPr>
          </w:p>
        </w:tc>
      </w:tr>
      <w:tr w:rsidR="0018444C">
        <w:trPr>
          <w:trHeight w:val="1134"/>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8444C" w:rsidRDefault="00980E38">
            <w:pPr>
              <w:snapToGrid w:val="0"/>
              <w:spacing w:line="240" w:lineRule="atLeast"/>
              <w:ind w:left="480" w:hanging="480"/>
            </w:pPr>
            <w:r>
              <w:rPr>
                <w:rFonts w:ascii="Times New Roman" w:eastAsia="標楷體" w:hAnsi="Times New Roman"/>
                <w:b/>
              </w:rPr>
              <w:t>參、價格形成之主要因素分析</w:t>
            </w:r>
          </w:p>
        </w:tc>
        <w:tc>
          <w:tcPr>
            <w:tcW w:w="6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8444C" w:rsidRDefault="00980E38">
            <w:pPr>
              <w:pStyle w:val="affff1"/>
              <w:spacing w:line="320" w:lineRule="exact"/>
              <w:ind w:left="691" w:hanging="691"/>
            </w:pPr>
            <w:r>
              <w:rPr>
                <w:rFonts w:ascii="Times New Roman" w:hAnsi="Times New Roman"/>
                <w:b w:val="0"/>
                <w:sz w:val="24"/>
                <w:szCs w:val="24"/>
              </w:rPr>
              <w:t>一、</w:t>
            </w:r>
            <w:r>
              <w:rPr>
                <w:rFonts w:ascii="Times New Roman" w:hAnsi="Times New Roman"/>
                <w:b w:val="0"/>
                <w:sz w:val="24"/>
                <w:szCs w:val="24"/>
              </w:rPr>
              <w:t>□</w:t>
            </w:r>
            <w:r>
              <w:rPr>
                <w:rFonts w:ascii="Times New Roman" w:hAnsi="Times New Roman"/>
                <w:b w:val="0"/>
                <w:sz w:val="24"/>
                <w:szCs w:val="24"/>
              </w:rPr>
              <w:t>一般因素是否敘明</w:t>
            </w:r>
            <w:r>
              <w:rPr>
                <w:rFonts w:ascii="Times New Roman" w:hAnsi="Times New Roman"/>
                <w:sz w:val="24"/>
                <w:szCs w:val="24"/>
              </w:rPr>
              <w:t>。</w:t>
            </w:r>
          </w:p>
          <w:p w:rsidR="0018444C" w:rsidRDefault="00980E38">
            <w:pPr>
              <w:pStyle w:val="affff1"/>
              <w:spacing w:line="320" w:lineRule="exact"/>
              <w:ind w:left="691" w:hanging="691"/>
            </w:pPr>
            <w:r>
              <w:rPr>
                <w:rFonts w:ascii="Times New Roman" w:hAnsi="Times New Roman"/>
                <w:b w:val="0"/>
                <w:sz w:val="24"/>
                <w:szCs w:val="24"/>
              </w:rPr>
              <w:t>二、</w:t>
            </w:r>
            <w:r>
              <w:rPr>
                <w:rFonts w:ascii="Times New Roman" w:hAnsi="Times New Roman"/>
                <w:b w:val="0"/>
                <w:sz w:val="24"/>
                <w:szCs w:val="24"/>
              </w:rPr>
              <w:t>□</w:t>
            </w:r>
            <w:r>
              <w:rPr>
                <w:rFonts w:ascii="Times New Roman" w:hAnsi="Times New Roman"/>
                <w:b w:val="0"/>
                <w:sz w:val="24"/>
                <w:szCs w:val="24"/>
              </w:rPr>
              <w:t>區域因素是否敘明</w:t>
            </w:r>
            <w:r>
              <w:rPr>
                <w:rFonts w:ascii="Times New Roman" w:hAnsi="Times New Roman"/>
                <w:sz w:val="24"/>
                <w:szCs w:val="24"/>
              </w:rPr>
              <w:t>。</w:t>
            </w:r>
          </w:p>
          <w:p w:rsidR="0018444C" w:rsidRDefault="00980E38">
            <w:pPr>
              <w:pStyle w:val="affff1"/>
              <w:spacing w:line="320" w:lineRule="exact"/>
              <w:ind w:left="691" w:hanging="691"/>
            </w:pPr>
            <w:r>
              <w:rPr>
                <w:rFonts w:ascii="Times New Roman" w:hAnsi="Times New Roman"/>
                <w:b w:val="0"/>
                <w:sz w:val="24"/>
                <w:szCs w:val="24"/>
              </w:rPr>
              <w:t>三、</w:t>
            </w:r>
            <w:r>
              <w:rPr>
                <w:rFonts w:ascii="Times New Roman" w:hAnsi="Times New Roman"/>
                <w:b w:val="0"/>
                <w:sz w:val="24"/>
                <w:szCs w:val="24"/>
              </w:rPr>
              <w:t>□</w:t>
            </w:r>
            <w:r>
              <w:rPr>
                <w:rFonts w:ascii="Times New Roman" w:hAnsi="Times New Roman"/>
                <w:b w:val="0"/>
                <w:sz w:val="24"/>
                <w:szCs w:val="24"/>
              </w:rPr>
              <w:t>個別因素是否敘明</w:t>
            </w:r>
            <w:r>
              <w:rPr>
                <w:rFonts w:ascii="Times New Roman" w:hAnsi="Times New Roman"/>
                <w:sz w:val="24"/>
                <w:szCs w:val="24"/>
              </w:rPr>
              <w:t>。</w:t>
            </w:r>
          </w:p>
        </w:tc>
        <w:tc>
          <w:tcPr>
            <w:tcW w:w="1694" w:type="dxa"/>
            <w:tcBorders>
              <w:top w:val="single" w:sz="6" w:space="0" w:color="000000"/>
              <w:left w:val="single" w:sz="6" w:space="0" w:color="000000"/>
              <w:bottom w:val="single" w:sz="6" w:space="0" w:color="000000"/>
              <w:right w:val="double" w:sz="6" w:space="0" w:color="000000"/>
            </w:tcBorders>
            <w:shd w:val="clear" w:color="auto" w:fill="FFFFFF"/>
            <w:tcMar>
              <w:top w:w="0" w:type="dxa"/>
              <w:left w:w="108" w:type="dxa"/>
              <w:bottom w:w="0" w:type="dxa"/>
              <w:right w:w="108" w:type="dxa"/>
            </w:tcMar>
          </w:tcPr>
          <w:p w:rsidR="0018444C" w:rsidRDefault="0018444C">
            <w:pPr>
              <w:pStyle w:val="affff1"/>
              <w:spacing w:line="320" w:lineRule="exact"/>
              <w:ind w:left="691" w:hanging="691"/>
              <w:rPr>
                <w:rFonts w:ascii="Times New Roman" w:hAnsi="Times New Roman"/>
                <w:b w:val="0"/>
                <w:sz w:val="24"/>
                <w:szCs w:val="24"/>
              </w:rPr>
            </w:pPr>
          </w:p>
        </w:tc>
      </w:tr>
      <w:tr w:rsidR="0018444C">
        <w:trPr>
          <w:trHeight w:val="6459"/>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8444C" w:rsidRDefault="00980E38">
            <w:pPr>
              <w:snapToGrid w:val="0"/>
              <w:spacing w:line="240" w:lineRule="atLeast"/>
              <w:ind w:left="464" w:hanging="464"/>
            </w:pPr>
            <w:r>
              <w:rPr>
                <w:rFonts w:ascii="Times New Roman" w:eastAsia="標楷體" w:hAnsi="Times New Roman"/>
                <w:b/>
              </w:rPr>
              <w:lastRenderedPageBreak/>
              <w:t>肆、價格評估</w:t>
            </w:r>
          </w:p>
        </w:tc>
        <w:tc>
          <w:tcPr>
            <w:tcW w:w="6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18444C" w:rsidRDefault="00980E38">
            <w:pPr>
              <w:pStyle w:val="affff1"/>
              <w:spacing w:line="320" w:lineRule="exact"/>
              <w:ind w:left="692" w:hanging="692"/>
            </w:pPr>
            <w:r>
              <w:rPr>
                <w:rFonts w:ascii="Times New Roman" w:hAnsi="Times New Roman"/>
                <w:sz w:val="24"/>
                <w:szCs w:val="24"/>
              </w:rPr>
              <w:t>一、</w:t>
            </w:r>
            <w:r>
              <w:rPr>
                <w:rFonts w:ascii="Times New Roman" w:hAnsi="Times New Roman"/>
                <w:kern w:val="0"/>
                <w:sz w:val="24"/>
                <w:szCs w:val="24"/>
              </w:rPr>
              <w:t>含容積移入之基地</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土地價格是否以兩種以上估價方法評估之。</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開發後為收益型不動產，估價方式是否包含收益法之直接資本化法或折現現金流量分析法。</w:t>
            </w:r>
          </w:p>
          <w:p w:rsidR="0018444C" w:rsidRDefault="00980E38">
            <w:pPr>
              <w:pStyle w:val="25"/>
              <w:snapToGrid w:val="0"/>
              <w:spacing w:line="320" w:lineRule="exact"/>
              <w:ind w:left="775" w:hanging="254"/>
            </w:pPr>
            <w:r>
              <w:rPr>
                <w:rFonts w:ascii="Times New Roman" w:hAnsi="Times New Roman"/>
                <w:sz w:val="24"/>
                <w:szCs w:val="24"/>
              </w:rPr>
              <w:t>□</w:t>
            </w:r>
            <w:r>
              <w:rPr>
                <w:rFonts w:ascii="Times New Roman" w:hAnsi="Times New Roman"/>
                <w:sz w:val="24"/>
                <w:szCs w:val="24"/>
              </w:rPr>
              <w:t>是否依</w:t>
            </w:r>
            <w:proofErr w:type="gramStart"/>
            <w:r>
              <w:rPr>
                <w:rFonts w:ascii="Times New Roman" w:hAnsi="Times New Roman"/>
                <w:sz w:val="24"/>
                <w:szCs w:val="24"/>
              </w:rPr>
              <w:t>勘估標</w:t>
            </w:r>
            <w:proofErr w:type="gramEnd"/>
            <w:r>
              <w:rPr>
                <w:rFonts w:ascii="Times New Roman" w:hAnsi="Times New Roman"/>
                <w:sz w:val="24"/>
                <w:szCs w:val="24"/>
              </w:rPr>
              <w:t>的</w:t>
            </w:r>
            <w:r>
              <w:rPr>
                <w:rFonts w:ascii="Times New Roman" w:hAnsi="Times New Roman"/>
                <w:color w:val="FF0000"/>
                <w:sz w:val="24"/>
                <w:szCs w:val="24"/>
              </w:rPr>
              <w:t>容積移轉折</w:t>
            </w:r>
            <w:proofErr w:type="gramStart"/>
            <w:r>
              <w:rPr>
                <w:rFonts w:ascii="Times New Roman" w:hAnsi="Times New Roman"/>
                <w:color w:val="FF0000"/>
                <w:sz w:val="24"/>
                <w:szCs w:val="24"/>
              </w:rPr>
              <w:t>繳</w:t>
            </w:r>
            <w:proofErr w:type="gramEnd"/>
            <w:r>
              <w:rPr>
                <w:rFonts w:ascii="Times New Roman" w:hAnsi="Times New Roman"/>
                <w:color w:val="FF0000"/>
                <w:sz w:val="24"/>
                <w:szCs w:val="24"/>
              </w:rPr>
              <w:t>代金估價說明書</w:t>
            </w:r>
            <w:r>
              <w:rPr>
                <w:rFonts w:ascii="Times New Roman" w:hAnsi="Times New Roman"/>
                <w:sz w:val="24"/>
                <w:szCs w:val="24"/>
              </w:rPr>
              <w:t>所載之規劃方案分析規劃量體、建材設備、開發後建物用途、個別條件等進而推算開發後銷售面積及車位數量。</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是否說明如何決定之比</w:t>
            </w:r>
            <w:proofErr w:type="gramStart"/>
            <w:r>
              <w:rPr>
                <w:rFonts w:ascii="Times New Roman" w:hAnsi="Times New Roman"/>
                <w:sz w:val="24"/>
                <w:szCs w:val="24"/>
              </w:rPr>
              <w:t>準</w:t>
            </w:r>
            <w:proofErr w:type="gramEnd"/>
            <w:r>
              <w:rPr>
                <w:rFonts w:ascii="Times New Roman" w:hAnsi="Times New Roman"/>
                <w:sz w:val="24"/>
                <w:szCs w:val="24"/>
              </w:rPr>
              <w:t>樓層與比</w:t>
            </w:r>
            <w:proofErr w:type="gramStart"/>
            <w:r>
              <w:rPr>
                <w:rFonts w:ascii="Times New Roman" w:hAnsi="Times New Roman"/>
                <w:sz w:val="24"/>
                <w:szCs w:val="24"/>
              </w:rPr>
              <w:t>準</w:t>
            </w:r>
            <w:proofErr w:type="gramEnd"/>
            <w:r>
              <w:rPr>
                <w:rFonts w:ascii="Times New Roman" w:hAnsi="Times New Roman"/>
                <w:sz w:val="24"/>
                <w:szCs w:val="24"/>
              </w:rPr>
              <w:t>戶之理由。</w:t>
            </w:r>
          </w:p>
          <w:p w:rsidR="0018444C" w:rsidRDefault="00980E38">
            <w:pPr>
              <w:pStyle w:val="25"/>
              <w:snapToGrid w:val="0"/>
              <w:spacing w:line="320" w:lineRule="exact"/>
              <w:ind w:left="775" w:hanging="254"/>
            </w:pPr>
            <w:r>
              <w:rPr>
                <w:rFonts w:ascii="Times New Roman" w:hAnsi="Times New Roman"/>
                <w:sz w:val="24"/>
                <w:szCs w:val="24"/>
              </w:rPr>
              <w:t>□</w:t>
            </w:r>
            <w:r>
              <w:rPr>
                <w:rFonts w:ascii="Times New Roman" w:hAnsi="Times New Roman"/>
                <w:sz w:val="24"/>
                <w:szCs w:val="24"/>
              </w:rPr>
              <w:t>比較標的是否至少有兩個成交案例、屬性類似之案例為比較標的。</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情況特殊無法取得兩個成交案例時，是否敘明理由。</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比較標的成交日期是否為價格日期往前、後推算</w:t>
            </w:r>
            <w:proofErr w:type="gramStart"/>
            <w:r>
              <w:rPr>
                <w:rFonts w:ascii="Times New Roman" w:hAnsi="Times New Roman"/>
                <w:sz w:val="24"/>
                <w:szCs w:val="24"/>
              </w:rPr>
              <w:t>一</w:t>
            </w:r>
            <w:proofErr w:type="gramEnd"/>
            <w:r>
              <w:rPr>
                <w:rFonts w:ascii="Times New Roman" w:hAnsi="Times New Roman"/>
                <w:sz w:val="24"/>
                <w:szCs w:val="24"/>
              </w:rPr>
              <w:t>年內。</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無距價格</w:t>
            </w:r>
            <w:proofErr w:type="gramEnd"/>
            <w:r>
              <w:rPr>
                <w:rFonts w:ascii="Times New Roman" w:hAnsi="Times New Roman"/>
                <w:sz w:val="24"/>
                <w:szCs w:val="24"/>
              </w:rPr>
              <w:t>日期</w:t>
            </w:r>
            <w:proofErr w:type="gramStart"/>
            <w:r>
              <w:rPr>
                <w:rFonts w:ascii="Times New Roman" w:hAnsi="Times New Roman"/>
                <w:sz w:val="24"/>
                <w:szCs w:val="24"/>
              </w:rPr>
              <w:t>一</w:t>
            </w:r>
            <w:proofErr w:type="gramEnd"/>
            <w:r>
              <w:rPr>
                <w:rFonts w:ascii="Times New Roman" w:hAnsi="Times New Roman"/>
                <w:sz w:val="24"/>
                <w:szCs w:val="24"/>
              </w:rPr>
              <w:t>年內之比較案例，是否有敘明理由。</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比較案例中是否選取一個或一個以上交易案例為同一供需圈內近鄰地區，屬性類似之案例為比較標的</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無法取得上述案例時，是否有敘明理由。</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比較案例屋齡是否為五年內之新成屋</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無屋齡五年以內之比較案例，是否有敘明理由。</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估價師是否詳細載明</w:t>
            </w:r>
            <w:proofErr w:type="gramStart"/>
            <w:r>
              <w:rPr>
                <w:rFonts w:ascii="Times New Roman" w:hAnsi="Times New Roman"/>
                <w:sz w:val="24"/>
                <w:szCs w:val="24"/>
              </w:rPr>
              <w:t>勘</w:t>
            </w:r>
            <w:proofErr w:type="gramEnd"/>
            <w:r>
              <w:rPr>
                <w:rFonts w:ascii="Times New Roman" w:hAnsi="Times New Roman"/>
                <w:sz w:val="24"/>
                <w:szCs w:val="24"/>
              </w:rPr>
              <w:t>估建物與比較標的停車位型式。</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試算價格之調整運算過程中，區域因素調整、個別因素調整或區域因素及個別因素內之任</w:t>
            </w:r>
            <w:proofErr w:type="gramStart"/>
            <w:r>
              <w:rPr>
                <w:rFonts w:ascii="Times New Roman" w:hAnsi="Times New Roman"/>
                <w:sz w:val="24"/>
                <w:szCs w:val="24"/>
              </w:rPr>
              <w:t>一</w:t>
            </w:r>
            <w:proofErr w:type="gramEnd"/>
            <w:r>
              <w:rPr>
                <w:rFonts w:ascii="Times New Roman" w:hAnsi="Times New Roman"/>
                <w:sz w:val="24"/>
                <w:szCs w:val="24"/>
              </w:rPr>
              <w:t>單獨項目之價格調整率是否小於百分之十五。</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情況、價格日期、區域因素及個別因素調整總調整率是否小於百分之三十</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若上述總調整率大於百分之三十時，是否排除該比較標的之適用。</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勘估標</w:t>
            </w:r>
            <w:proofErr w:type="gramEnd"/>
            <w:r>
              <w:rPr>
                <w:rFonts w:ascii="Times New Roman" w:hAnsi="Times New Roman"/>
                <w:sz w:val="24"/>
                <w:szCs w:val="24"/>
              </w:rPr>
              <w:t>的性質特殊或區位特殊缺乏市場交易資料，未符合上述規定，是否於估價報告書中敘明理由。</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經比較調整後求得之</w:t>
            </w:r>
            <w:proofErr w:type="gramStart"/>
            <w:r>
              <w:rPr>
                <w:rFonts w:ascii="Times New Roman" w:hAnsi="Times New Roman"/>
                <w:sz w:val="24"/>
                <w:szCs w:val="24"/>
              </w:rPr>
              <w:t>勘估標</w:t>
            </w:r>
            <w:proofErr w:type="gramEnd"/>
            <w:r>
              <w:rPr>
                <w:rFonts w:ascii="Times New Roman" w:hAnsi="Times New Roman"/>
                <w:sz w:val="24"/>
                <w:szCs w:val="24"/>
              </w:rPr>
              <w:t>的試算價格，應就價格偏高或偏低者重新檢討，經檢討確認適當合理者，始得作為決定比較價格之基礎。檢討後試算價格之間差距仍達百分之二十以上者，是否排除該試算價格之適用。</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不動產估價師是否採用三件以上比較標的。</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比較法評估含容積移入後之基地價格時，比較案例面積、容積等因素應是否接近</w:t>
            </w:r>
            <w:proofErr w:type="gramStart"/>
            <w:r>
              <w:rPr>
                <w:rFonts w:ascii="Times New Roman" w:hAnsi="Times New Roman"/>
                <w:sz w:val="24"/>
                <w:szCs w:val="24"/>
              </w:rPr>
              <w:t>勘估標</w:t>
            </w:r>
            <w:proofErr w:type="gramEnd"/>
            <w:r>
              <w:rPr>
                <w:rFonts w:ascii="Times New Roman" w:hAnsi="Times New Roman"/>
                <w:sz w:val="24"/>
                <w:szCs w:val="24"/>
              </w:rPr>
              <w:t>的，且有二個以上成交案例。</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因交易案例稀少或條件差異過大，無法採用二個以上成交案例是否於報告書中說明。</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成交時間是否需與價格日期接近。</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土地比較案例面積應與</w:t>
            </w:r>
            <w:proofErr w:type="gramStart"/>
            <w:r>
              <w:rPr>
                <w:rFonts w:ascii="Times New Roman" w:hAnsi="Times New Roman"/>
                <w:sz w:val="24"/>
                <w:szCs w:val="24"/>
              </w:rPr>
              <w:t>勘估標</w:t>
            </w:r>
            <w:proofErr w:type="gramEnd"/>
            <w:r>
              <w:rPr>
                <w:rFonts w:ascii="Times New Roman" w:hAnsi="Times New Roman"/>
                <w:sz w:val="24"/>
                <w:szCs w:val="24"/>
              </w:rPr>
              <w:t>的相近，不宜採用小面積透天</w:t>
            </w:r>
            <w:proofErr w:type="gramStart"/>
            <w:r>
              <w:rPr>
                <w:rFonts w:ascii="Times New Roman" w:hAnsi="Times New Roman"/>
                <w:sz w:val="24"/>
                <w:szCs w:val="24"/>
              </w:rPr>
              <w:t>厝</w:t>
            </w:r>
            <w:proofErr w:type="gramEnd"/>
            <w:r>
              <w:rPr>
                <w:rFonts w:ascii="Times New Roman" w:hAnsi="Times New Roman"/>
                <w:sz w:val="24"/>
                <w:szCs w:val="24"/>
              </w:rPr>
              <w:t>土地與可獨立開發</w:t>
            </w:r>
            <w:proofErr w:type="gramStart"/>
            <w:r>
              <w:rPr>
                <w:rFonts w:ascii="Times New Roman" w:hAnsi="Times New Roman"/>
                <w:sz w:val="24"/>
                <w:szCs w:val="24"/>
              </w:rPr>
              <w:t>勘估標</w:t>
            </w:r>
            <w:proofErr w:type="gramEnd"/>
            <w:r>
              <w:rPr>
                <w:rFonts w:ascii="Times New Roman" w:hAnsi="Times New Roman"/>
                <w:sz w:val="24"/>
                <w:szCs w:val="24"/>
              </w:rPr>
              <w:t>的相比。若土地比較案</w:t>
            </w:r>
            <w:r>
              <w:rPr>
                <w:rFonts w:ascii="Times New Roman" w:hAnsi="Times New Roman"/>
                <w:sz w:val="24"/>
                <w:szCs w:val="24"/>
              </w:rPr>
              <w:lastRenderedPageBreak/>
              <w:t>例稀少則不在此限，報告書中是否述明理由。</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廣告費、銷售費、管理費及稅捐，是否按總銷售金額乘以相關費率計算，相關費率應由全聯會定期公告之。</w:t>
            </w:r>
          </w:p>
          <w:p w:rsidR="0018444C" w:rsidRDefault="00980E38">
            <w:pPr>
              <w:pStyle w:val="affff1"/>
              <w:spacing w:line="320" w:lineRule="exact"/>
              <w:ind w:left="692" w:hanging="692"/>
            </w:pPr>
            <w:r>
              <w:rPr>
                <w:rFonts w:ascii="Times New Roman" w:hAnsi="Times New Roman"/>
                <w:kern w:val="0"/>
                <w:sz w:val="24"/>
                <w:szCs w:val="24"/>
              </w:rPr>
              <w:t>二、</w:t>
            </w:r>
            <w:r>
              <w:rPr>
                <w:rFonts w:ascii="Times New Roman" w:hAnsi="Times New Roman"/>
                <w:sz w:val="24"/>
                <w:szCs w:val="24"/>
              </w:rPr>
              <w:t>未</w:t>
            </w:r>
            <w:r>
              <w:rPr>
                <w:rFonts w:ascii="Times New Roman" w:hAnsi="Times New Roman"/>
                <w:kern w:val="0"/>
                <w:sz w:val="24"/>
                <w:szCs w:val="24"/>
              </w:rPr>
              <w:t>含容積移入之基地</w:t>
            </w:r>
          </w:p>
          <w:p w:rsidR="0018444C" w:rsidRDefault="00980E38">
            <w:pPr>
              <w:pStyle w:val="25"/>
              <w:snapToGrid w:val="0"/>
              <w:spacing w:line="320" w:lineRule="exact"/>
              <w:ind w:left="209" w:firstLine="0"/>
            </w:pPr>
            <w:r>
              <w:rPr>
                <w:rFonts w:ascii="Times New Roman" w:hAnsi="Times New Roman"/>
                <w:sz w:val="24"/>
                <w:szCs w:val="24"/>
              </w:rPr>
              <w:t>未含容積移入基地之土地開發分析法中規劃面積由估價師依都市設計審議</w:t>
            </w:r>
            <w:r>
              <w:rPr>
                <w:rFonts w:ascii="Times New Roman" w:hAnsi="Times New Roman"/>
                <w:kern w:val="0"/>
                <w:sz w:val="24"/>
              </w:rPr>
              <w:t>核定</w:t>
            </w:r>
            <w:r>
              <w:rPr>
                <w:rFonts w:ascii="Times New Roman" w:hAnsi="Times New Roman"/>
                <w:sz w:val="24"/>
                <w:szCs w:val="24"/>
              </w:rPr>
              <w:t>報告書內容為基礎進行調整，是否依據下列調整原則：</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容積移入</w:t>
            </w:r>
            <w:proofErr w:type="gramStart"/>
            <w:r>
              <w:rPr>
                <w:rFonts w:ascii="Times New Roman" w:hAnsi="Times New Roman"/>
                <w:sz w:val="24"/>
                <w:szCs w:val="24"/>
              </w:rPr>
              <w:t>前後實設建</w:t>
            </w:r>
            <w:proofErr w:type="gramEnd"/>
            <w:r>
              <w:rPr>
                <w:rFonts w:ascii="Times New Roman" w:hAnsi="Times New Roman"/>
                <w:sz w:val="24"/>
                <w:szCs w:val="24"/>
              </w:rPr>
              <w:t>蔽率是否相同。</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未含移入</w:t>
            </w:r>
            <w:proofErr w:type="gramEnd"/>
            <w:r>
              <w:rPr>
                <w:rFonts w:ascii="Times New Roman" w:hAnsi="Times New Roman"/>
                <w:sz w:val="24"/>
                <w:szCs w:val="24"/>
              </w:rPr>
              <w:t>容積所減少的容積是否由頂層依次遞減。</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調整後面積是否達到與容積移入</w:t>
            </w:r>
            <w:proofErr w:type="gramStart"/>
            <w:r>
              <w:rPr>
                <w:rFonts w:ascii="Times New Roman" w:hAnsi="Times New Roman"/>
                <w:sz w:val="24"/>
                <w:szCs w:val="24"/>
              </w:rPr>
              <w:t>後銷坪比</w:t>
            </w:r>
            <w:proofErr w:type="gramEnd"/>
            <w:r>
              <w:rPr>
                <w:rFonts w:ascii="Times New Roman" w:hAnsi="Times New Roman"/>
                <w:sz w:val="24"/>
                <w:szCs w:val="24"/>
              </w:rPr>
              <w:t>相同的條件，並盡量維持接近之地下室開挖率。</w:t>
            </w:r>
          </w:p>
          <w:p w:rsidR="0018444C" w:rsidRDefault="00980E38">
            <w:pPr>
              <w:pStyle w:val="25"/>
              <w:snapToGrid w:val="0"/>
              <w:spacing w:line="320" w:lineRule="exact"/>
              <w:ind w:left="775" w:hanging="254"/>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調整後面積與容移移入後之</w:t>
            </w:r>
            <w:proofErr w:type="gramStart"/>
            <w:r>
              <w:rPr>
                <w:rFonts w:ascii="Times New Roman" w:hAnsi="Times New Roman"/>
                <w:sz w:val="24"/>
                <w:szCs w:val="24"/>
              </w:rPr>
              <w:t>銷坪比</w:t>
            </w:r>
            <w:proofErr w:type="gramEnd"/>
            <w:r>
              <w:rPr>
                <w:rFonts w:ascii="Times New Roman" w:hAnsi="Times New Roman"/>
                <w:sz w:val="24"/>
                <w:szCs w:val="24"/>
              </w:rPr>
              <w:t>不同時，是否敘明理由。</w:t>
            </w:r>
          </w:p>
          <w:p w:rsidR="0018444C" w:rsidRDefault="00980E38">
            <w:pPr>
              <w:pStyle w:val="25"/>
              <w:snapToGrid w:val="0"/>
              <w:spacing w:line="320" w:lineRule="exact"/>
              <w:ind w:left="775" w:hanging="254"/>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地下層是否達到原車位數量設置原則，例如</w:t>
            </w:r>
            <w:r>
              <w:rPr>
                <w:rFonts w:ascii="Times New Roman" w:hAnsi="Times New Roman"/>
                <w:sz w:val="24"/>
                <w:szCs w:val="24"/>
              </w:rPr>
              <w:t>1</w:t>
            </w:r>
            <w:r>
              <w:rPr>
                <w:rFonts w:ascii="Times New Roman" w:hAnsi="Times New Roman"/>
                <w:sz w:val="24"/>
                <w:szCs w:val="24"/>
              </w:rPr>
              <w:t>戶</w:t>
            </w:r>
            <w:r>
              <w:rPr>
                <w:rFonts w:ascii="Times New Roman" w:hAnsi="Times New Roman"/>
                <w:sz w:val="24"/>
                <w:szCs w:val="24"/>
              </w:rPr>
              <w:t>1</w:t>
            </w:r>
            <w:r>
              <w:rPr>
                <w:rFonts w:ascii="Times New Roman" w:hAnsi="Times New Roman"/>
                <w:sz w:val="24"/>
                <w:szCs w:val="24"/>
              </w:rPr>
              <w:t>汽車車位或機車位、或每</w:t>
            </w:r>
            <w:r>
              <w:rPr>
                <w:rFonts w:ascii="Times New Roman" w:hAnsi="Times New Roman"/>
                <w:sz w:val="24"/>
                <w:szCs w:val="24"/>
              </w:rPr>
              <w:t>150M</w:t>
            </w:r>
            <w:r>
              <w:rPr>
                <w:rFonts w:ascii="Times New Roman" w:hAnsi="Times New Roman"/>
                <w:sz w:val="24"/>
                <w:szCs w:val="24"/>
                <w:vertAlign w:val="superscript"/>
              </w:rPr>
              <w:t>2</w:t>
            </w:r>
            <w:r>
              <w:rPr>
                <w:rFonts w:ascii="Times New Roman" w:hAnsi="Times New Roman"/>
                <w:sz w:val="24"/>
                <w:szCs w:val="24"/>
              </w:rPr>
              <w:t>設計</w:t>
            </w:r>
            <w:proofErr w:type="gramStart"/>
            <w:r>
              <w:rPr>
                <w:rFonts w:ascii="Times New Roman" w:hAnsi="Times New Roman"/>
                <w:sz w:val="24"/>
                <w:szCs w:val="24"/>
              </w:rPr>
              <w:t>一</w:t>
            </w:r>
            <w:proofErr w:type="gramEnd"/>
            <w:r>
              <w:rPr>
                <w:rFonts w:ascii="Times New Roman" w:hAnsi="Times New Roman"/>
                <w:sz w:val="24"/>
                <w:szCs w:val="24"/>
              </w:rPr>
              <w:t>車位、或不設置機械車位等。</w:t>
            </w:r>
          </w:p>
          <w:p w:rsidR="0018444C" w:rsidRDefault="0018444C">
            <w:pPr>
              <w:pStyle w:val="25"/>
              <w:snapToGrid w:val="0"/>
              <w:spacing w:line="320" w:lineRule="exact"/>
              <w:ind w:left="775" w:hanging="254"/>
              <w:rPr>
                <w:rFonts w:ascii="Times New Roman" w:hAnsi="Times New Roman"/>
                <w:sz w:val="24"/>
                <w:szCs w:val="24"/>
              </w:rPr>
            </w:pPr>
          </w:p>
        </w:tc>
        <w:tc>
          <w:tcPr>
            <w:tcW w:w="1694" w:type="dxa"/>
            <w:tcBorders>
              <w:top w:val="single" w:sz="6" w:space="0" w:color="000000"/>
              <w:left w:val="single" w:sz="6" w:space="0" w:color="000000"/>
              <w:bottom w:val="single" w:sz="6" w:space="0" w:color="000000"/>
              <w:right w:val="double" w:sz="6" w:space="0" w:color="000000"/>
            </w:tcBorders>
            <w:shd w:val="clear" w:color="auto" w:fill="FFFFFF"/>
            <w:tcMar>
              <w:top w:w="0" w:type="dxa"/>
              <w:left w:w="108" w:type="dxa"/>
              <w:bottom w:w="0" w:type="dxa"/>
              <w:right w:w="108" w:type="dxa"/>
            </w:tcMar>
          </w:tcPr>
          <w:p w:rsidR="0018444C" w:rsidRDefault="0018444C">
            <w:pPr>
              <w:pStyle w:val="affff1"/>
              <w:spacing w:line="320" w:lineRule="exact"/>
              <w:ind w:left="692" w:hanging="692"/>
              <w:rPr>
                <w:rFonts w:ascii="Times New Roman" w:hAnsi="Times New Roman"/>
                <w:sz w:val="24"/>
                <w:szCs w:val="24"/>
              </w:rPr>
            </w:pPr>
          </w:p>
          <w:p w:rsidR="0018444C" w:rsidRDefault="0018444C">
            <w:pPr>
              <w:pStyle w:val="affff1"/>
              <w:spacing w:line="320" w:lineRule="exact"/>
              <w:ind w:left="692" w:hanging="692"/>
              <w:rPr>
                <w:rFonts w:ascii="Times New Roman" w:hAnsi="Times New Roman"/>
                <w:sz w:val="24"/>
                <w:szCs w:val="24"/>
              </w:rPr>
            </w:pP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18444C">
            <w:pPr>
              <w:pStyle w:val="affff1"/>
              <w:spacing w:line="320" w:lineRule="exact"/>
              <w:ind w:left="691" w:hanging="691"/>
              <w:rPr>
                <w:rFonts w:ascii="Times New Roman" w:hAnsi="Times New Roman"/>
              </w:rPr>
            </w:pP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18444C">
            <w:pPr>
              <w:pStyle w:val="affff1"/>
              <w:spacing w:line="320" w:lineRule="exact"/>
              <w:ind w:left="691" w:hanging="691"/>
              <w:rPr>
                <w:rFonts w:ascii="Times New Roman" w:hAnsi="Times New Roman"/>
              </w:rPr>
            </w:pP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18444C">
            <w:pPr>
              <w:pStyle w:val="affff1"/>
              <w:spacing w:line="320" w:lineRule="exact"/>
              <w:ind w:left="691" w:hanging="691"/>
              <w:rPr>
                <w:rFonts w:ascii="Times New Roman" w:hAnsi="Times New Roman"/>
                <w:b w:val="0"/>
                <w:sz w:val="24"/>
                <w:szCs w:val="24"/>
              </w:rPr>
            </w:pP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18444C">
            <w:pPr>
              <w:pStyle w:val="affff1"/>
              <w:spacing w:line="320" w:lineRule="exact"/>
              <w:ind w:left="691" w:hanging="691"/>
              <w:rPr>
                <w:rFonts w:ascii="Times New Roman" w:hAnsi="Times New Roman"/>
                <w:b w:val="0"/>
                <w:sz w:val="24"/>
                <w:szCs w:val="24"/>
              </w:rPr>
            </w:pP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18444C">
            <w:pPr>
              <w:pStyle w:val="affff1"/>
              <w:spacing w:line="320" w:lineRule="exact"/>
              <w:ind w:left="691" w:hanging="691"/>
              <w:rPr>
                <w:rFonts w:ascii="Times New Roman" w:hAnsi="Times New Roman"/>
                <w:b w:val="0"/>
                <w:sz w:val="24"/>
                <w:szCs w:val="24"/>
              </w:rPr>
            </w:pP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18444C">
            <w:pPr>
              <w:pStyle w:val="affff1"/>
              <w:spacing w:line="320" w:lineRule="exact"/>
              <w:ind w:left="691" w:hanging="691"/>
              <w:rPr>
                <w:rFonts w:ascii="Times New Roman" w:hAnsi="Times New Roman"/>
                <w:b w:val="0"/>
                <w:sz w:val="24"/>
                <w:szCs w:val="24"/>
              </w:rPr>
            </w:pP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tc>
      </w:tr>
      <w:tr w:rsidR="0018444C">
        <w:trPr>
          <w:trHeight w:val="1124"/>
          <w:jc w:val="center"/>
        </w:trPr>
        <w:tc>
          <w:tcPr>
            <w:tcW w:w="1754" w:type="dxa"/>
            <w:tcBorders>
              <w:top w:val="single" w:sz="6" w:space="0" w:color="000000"/>
              <w:left w:val="doub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18444C" w:rsidRDefault="00980E38">
            <w:pPr>
              <w:snapToGrid w:val="0"/>
              <w:spacing w:line="240" w:lineRule="atLeast"/>
              <w:ind w:left="496" w:hanging="496"/>
              <w:jc w:val="both"/>
            </w:pPr>
            <w:r>
              <w:rPr>
                <w:rFonts w:ascii="Times New Roman" w:eastAsia="標楷體" w:hAnsi="Times New Roman"/>
                <w:b/>
                <w:spacing w:val="4"/>
              </w:rPr>
              <w:lastRenderedPageBreak/>
              <w:t>伍、其他與估價相關之必要事項及依本規則</w:t>
            </w:r>
            <w:proofErr w:type="gramStart"/>
            <w:r>
              <w:rPr>
                <w:rFonts w:ascii="Times New Roman" w:eastAsia="標楷體" w:hAnsi="Times New Roman"/>
                <w:b/>
                <w:spacing w:val="4"/>
              </w:rPr>
              <w:t>規定需敘明</w:t>
            </w:r>
            <w:proofErr w:type="gramEnd"/>
            <w:r>
              <w:rPr>
                <w:rFonts w:ascii="Times New Roman" w:eastAsia="標楷體" w:hAnsi="Times New Roman"/>
                <w:b/>
                <w:spacing w:val="4"/>
              </w:rPr>
              <w:t>之情況</w:t>
            </w:r>
          </w:p>
        </w:tc>
        <w:tc>
          <w:tcPr>
            <w:tcW w:w="6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18444C" w:rsidRDefault="00980E38">
            <w:pPr>
              <w:pStyle w:val="affff1"/>
              <w:spacing w:line="320" w:lineRule="exact"/>
              <w:ind w:left="240" w:hanging="240"/>
            </w:pPr>
            <w:r>
              <w:rPr>
                <w:rFonts w:ascii="Times New Roman" w:hAnsi="Times New Roman"/>
                <w:b w:val="0"/>
                <w:sz w:val="24"/>
                <w:szCs w:val="24"/>
              </w:rPr>
              <w:t>□</w:t>
            </w:r>
            <w:r>
              <w:rPr>
                <w:rFonts w:ascii="Times New Roman" w:hAnsi="Times New Roman"/>
                <w:b w:val="0"/>
                <w:sz w:val="24"/>
                <w:szCs w:val="24"/>
              </w:rPr>
              <w:t>是否敘明其他與估價相關之必要事項及依本規則</w:t>
            </w:r>
            <w:proofErr w:type="gramStart"/>
            <w:r>
              <w:rPr>
                <w:rFonts w:ascii="Times New Roman" w:hAnsi="Times New Roman"/>
                <w:b w:val="0"/>
                <w:sz w:val="24"/>
                <w:szCs w:val="24"/>
              </w:rPr>
              <w:t>規定</w:t>
            </w:r>
            <w:r>
              <w:rPr>
                <w:rFonts w:ascii="Times New Roman" w:hAnsi="Times New Roman"/>
                <w:b w:val="0"/>
                <w:strike/>
                <w:sz w:val="24"/>
                <w:szCs w:val="24"/>
              </w:rPr>
              <w:t>需</w:t>
            </w:r>
            <w:r>
              <w:rPr>
                <w:rFonts w:ascii="Times New Roman" w:hAnsi="Times New Roman"/>
                <w:b w:val="0"/>
                <w:sz w:val="24"/>
                <w:szCs w:val="24"/>
              </w:rPr>
              <w:t>應敘</w:t>
            </w:r>
            <w:proofErr w:type="gramEnd"/>
            <w:r>
              <w:rPr>
                <w:rFonts w:ascii="Times New Roman" w:hAnsi="Times New Roman"/>
                <w:b w:val="0"/>
                <w:sz w:val="24"/>
                <w:szCs w:val="24"/>
              </w:rPr>
              <w:t>明之情況</w:t>
            </w:r>
          </w:p>
          <w:p w:rsidR="0018444C" w:rsidRDefault="0018444C">
            <w:pPr>
              <w:pStyle w:val="affff1"/>
              <w:spacing w:line="320" w:lineRule="exact"/>
              <w:ind w:left="692" w:hanging="692"/>
              <w:rPr>
                <w:rFonts w:ascii="Times New Roman" w:hAnsi="Times New Roman"/>
                <w:strike/>
                <w:sz w:val="24"/>
                <w:szCs w:val="24"/>
              </w:rPr>
            </w:pPr>
          </w:p>
        </w:tc>
        <w:tc>
          <w:tcPr>
            <w:tcW w:w="1694" w:type="dxa"/>
            <w:tcBorders>
              <w:top w:val="single" w:sz="6" w:space="0" w:color="000000"/>
              <w:left w:val="single" w:sz="6" w:space="0" w:color="000000"/>
              <w:bottom w:val="single" w:sz="6" w:space="0" w:color="000000"/>
              <w:right w:val="double" w:sz="6" w:space="0" w:color="000000"/>
            </w:tcBorders>
            <w:shd w:val="clear" w:color="auto" w:fill="FFFFFF"/>
            <w:tcMar>
              <w:top w:w="0" w:type="dxa"/>
              <w:left w:w="108" w:type="dxa"/>
              <w:bottom w:w="0" w:type="dxa"/>
              <w:right w:w="108" w:type="dxa"/>
            </w:tcMar>
          </w:tcPr>
          <w:p w:rsidR="0018444C" w:rsidRDefault="00980E38">
            <w:pPr>
              <w:pStyle w:val="affff1"/>
              <w:spacing w:line="320" w:lineRule="exact"/>
              <w:ind w:left="691" w:hanging="691"/>
            </w:pPr>
            <w:r>
              <w:rPr>
                <w:rFonts w:ascii="Times New Roman" w:hAnsi="Times New Roman"/>
                <w:b w:val="0"/>
                <w:sz w:val="24"/>
                <w:szCs w:val="24"/>
              </w:rPr>
              <w:t>□</w:t>
            </w:r>
            <w:r>
              <w:rPr>
                <w:rFonts w:ascii="Times New Roman" w:hAnsi="Times New Roman"/>
                <w:b w:val="0"/>
                <w:sz w:val="24"/>
                <w:szCs w:val="24"/>
              </w:rPr>
              <w:t>非屬本項</w:t>
            </w:r>
          </w:p>
          <w:p w:rsidR="0018444C" w:rsidRDefault="0018444C">
            <w:pPr>
              <w:pStyle w:val="affff1"/>
              <w:spacing w:line="320" w:lineRule="exact"/>
              <w:ind w:left="691" w:hanging="691"/>
              <w:rPr>
                <w:rFonts w:ascii="Times New Roman" w:hAnsi="Times New Roman"/>
                <w:b w:val="0"/>
                <w:sz w:val="24"/>
                <w:szCs w:val="24"/>
              </w:rPr>
            </w:pPr>
          </w:p>
        </w:tc>
      </w:tr>
      <w:tr w:rsidR="0018444C">
        <w:trPr>
          <w:trHeight w:val="2685"/>
          <w:jc w:val="center"/>
        </w:trPr>
        <w:tc>
          <w:tcPr>
            <w:tcW w:w="1754" w:type="dxa"/>
            <w:tcBorders>
              <w:top w:val="single" w:sz="6" w:space="0" w:color="000000"/>
              <w:left w:val="double" w:sz="6" w:space="0" w:color="000000"/>
              <w:bottom w:val="double" w:sz="6" w:space="0" w:color="000000"/>
              <w:right w:val="single" w:sz="6" w:space="0" w:color="000000"/>
            </w:tcBorders>
            <w:shd w:val="clear" w:color="auto" w:fill="FFFFFF"/>
            <w:tcMar>
              <w:top w:w="0" w:type="dxa"/>
              <w:left w:w="108" w:type="dxa"/>
              <w:bottom w:w="0" w:type="dxa"/>
              <w:right w:w="108" w:type="dxa"/>
            </w:tcMar>
            <w:vAlign w:val="center"/>
          </w:tcPr>
          <w:p w:rsidR="0018444C" w:rsidRDefault="00980E38">
            <w:pPr>
              <w:snapToGrid w:val="0"/>
              <w:spacing w:line="240" w:lineRule="atLeast"/>
              <w:jc w:val="center"/>
            </w:pPr>
            <w:r>
              <w:rPr>
                <w:rFonts w:ascii="Times New Roman" w:eastAsia="標楷體" w:hAnsi="Times New Roman"/>
                <w:b/>
              </w:rPr>
              <w:t>陸、檢附資料</w:t>
            </w:r>
          </w:p>
        </w:tc>
        <w:tc>
          <w:tcPr>
            <w:tcW w:w="6859" w:type="dxa"/>
            <w:tcBorders>
              <w:top w:val="single" w:sz="6" w:space="0" w:color="000000"/>
              <w:left w:val="single" w:sz="6" w:space="0" w:color="000000"/>
              <w:bottom w:val="double" w:sz="6" w:space="0" w:color="000000"/>
              <w:right w:val="single" w:sz="6" w:space="0" w:color="000000"/>
            </w:tcBorders>
            <w:shd w:val="clear" w:color="auto" w:fill="FFFFFF"/>
            <w:tcMar>
              <w:top w:w="0" w:type="dxa"/>
              <w:left w:w="108" w:type="dxa"/>
              <w:bottom w:w="0" w:type="dxa"/>
              <w:right w:w="108" w:type="dxa"/>
            </w:tcMar>
          </w:tcPr>
          <w:p w:rsidR="0018444C" w:rsidRDefault="00980E38">
            <w:pPr>
              <w:pStyle w:val="affff1"/>
              <w:spacing w:line="320" w:lineRule="exact"/>
              <w:ind w:left="691" w:hanging="691"/>
              <w:rPr>
                <w:rFonts w:ascii="Times New Roman" w:hAnsi="Times New Roman"/>
                <w:b w:val="0"/>
                <w:sz w:val="24"/>
                <w:szCs w:val="24"/>
              </w:rPr>
            </w:pPr>
            <w:r>
              <w:rPr>
                <w:rFonts w:ascii="Times New Roman" w:hAnsi="Times New Roman"/>
                <w:b w:val="0"/>
                <w:sz w:val="24"/>
                <w:szCs w:val="24"/>
              </w:rPr>
              <w:t>報告書是否檢附下列資料</w:t>
            </w:r>
          </w:p>
          <w:p w:rsidR="0018444C" w:rsidRDefault="00980E38">
            <w:pPr>
              <w:pStyle w:val="affff1"/>
              <w:spacing w:line="320" w:lineRule="exact"/>
              <w:ind w:left="648" w:hanging="182"/>
            </w:pPr>
            <w:r>
              <w:rPr>
                <w:rFonts w:ascii="Times New Roman" w:hAnsi="Times New Roman"/>
                <w:b w:val="0"/>
                <w:sz w:val="24"/>
                <w:szCs w:val="24"/>
              </w:rPr>
              <w:t>□</w:t>
            </w:r>
            <w:r>
              <w:rPr>
                <w:rFonts w:ascii="Times New Roman" w:hAnsi="Times New Roman"/>
                <w:b w:val="0"/>
                <w:sz w:val="24"/>
                <w:szCs w:val="24"/>
              </w:rPr>
              <w:t>容積移轉折</w:t>
            </w:r>
            <w:proofErr w:type="gramStart"/>
            <w:r>
              <w:rPr>
                <w:rFonts w:ascii="Times New Roman" w:hAnsi="Times New Roman"/>
                <w:b w:val="0"/>
                <w:sz w:val="24"/>
                <w:szCs w:val="24"/>
              </w:rPr>
              <w:t>繳</w:t>
            </w:r>
            <w:proofErr w:type="gramEnd"/>
            <w:r>
              <w:rPr>
                <w:rFonts w:ascii="Times New Roman" w:hAnsi="Times New Roman"/>
                <w:b w:val="0"/>
                <w:sz w:val="24"/>
                <w:szCs w:val="24"/>
              </w:rPr>
              <w:t>代金估價說明書</w:t>
            </w:r>
          </w:p>
          <w:p w:rsidR="0018444C" w:rsidRDefault="00980E38">
            <w:pPr>
              <w:pStyle w:val="affff1"/>
              <w:spacing w:line="320" w:lineRule="exact"/>
              <w:ind w:left="648" w:hanging="182"/>
            </w:pPr>
            <w:r>
              <w:rPr>
                <w:rFonts w:ascii="Times New Roman" w:hAnsi="Times New Roman"/>
                <w:b w:val="0"/>
                <w:sz w:val="24"/>
                <w:szCs w:val="24"/>
              </w:rPr>
              <w:t>□</w:t>
            </w:r>
            <w:r>
              <w:rPr>
                <w:rFonts w:ascii="Times New Roman" w:hAnsi="Times New Roman"/>
                <w:b w:val="0"/>
                <w:sz w:val="24"/>
                <w:szCs w:val="24"/>
              </w:rPr>
              <w:t>都市</w:t>
            </w:r>
            <w:r>
              <w:rPr>
                <w:rFonts w:ascii="Times New Roman" w:hAnsi="Times New Roman"/>
                <w:b w:val="0"/>
                <w:kern w:val="0"/>
                <w:sz w:val="24"/>
                <w:szCs w:val="24"/>
              </w:rPr>
              <w:t>更新事業計畫建築規劃設計圖說</w:t>
            </w:r>
          </w:p>
          <w:p w:rsidR="0018444C" w:rsidRDefault="00980E38">
            <w:pPr>
              <w:pStyle w:val="affff1"/>
              <w:spacing w:line="320" w:lineRule="exact"/>
              <w:ind w:left="648" w:hanging="182"/>
            </w:pPr>
            <w:r>
              <w:rPr>
                <w:rFonts w:ascii="Times New Roman" w:hAnsi="Times New Roman"/>
                <w:b w:val="0"/>
                <w:sz w:val="24"/>
                <w:szCs w:val="24"/>
              </w:rPr>
              <w:t>□</w:t>
            </w:r>
            <w:r>
              <w:rPr>
                <w:rFonts w:ascii="Times New Roman" w:hAnsi="Times New Roman"/>
                <w:b w:val="0"/>
                <w:kern w:val="0"/>
                <w:sz w:val="24"/>
                <w:szCs w:val="24"/>
              </w:rPr>
              <w:t>建材設備表或特殊建材、特殊建築工法</w:t>
            </w:r>
          </w:p>
          <w:p w:rsidR="0018444C" w:rsidRDefault="00980E38">
            <w:pPr>
              <w:pStyle w:val="affff1"/>
              <w:spacing w:line="320" w:lineRule="exact"/>
              <w:ind w:left="648" w:hanging="182"/>
            </w:pPr>
            <w:r>
              <w:rPr>
                <w:rFonts w:ascii="Times New Roman" w:hAnsi="Times New Roman"/>
                <w:b w:val="0"/>
                <w:sz w:val="24"/>
                <w:szCs w:val="24"/>
              </w:rPr>
              <w:t>□</w:t>
            </w:r>
            <w:proofErr w:type="gramStart"/>
            <w:r>
              <w:rPr>
                <w:rFonts w:ascii="Times New Roman" w:hAnsi="Times New Roman"/>
                <w:b w:val="0"/>
                <w:kern w:val="0"/>
                <w:sz w:val="24"/>
                <w:szCs w:val="24"/>
              </w:rPr>
              <w:t>勘估標</w:t>
            </w:r>
            <w:proofErr w:type="gramEnd"/>
            <w:r>
              <w:rPr>
                <w:rFonts w:ascii="Times New Roman" w:hAnsi="Times New Roman"/>
                <w:b w:val="0"/>
                <w:kern w:val="0"/>
                <w:sz w:val="24"/>
                <w:szCs w:val="24"/>
              </w:rPr>
              <w:t>的現況照片</w:t>
            </w:r>
          </w:p>
          <w:p w:rsidR="0018444C" w:rsidRDefault="00980E38">
            <w:pPr>
              <w:pStyle w:val="affff1"/>
              <w:spacing w:line="320" w:lineRule="exact"/>
              <w:ind w:left="648" w:hanging="182"/>
            </w:pPr>
            <w:r>
              <w:rPr>
                <w:rFonts w:ascii="Times New Roman" w:hAnsi="Times New Roman"/>
                <w:b w:val="0"/>
                <w:sz w:val="24"/>
                <w:szCs w:val="24"/>
              </w:rPr>
              <w:t>□</w:t>
            </w:r>
            <w:r>
              <w:rPr>
                <w:rFonts w:ascii="Times New Roman" w:hAnsi="Times New Roman"/>
                <w:b w:val="0"/>
                <w:kern w:val="0"/>
                <w:sz w:val="24"/>
                <w:szCs w:val="24"/>
              </w:rPr>
              <w:t>不動產估價師證明文件</w:t>
            </w:r>
          </w:p>
          <w:p w:rsidR="0018444C" w:rsidRDefault="00980E38">
            <w:pPr>
              <w:pStyle w:val="affff1"/>
              <w:spacing w:line="320" w:lineRule="exact"/>
              <w:ind w:left="648" w:hanging="182"/>
            </w:pPr>
            <w:r>
              <w:rPr>
                <w:rFonts w:ascii="Times New Roman" w:hAnsi="Times New Roman"/>
                <w:b w:val="0"/>
                <w:sz w:val="24"/>
                <w:szCs w:val="24"/>
              </w:rPr>
              <w:t>□</w:t>
            </w:r>
            <w:proofErr w:type="gramStart"/>
            <w:r>
              <w:rPr>
                <w:rFonts w:ascii="Times New Roman" w:hAnsi="Times New Roman"/>
                <w:b w:val="0"/>
                <w:kern w:val="0"/>
                <w:sz w:val="24"/>
                <w:szCs w:val="24"/>
              </w:rPr>
              <w:t>勘估標</w:t>
            </w:r>
            <w:proofErr w:type="gramEnd"/>
            <w:r>
              <w:rPr>
                <w:rFonts w:ascii="Times New Roman" w:hAnsi="Times New Roman"/>
                <w:b w:val="0"/>
                <w:kern w:val="0"/>
                <w:sz w:val="24"/>
                <w:szCs w:val="24"/>
              </w:rPr>
              <w:t>的位置圖</w:t>
            </w:r>
          </w:p>
          <w:p w:rsidR="0018444C" w:rsidRDefault="00980E38">
            <w:pPr>
              <w:pStyle w:val="affff1"/>
              <w:spacing w:line="320" w:lineRule="exact"/>
              <w:ind w:left="648" w:hanging="182"/>
              <w:rPr>
                <w:rFonts w:ascii="Times New Roman" w:hAnsi="Times New Roman"/>
                <w:b w:val="0"/>
                <w:kern w:val="0"/>
                <w:sz w:val="24"/>
                <w:szCs w:val="24"/>
              </w:rPr>
            </w:pPr>
            <w:r>
              <w:rPr>
                <w:rFonts w:ascii="Times New Roman" w:hAnsi="Times New Roman"/>
                <w:b w:val="0"/>
                <w:kern w:val="0"/>
                <w:sz w:val="24"/>
                <w:szCs w:val="24"/>
              </w:rPr>
              <w:t>□</w:t>
            </w:r>
            <w:r>
              <w:rPr>
                <w:rFonts w:ascii="Times New Roman" w:hAnsi="Times New Roman"/>
                <w:b w:val="0"/>
                <w:kern w:val="0"/>
                <w:sz w:val="24"/>
                <w:szCs w:val="24"/>
              </w:rPr>
              <w:t>比較標的位置圖</w:t>
            </w:r>
          </w:p>
          <w:p w:rsidR="0018444C" w:rsidRDefault="00980E38">
            <w:pPr>
              <w:pStyle w:val="affff1"/>
              <w:spacing w:line="320" w:lineRule="exact"/>
              <w:ind w:left="648" w:hanging="182"/>
            </w:pPr>
            <w:r>
              <w:rPr>
                <w:rFonts w:ascii="Times New Roman" w:hAnsi="Times New Roman"/>
                <w:b w:val="0"/>
                <w:kern w:val="0"/>
                <w:sz w:val="24"/>
                <w:szCs w:val="24"/>
              </w:rPr>
              <w:t>□</w:t>
            </w:r>
            <w:r>
              <w:rPr>
                <w:rFonts w:ascii="Times New Roman" w:hAnsi="Times New Roman"/>
                <w:b w:val="0"/>
                <w:sz w:val="24"/>
                <w:szCs w:val="24"/>
              </w:rPr>
              <w:t>容積率調整試算表</w:t>
            </w:r>
          </w:p>
          <w:p w:rsidR="0018444C" w:rsidRDefault="0018444C">
            <w:pPr>
              <w:pStyle w:val="affff1"/>
              <w:spacing w:line="320" w:lineRule="exact"/>
              <w:ind w:left="649" w:hanging="183"/>
              <w:rPr>
                <w:rFonts w:ascii="Times New Roman" w:hAnsi="Times New Roman"/>
                <w:sz w:val="24"/>
                <w:szCs w:val="24"/>
              </w:rPr>
            </w:pPr>
          </w:p>
        </w:tc>
        <w:tc>
          <w:tcPr>
            <w:tcW w:w="1694" w:type="dxa"/>
            <w:tcBorders>
              <w:top w:val="single" w:sz="6" w:space="0" w:color="000000"/>
              <w:left w:val="single" w:sz="6" w:space="0" w:color="000000"/>
              <w:bottom w:val="double" w:sz="6" w:space="0" w:color="000000"/>
              <w:right w:val="double" w:sz="6" w:space="0" w:color="000000"/>
            </w:tcBorders>
            <w:shd w:val="clear" w:color="auto" w:fill="FFFFFF"/>
            <w:tcMar>
              <w:top w:w="0" w:type="dxa"/>
              <w:left w:w="108" w:type="dxa"/>
              <w:bottom w:w="0" w:type="dxa"/>
              <w:right w:w="108" w:type="dxa"/>
            </w:tcMar>
          </w:tcPr>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p w:rsidR="0018444C" w:rsidRDefault="0018444C">
            <w:pPr>
              <w:pStyle w:val="affff1"/>
              <w:spacing w:line="320" w:lineRule="exact"/>
              <w:ind w:left="691" w:hanging="691"/>
              <w:rPr>
                <w:rFonts w:ascii="Times New Roman" w:hAnsi="Times New Roman"/>
                <w:b w:val="0"/>
                <w:sz w:val="24"/>
                <w:szCs w:val="24"/>
              </w:rPr>
            </w:pPr>
          </w:p>
        </w:tc>
      </w:tr>
      <w:bookmarkEnd w:id="4"/>
      <w:bookmarkEnd w:id="5"/>
    </w:tbl>
    <w:p w:rsidR="0018444C" w:rsidRDefault="0018444C">
      <w:pPr>
        <w:widowControl/>
        <w:rPr>
          <w:rFonts w:ascii="Times New Roman" w:eastAsia="標楷體" w:hAnsi="Times New Roman"/>
        </w:rPr>
      </w:pPr>
    </w:p>
    <w:p w:rsidR="0018444C" w:rsidRDefault="00980E38">
      <w:pPr>
        <w:pStyle w:val="DefaultText"/>
        <w:pageBreakBefore/>
        <w:tabs>
          <w:tab w:val="left" w:pos="644"/>
        </w:tabs>
        <w:spacing w:after="280" w:line="500" w:lineRule="exact"/>
      </w:pPr>
      <w:r>
        <w:rPr>
          <w:rFonts w:ascii="Times New Roman" w:eastAsia="標楷體" w:hAnsi="Times New Roman"/>
          <w:b/>
          <w:sz w:val="32"/>
          <w:szCs w:val="32"/>
        </w:rPr>
        <w:lastRenderedPageBreak/>
        <w:t>附錄</w:t>
      </w:r>
      <w:r>
        <w:rPr>
          <w:rFonts w:ascii="Times New Roman" w:eastAsia="標楷體" w:hAnsi="Times New Roman"/>
          <w:sz w:val="24"/>
          <w:szCs w:val="32"/>
        </w:rPr>
        <w:t>(</w:t>
      </w:r>
      <w:r>
        <w:rPr>
          <w:rFonts w:ascii="Times New Roman" w:eastAsia="標楷體" w:hAnsi="Times New Roman"/>
          <w:sz w:val="24"/>
          <w:szCs w:val="32"/>
        </w:rPr>
        <w:t>不使用時應刪除</w:t>
      </w:r>
      <w:r>
        <w:rPr>
          <w:rFonts w:ascii="Times New Roman" w:eastAsia="標楷體" w:hAnsi="Times New Roman"/>
          <w:sz w:val="24"/>
          <w:szCs w:val="32"/>
        </w:rPr>
        <w:t>)</w:t>
      </w:r>
    </w:p>
    <w:p w:rsidR="0018444C" w:rsidRDefault="00980E38">
      <w:pPr>
        <w:pStyle w:val="afff5"/>
        <w:ind w:left="0"/>
        <w:jc w:val="center"/>
        <w:rPr>
          <w:rFonts w:eastAsia="標楷體"/>
          <w:sz w:val="32"/>
          <w:szCs w:val="32"/>
        </w:rPr>
      </w:pPr>
      <w:r>
        <w:rPr>
          <w:rFonts w:eastAsia="標楷體"/>
          <w:sz w:val="32"/>
          <w:szCs w:val="32"/>
        </w:rPr>
        <w:t>(</w:t>
      </w:r>
      <w:r>
        <w:rPr>
          <w:rFonts w:eastAsia="標楷體"/>
          <w:sz w:val="32"/>
          <w:szCs w:val="32"/>
        </w:rPr>
        <w:t>初審版報告書</w:t>
      </w:r>
      <w:r>
        <w:rPr>
          <w:rFonts w:eastAsia="標楷體"/>
          <w:sz w:val="32"/>
          <w:szCs w:val="32"/>
        </w:rPr>
        <w:t>)</w:t>
      </w:r>
      <w:proofErr w:type="gramStart"/>
      <w:r>
        <w:rPr>
          <w:rFonts w:eastAsia="標楷體"/>
          <w:sz w:val="32"/>
          <w:szCs w:val="32"/>
        </w:rPr>
        <w:t>臺</w:t>
      </w:r>
      <w:proofErr w:type="gramEnd"/>
      <w:r>
        <w:rPr>
          <w:rFonts w:eastAsia="標楷體"/>
          <w:sz w:val="32"/>
          <w:szCs w:val="32"/>
        </w:rPr>
        <w:t>南市容積代金估價工作小組意見說明與回應表</w:t>
      </w:r>
    </w:p>
    <w:p w:rsidR="0018444C" w:rsidRDefault="00980E38">
      <w:pPr>
        <w:pStyle w:val="afff5"/>
        <w:spacing w:line="400" w:lineRule="exact"/>
        <w:ind w:left="0"/>
        <w:rPr>
          <w:rFonts w:eastAsia="標楷體"/>
          <w:sz w:val="28"/>
          <w:szCs w:val="28"/>
        </w:rPr>
      </w:pPr>
      <w:r>
        <w:rPr>
          <w:rFonts w:eastAsia="標楷體"/>
          <w:sz w:val="28"/>
          <w:szCs w:val="28"/>
        </w:rPr>
        <w:t>估價單位：</w:t>
      </w:r>
    </w:p>
    <w:tbl>
      <w:tblPr>
        <w:tblW w:w="4866" w:type="pct"/>
        <w:tblCellMar>
          <w:left w:w="10" w:type="dxa"/>
          <w:right w:w="10" w:type="dxa"/>
        </w:tblCellMar>
        <w:tblLook w:val="0000" w:firstRow="0" w:lastRow="0" w:firstColumn="0" w:lastColumn="0" w:noHBand="0" w:noVBand="0"/>
      </w:tblPr>
      <w:tblGrid>
        <w:gridCol w:w="866"/>
        <w:gridCol w:w="3876"/>
        <w:gridCol w:w="3583"/>
        <w:gridCol w:w="1706"/>
      </w:tblGrid>
      <w:tr w:rsidR="0018444C">
        <w:tc>
          <w:tcPr>
            <w:tcW w:w="846"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18444C" w:rsidRDefault="00980E38">
            <w:pPr>
              <w:spacing w:line="320" w:lineRule="exact"/>
              <w:rPr>
                <w:rFonts w:ascii="Times New Roman" w:eastAsia="標楷體" w:hAnsi="Times New Roman"/>
                <w:sz w:val="28"/>
                <w:szCs w:val="28"/>
              </w:rPr>
            </w:pPr>
            <w:r>
              <w:rPr>
                <w:rFonts w:ascii="Times New Roman" w:eastAsia="標楷體" w:hAnsi="Times New Roman"/>
                <w:sz w:val="28"/>
                <w:szCs w:val="28"/>
              </w:rPr>
              <w:t>序號</w:t>
            </w:r>
          </w:p>
        </w:tc>
        <w:tc>
          <w:tcPr>
            <w:tcW w:w="378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18444C" w:rsidRDefault="00980E38">
            <w:pPr>
              <w:spacing w:line="320" w:lineRule="exact"/>
              <w:rPr>
                <w:rFonts w:ascii="Times New Roman" w:eastAsia="標楷體" w:hAnsi="Times New Roman"/>
                <w:sz w:val="28"/>
                <w:szCs w:val="28"/>
              </w:rPr>
            </w:pPr>
            <w:r>
              <w:rPr>
                <w:rFonts w:ascii="Times New Roman" w:eastAsia="標楷體" w:hAnsi="Times New Roman"/>
                <w:sz w:val="28"/>
                <w:szCs w:val="28"/>
              </w:rPr>
              <w:t>工作小組意見</w:t>
            </w:r>
          </w:p>
        </w:tc>
        <w:tc>
          <w:tcPr>
            <w:tcW w:w="349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18444C" w:rsidRDefault="00980E38">
            <w:pPr>
              <w:spacing w:line="320" w:lineRule="exact"/>
            </w:pPr>
            <w:r>
              <w:rPr>
                <w:rFonts w:ascii="Times New Roman" w:eastAsia="標楷體" w:hAnsi="Times New Roman"/>
                <w:sz w:val="28"/>
                <w:szCs w:val="28"/>
              </w:rPr>
              <w:t>估價單位說明與回應</w:t>
            </w:r>
          </w:p>
        </w:tc>
        <w:tc>
          <w:tcPr>
            <w:tcW w:w="1665"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18444C" w:rsidRDefault="00980E38">
            <w:pPr>
              <w:spacing w:line="320" w:lineRule="exact"/>
            </w:pPr>
            <w:r>
              <w:rPr>
                <w:rFonts w:ascii="Times New Roman" w:eastAsia="標楷體" w:hAnsi="Times New Roman"/>
                <w:sz w:val="28"/>
                <w:szCs w:val="28"/>
              </w:rPr>
              <w:t>修正後頁次</w:t>
            </w:r>
          </w:p>
        </w:tc>
      </w:tr>
      <w:tr w:rsidR="0018444C">
        <w:trPr>
          <w:trHeight w:val="391"/>
        </w:trPr>
        <w:tc>
          <w:tcPr>
            <w:tcW w:w="9791"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980E38">
            <w:pPr>
              <w:tabs>
                <w:tab w:val="left" w:pos="1418"/>
              </w:tabs>
              <w:spacing w:line="500" w:lineRule="exact"/>
              <w:jc w:val="both"/>
            </w:pPr>
            <w:proofErr w:type="gramStart"/>
            <w:r>
              <w:rPr>
                <w:rFonts w:ascii="Times New Roman" w:eastAsia="標楷體" w:hAnsi="Times New Roman"/>
                <w:sz w:val="28"/>
                <w:szCs w:val="28"/>
              </w:rPr>
              <w:t>○○○</w:t>
            </w:r>
            <w:r>
              <w:rPr>
                <w:rFonts w:ascii="Times New Roman" w:eastAsia="標楷體" w:hAnsi="Times New Roman"/>
                <w:sz w:val="28"/>
                <w:szCs w:val="28"/>
              </w:rPr>
              <w:t>協審委員</w:t>
            </w:r>
            <w:proofErr w:type="gramEnd"/>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rPr>
          <w:trHeight w:val="444"/>
        </w:trPr>
        <w:tc>
          <w:tcPr>
            <w:tcW w:w="9791"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980E38">
            <w:pPr>
              <w:tabs>
                <w:tab w:val="left" w:pos="1418"/>
              </w:tabs>
              <w:spacing w:line="500" w:lineRule="exact"/>
              <w:jc w:val="both"/>
            </w:pPr>
            <w:proofErr w:type="gramStart"/>
            <w:r>
              <w:rPr>
                <w:rFonts w:ascii="Times New Roman" w:eastAsia="標楷體" w:hAnsi="Times New Roman"/>
                <w:sz w:val="28"/>
                <w:szCs w:val="28"/>
              </w:rPr>
              <w:t>○○○</w:t>
            </w:r>
            <w:r>
              <w:rPr>
                <w:rFonts w:ascii="Times New Roman" w:eastAsia="標楷體" w:hAnsi="Times New Roman"/>
                <w:sz w:val="28"/>
                <w:szCs w:val="28"/>
              </w:rPr>
              <w:t>協審委員</w:t>
            </w:r>
            <w:proofErr w:type="gramEnd"/>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rPr>
          <w:trHeight w:val="391"/>
        </w:trPr>
        <w:tc>
          <w:tcPr>
            <w:tcW w:w="9791"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980E38">
            <w:pPr>
              <w:tabs>
                <w:tab w:val="left" w:pos="1418"/>
              </w:tabs>
              <w:spacing w:line="500" w:lineRule="exact"/>
              <w:jc w:val="both"/>
            </w:pPr>
            <w:proofErr w:type="gramStart"/>
            <w:r>
              <w:rPr>
                <w:rFonts w:ascii="Times New Roman" w:eastAsia="標楷體" w:hAnsi="Times New Roman"/>
                <w:sz w:val="28"/>
                <w:szCs w:val="28"/>
              </w:rPr>
              <w:t>○○○</w:t>
            </w:r>
            <w:r>
              <w:rPr>
                <w:rFonts w:ascii="Times New Roman" w:eastAsia="標楷體" w:hAnsi="Times New Roman"/>
                <w:sz w:val="28"/>
                <w:szCs w:val="28"/>
              </w:rPr>
              <w:t>協審委員</w:t>
            </w:r>
            <w:proofErr w:type="gramEnd"/>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rPr>
          <w:trHeight w:val="444"/>
        </w:trPr>
        <w:tc>
          <w:tcPr>
            <w:tcW w:w="9791"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980E38">
            <w:pPr>
              <w:tabs>
                <w:tab w:val="left" w:pos="1418"/>
              </w:tabs>
              <w:spacing w:line="500" w:lineRule="exact"/>
              <w:jc w:val="both"/>
            </w:pPr>
            <w:proofErr w:type="gramStart"/>
            <w:r>
              <w:rPr>
                <w:rFonts w:ascii="Times New Roman" w:eastAsia="標楷體" w:hAnsi="Times New Roman"/>
                <w:sz w:val="28"/>
                <w:szCs w:val="28"/>
              </w:rPr>
              <w:t>○○○</w:t>
            </w:r>
            <w:r>
              <w:rPr>
                <w:rFonts w:ascii="Times New Roman" w:eastAsia="標楷體" w:hAnsi="Times New Roman"/>
                <w:sz w:val="28"/>
                <w:szCs w:val="28"/>
              </w:rPr>
              <w:t>協審委員</w:t>
            </w:r>
            <w:proofErr w:type="gramEnd"/>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r w:rsidR="0018444C">
        <w:tc>
          <w:tcPr>
            <w:tcW w:w="84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78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349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c>
          <w:tcPr>
            <w:tcW w:w="1665"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18444C" w:rsidRDefault="0018444C">
            <w:pPr>
              <w:spacing w:line="440" w:lineRule="exact"/>
              <w:rPr>
                <w:rFonts w:ascii="Times New Roman" w:eastAsia="標楷體" w:hAnsi="Times New Roman"/>
                <w:sz w:val="28"/>
                <w:szCs w:val="28"/>
              </w:rPr>
            </w:pPr>
          </w:p>
        </w:tc>
      </w:tr>
    </w:tbl>
    <w:p w:rsidR="0018444C" w:rsidRDefault="0018444C">
      <w:pPr>
        <w:spacing w:line="500" w:lineRule="exact"/>
        <w:ind w:left="773" w:firstLine="560"/>
        <w:jc w:val="both"/>
        <w:rPr>
          <w:rFonts w:ascii="Times New Roman" w:eastAsia="標楷體" w:hAnsi="Times New Roman"/>
          <w:sz w:val="28"/>
          <w:szCs w:val="28"/>
        </w:rPr>
      </w:pPr>
    </w:p>
    <w:p w:rsidR="0018444C" w:rsidRDefault="0018444C">
      <w:pPr>
        <w:spacing w:line="500" w:lineRule="exact"/>
        <w:ind w:left="773" w:firstLine="560"/>
        <w:jc w:val="both"/>
        <w:rPr>
          <w:rFonts w:ascii="Times New Roman" w:eastAsia="標楷體" w:hAnsi="Times New Roman"/>
          <w:sz w:val="28"/>
          <w:szCs w:val="28"/>
        </w:rPr>
      </w:pPr>
    </w:p>
    <w:p w:rsidR="0018444C" w:rsidRDefault="0018444C">
      <w:pPr>
        <w:spacing w:line="500" w:lineRule="exact"/>
        <w:ind w:left="773" w:firstLine="560"/>
        <w:jc w:val="both"/>
        <w:rPr>
          <w:rFonts w:ascii="Times New Roman" w:eastAsia="標楷體" w:hAnsi="Times New Roman"/>
          <w:sz w:val="28"/>
          <w:szCs w:val="28"/>
        </w:rPr>
      </w:pPr>
    </w:p>
    <w:p w:rsidR="0018444C" w:rsidRDefault="0018444C">
      <w:pPr>
        <w:pageBreakBefore/>
        <w:widowControl/>
        <w:rPr>
          <w:rFonts w:ascii="Times New Roman" w:eastAsia="標楷體" w:hAnsi="Times New Roman"/>
          <w:sz w:val="32"/>
          <w:szCs w:val="32"/>
        </w:rPr>
      </w:pPr>
    </w:p>
    <w:p w:rsidR="0018444C" w:rsidRDefault="00980E38">
      <w:pPr>
        <w:jc w:val="center"/>
        <w:rPr>
          <w:rFonts w:ascii="Times New Roman" w:eastAsia="標楷體" w:hAnsi="Times New Roman"/>
          <w:sz w:val="32"/>
          <w:szCs w:val="32"/>
        </w:rPr>
      </w:pPr>
      <w:r>
        <w:rPr>
          <w:rFonts w:ascii="Times New Roman" w:eastAsia="標楷體" w:hAnsi="Times New Roman"/>
          <w:sz w:val="32"/>
          <w:szCs w:val="32"/>
        </w:rPr>
        <w:t>歷次價格調整差異表</w:t>
      </w:r>
    </w:p>
    <w:tbl>
      <w:tblPr>
        <w:tblW w:w="10050" w:type="dxa"/>
        <w:tblLayout w:type="fixed"/>
        <w:tblCellMar>
          <w:left w:w="10" w:type="dxa"/>
          <w:right w:w="10" w:type="dxa"/>
        </w:tblCellMar>
        <w:tblLook w:val="0000" w:firstRow="0" w:lastRow="0" w:firstColumn="0" w:lastColumn="0" w:noHBand="0" w:noVBand="0"/>
      </w:tblPr>
      <w:tblGrid>
        <w:gridCol w:w="1545"/>
        <w:gridCol w:w="1080"/>
        <w:gridCol w:w="1188"/>
        <w:gridCol w:w="1275"/>
        <w:gridCol w:w="1560"/>
        <w:gridCol w:w="1559"/>
        <w:gridCol w:w="1843"/>
      </w:tblGrid>
      <w:tr w:rsidR="0018444C">
        <w:trPr>
          <w:trHeight w:val="20"/>
          <w:tblHeader/>
        </w:trPr>
        <w:tc>
          <w:tcPr>
            <w:tcW w:w="2625" w:type="dxa"/>
            <w:gridSpan w:val="2"/>
            <w:tcBorders>
              <w:top w:val="single" w:sz="12" w:space="0" w:color="000000"/>
              <w:left w:val="single" w:sz="12"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項目</w:t>
            </w:r>
          </w:p>
        </w:tc>
        <w:tc>
          <w:tcPr>
            <w:tcW w:w="1188"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初審版</w:t>
            </w:r>
          </w:p>
          <w:p w:rsidR="0018444C" w:rsidRDefault="00980E38">
            <w:pPr>
              <w:overflowPunct w:val="0"/>
              <w:autoSpaceDE w:val="0"/>
              <w:jc w:val="center"/>
            </w:pPr>
            <w:r>
              <w:rPr>
                <w:rFonts w:ascii="Times New Roman" w:eastAsia="標楷體" w:hAnsi="Times New Roman"/>
                <w:sz w:val="16"/>
                <w:szCs w:val="24"/>
              </w:rPr>
              <w:t>(yyy/mm/dd)</w:t>
            </w:r>
          </w:p>
        </w:tc>
        <w:tc>
          <w:tcPr>
            <w:tcW w:w="1275"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0"/>
              </w:rPr>
            </w:pPr>
            <w:r>
              <w:rPr>
                <w:rFonts w:ascii="Times New Roman" w:eastAsia="標楷體" w:hAnsi="Times New Roman"/>
                <w:sz w:val="20"/>
                <w:szCs w:val="20"/>
              </w:rPr>
              <w:t>初審修正版</w:t>
            </w:r>
          </w:p>
          <w:p w:rsidR="0018444C" w:rsidRDefault="00980E38">
            <w:pPr>
              <w:overflowPunct w:val="0"/>
              <w:autoSpaceDE w:val="0"/>
              <w:jc w:val="center"/>
            </w:pPr>
            <w:r>
              <w:rPr>
                <w:rFonts w:ascii="Times New Roman" w:eastAsia="標楷體" w:hAnsi="Times New Roman"/>
                <w:sz w:val="16"/>
                <w:szCs w:val="24"/>
              </w:rPr>
              <w:t>(yyy/mm/dd)</w:t>
            </w:r>
          </w:p>
        </w:tc>
        <w:tc>
          <w:tcPr>
            <w:tcW w:w="1560"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第</w:t>
            </w:r>
            <w:r>
              <w:rPr>
                <w:rFonts w:ascii="Times New Roman" w:eastAsia="標楷體" w:hAnsi="Times New Roman"/>
                <w:sz w:val="20"/>
                <w:szCs w:val="24"/>
              </w:rPr>
              <w:t>1</w:t>
            </w:r>
            <w:r>
              <w:rPr>
                <w:rFonts w:ascii="Times New Roman" w:eastAsia="標楷體" w:hAnsi="Times New Roman"/>
                <w:sz w:val="20"/>
                <w:szCs w:val="24"/>
              </w:rPr>
              <w:t>次</w:t>
            </w:r>
            <w:proofErr w:type="gramStart"/>
            <w:r>
              <w:rPr>
                <w:rFonts w:ascii="Times New Roman" w:eastAsia="標楷體" w:hAnsi="Times New Roman"/>
                <w:sz w:val="20"/>
                <w:szCs w:val="24"/>
              </w:rPr>
              <w:t>複</w:t>
            </w:r>
            <w:proofErr w:type="gramEnd"/>
            <w:r>
              <w:rPr>
                <w:rFonts w:ascii="Times New Roman" w:eastAsia="標楷體" w:hAnsi="Times New Roman"/>
                <w:sz w:val="20"/>
                <w:szCs w:val="24"/>
              </w:rPr>
              <w:t>審版</w:t>
            </w:r>
          </w:p>
          <w:p w:rsidR="0018444C" w:rsidRDefault="00980E38">
            <w:pPr>
              <w:overflowPunct w:val="0"/>
              <w:autoSpaceDE w:val="0"/>
              <w:jc w:val="center"/>
            </w:pPr>
            <w:r>
              <w:rPr>
                <w:rFonts w:ascii="Times New Roman" w:eastAsia="標楷體" w:hAnsi="Times New Roman"/>
                <w:sz w:val="16"/>
                <w:szCs w:val="24"/>
              </w:rPr>
              <w:t>(yyy/mm/dd)</w:t>
            </w:r>
          </w:p>
        </w:tc>
        <w:tc>
          <w:tcPr>
            <w:tcW w:w="1559"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第</w:t>
            </w:r>
            <w:r>
              <w:rPr>
                <w:rFonts w:ascii="Times New Roman" w:eastAsia="標楷體" w:hAnsi="Times New Roman"/>
                <w:sz w:val="20"/>
                <w:szCs w:val="24"/>
              </w:rPr>
              <w:t>2</w:t>
            </w:r>
            <w:r>
              <w:rPr>
                <w:rFonts w:ascii="Times New Roman" w:eastAsia="標楷體" w:hAnsi="Times New Roman"/>
                <w:sz w:val="20"/>
                <w:szCs w:val="24"/>
              </w:rPr>
              <w:t>次</w:t>
            </w:r>
            <w:proofErr w:type="gramStart"/>
            <w:r>
              <w:rPr>
                <w:rFonts w:ascii="Times New Roman" w:eastAsia="標楷體" w:hAnsi="Times New Roman"/>
                <w:sz w:val="20"/>
                <w:szCs w:val="24"/>
              </w:rPr>
              <w:t>複</w:t>
            </w:r>
            <w:proofErr w:type="gramEnd"/>
            <w:r>
              <w:rPr>
                <w:rFonts w:ascii="Times New Roman" w:eastAsia="標楷體" w:hAnsi="Times New Roman"/>
                <w:sz w:val="20"/>
                <w:szCs w:val="24"/>
              </w:rPr>
              <w:t>審版</w:t>
            </w:r>
          </w:p>
          <w:p w:rsidR="0018444C" w:rsidRDefault="00980E38">
            <w:pPr>
              <w:overflowPunct w:val="0"/>
              <w:autoSpaceDE w:val="0"/>
              <w:jc w:val="center"/>
            </w:pPr>
            <w:r>
              <w:rPr>
                <w:rFonts w:ascii="Times New Roman" w:eastAsia="標楷體" w:hAnsi="Times New Roman"/>
                <w:sz w:val="16"/>
                <w:szCs w:val="24"/>
              </w:rPr>
              <w:t>(yyy/mm/dd)</w:t>
            </w:r>
          </w:p>
        </w:tc>
        <w:tc>
          <w:tcPr>
            <w:tcW w:w="1843"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公會協審完成</w:t>
            </w:r>
            <w:proofErr w:type="gramEnd"/>
            <w:r>
              <w:rPr>
                <w:rFonts w:ascii="Times New Roman" w:eastAsia="標楷體" w:hAnsi="Times New Roman"/>
                <w:sz w:val="20"/>
                <w:szCs w:val="24"/>
              </w:rPr>
              <w:t>版</w:t>
            </w:r>
          </w:p>
          <w:p w:rsidR="0018444C" w:rsidRDefault="00980E38">
            <w:pPr>
              <w:overflowPunct w:val="0"/>
              <w:autoSpaceDE w:val="0"/>
              <w:jc w:val="center"/>
            </w:pPr>
            <w:r>
              <w:rPr>
                <w:rFonts w:ascii="Times New Roman" w:eastAsia="標楷體" w:hAnsi="Times New Roman"/>
                <w:sz w:val="16"/>
                <w:szCs w:val="24"/>
              </w:rPr>
              <w:t>(yyy/mm/dd)</w:t>
            </w:r>
          </w:p>
        </w:tc>
      </w:tr>
      <w:tr w:rsidR="0018444C">
        <w:trPr>
          <w:trHeight w:val="20"/>
        </w:trPr>
        <w:tc>
          <w:tcPr>
            <w:tcW w:w="154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總樓地板面積</w:t>
            </w:r>
            <w:r>
              <w:rPr>
                <w:rFonts w:ascii="Times New Roman" w:eastAsia="標楷體" w:hAnsi="Times New Roman"/>
                <w:sz w:val="20"/>
                <w:szCs w:val="24"/>
              </w:rPr>
              <w:br/>
              <w:t>(</w:t>
            </w:r>
            <w:r>
              <w:rPr>
                <w:rFonts w:ascii="Times New Roman" w:eastAsia="標楷體" w:hAnsi="Times New Roman"/>
                <w:sz w:val="20"/>
                <w:szCs w:val="24"/>
              </w:rPr>
              <w:t>地上</w:t>
            </w:r>
            <w:r>
              <w:rPr>
                <w:rFonts w:ascii="Times New Roman" w:eastAsia="標楷體" w:hAnsi="Times New Roman"/>
                <w:sz w:val="20"/>
                <w:szCs w:val="24"/>
              </w:rPr>
              <w:t>+</w:t>
            </w:r>
            <w:r>
              <w:rPr>
                <w:rFonts w:ascii="Times New Roman" w:eastAsia="標楷體" w:hAnsi="Times New Roman"/>
                <w:sz w:val="20"/>
                <w:szCs w:val="24"/>
              </w:rPr>
              <w:t>地下</w:t>
            </w:r>
            <w:r>
              <w:rPr>
                <w:rFonts w:ascii="Times New Roman" w:eastAsia="標楷體" w:hAnsi="Times New Roman"/>
                <w:sz w:val="20"/>
                <w:szCs w:val="24"/>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容移後</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容移前</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差額</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修正原因</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總銷售面積</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容移後</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容移前</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差額</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修正原因</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車位數</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容移後</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容移前</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差額</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修正原因</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銷坪比</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容移後</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容移前</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差額</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修正原因</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土開住宅</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容移後</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容移前</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差額</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修正原因</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土開車位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容移後</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容移前</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差額</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修正原因</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土開法</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容移後</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容移前</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差額</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修正原因</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比較法</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容移後</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容移前</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差額</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修正原因</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結論</w:t>
            </w:r>
            <w:r>
              <w:rPr>
                <w:rFonts w:ascii="Times New Roman" w:eastAsia="標楷體" w:hAnsi="Times New Roman"/>
                <w:sz w:val="20"/>
                <w:szCs w:val="24"/>
              </w:rPr>
              <w:t>-</w:t>
            </w:r>
            <w:r>
              <w:rPr>
                <w:rFonts w:ascii="Times New Roman" w:eastAsia="標楷體" w:hAnsi="Times New Roman"/>
                <w:sz w:val="20"/>
                <w:szCs w:val="24"/>
              </w:rPr>
              <w:t>單價</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容移後</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容移前</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差額</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修正原因</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結論</w:t>
            </w:r>
            <w:r>
              <w:rPr>
                <w:rFonts w:ascii="Times New Roman" w:eastAsia="標楷體" w:hAnsi="Times New Roman"/>
                <w:sz w:val="20"/>
                <w:szCs w:val="24"/>
              </w:rPr>
              <w:t>-</w:t>
            </w:r>
            <w:r>
              <w:rPr>
                <w:rFonts w:ascii="Times New Roman" w:eastAsia="標楷體" w:hAnsi="Times New Roman"/>
                <w:sz w:val="20"/>
                <w:szCs w:val="24"/>
              </w:rPr>
              <w:t>總價</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容移後</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proofErr w:type="gramStart"/>
            <w:r>
              <w:rPr>
                <w:rFonts w:ascii="Times New Roman" w:eastAsia="標楷體" w:hAnsi="Times New Roman"/>
                <w:sz w:val="20"/>
                <w:szCs w:val="24"/>
              </w:rPr>
              <w:t>容移前</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差額</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1545"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444C" w:rsidRDefault="0018444C">
            <w:pPr>
              <w:rPr>
                <w:rFonts w:ascii="Times New Roman" w:eastAsia="標楷體" w:hAnsi="Times New Roman"/>
                <w:sz w:val="20"/>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rPr>
                <w:rFonts w:ascii="Times New Roman" w:eastAsia="標楷體" w:hAnsi="Times New Roman"/>
                <w:sz w:val="20"/>
                <w:szCs w:val="24"/>
              </w:rPr>
            </w:pPr>
            <w:r>
              <w:rPr>
                <w:rFonts w:ascii="Times New Roman" w:eastAsia="標楷體" w:hAnsi="Times New Roman"/>
                <w:sz w:val="20"/>
                <w:szCs w:val="24"/>
              </w:rPr>
              <w:t>修正原因</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r w:rsidR="0018444C">
        <w:trPr>
          <w:trHeight w:val="20"/>
        </w:trPr>
        <w:tc>
          <w:tcPr>
            <w:tcW w:w="2625"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980E38">
            <w:pPr>
              <w:overflowPunct w:val="0"/>
              <w:autoSpaceDE w:val="0"/>
              <w:jc w:val="center"/>
            </w:pPr>
            <w:r>
              <w:rPr>
                <w:rFonts w:ascii="Times New Roman" w:eastAsia="標楷體" w:hAnsi="Times New Roman"/>
                <w:sz w:val="20"/>
                <w:szCs w:val="24"/>
              </w:rPr>
              <w:t>歷次評估代金金額</w:t>
            </w:r>
          </w:p>
        </w:tc>
        <w:tc>
          <w:tcPr>
            <w:tcW w:w="1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c>
          <w:tcPr>
            <w:tcW w:w="1843" w:type="dxa"/>
            <w:tcBorders>
              <w:top w:val="single" w:sz="4" w:space="0" w:color="000000"/>
              <w:left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rsidR="0018444C" w:rsidRDefault="0018444C">
            <w:pPr>
              <w:overflowPunct w:val="0"/>
              <w:autoSpaceDE w:val="0"/>
              <w:rPr>
                <w:rFonts w:ascii="Times New Roman" w:eastAsia="標楷體" w:hAnsi="Times New Roman"/>
                <w:sz w:val="20"/>
                <w:szCs w:val="24"/>
              </w:rPr>
            </w:pPr>
          </w:p>
        </w:tc>
      </w:tr>
    </w:tbl>
    <w:p w:rsidR="0018444C" w:rsidRDefault="0018444C">
      <w:pPr>
        <w:spacing w:line="500" w:lineRule="exact"/>
        <w:jc w:val="both"/>
        <w:rPr>
          <w:rFonts w:ascii="Times New Roman" w:eastAsia="標楷體" w:hAnsi="Times New Roman"/>
          <w:sz w:val="28"/>
          <w:szCs w:val="28"/>
        </w:rPr>
      </w:pPr>
    </w:p>
    <w:sectPr w:rsidR="0018444C">
      <w:headerReference w:type="even" r:id="rId15"/>
      <w:headerReference w:type="default" r:id="rId16"/>
      <w:footerReference w:type="even" r:id="rId17"/>
      <w:footerReference w:type="default" r:id="rId18"/>
      <w:pgSz w:w="11905" w:h="16838"/>
      <w:pgMar w:top="1701" w:right="907" w:bottom="851" w:left="907" w:header="72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3C" w:rsidRDefault="000D353C">
      <w:r>
        <w:separator/>
      </w:r>
    </w:p>
  </w:endnote>
  <w:endnote w:type="continuationSeparator" w:id="0">
    <w:p w:rsidR="000D353C" w:rsidRDefault="000D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華康中明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Calibri"/>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ө">
    <w:charset w:val="00"/>
    <w:family w:val="roman"/>
    <w:pitch w:val="default"/>
  </w:font>
  <w:font w:name="New York">
    <w:panose1 w:val="0202050206030506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標楷體±踂.">
    <w:altName w:val="微軟正黑體"/>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AC" w:rsidRDefault="00980E38">
    <w:pPr>
      <w:pStyle w:val="a7"/>
    </w:pPr>
    <w:r>
      <w:rPr>
        <w:lang w:val="zh-TW"/>
      </w:rPr>
      <w:fldChar w:fldCharType="begin"/>
    </w:r>
    <w:r>
      <w:rPr>
        <w:lang w:val="zh-TW"/>
      </w:rPr>
      <w:instrText xml:space="preserve"> PAGE </w:instrText>
    </w:r>
    <w:r>
      <w:rPr>
        <w:lang w:val="zh-TW"/>
      </w:rPr>
      <w:fldChar w:fldCharType="separate"/>
    </w:r>
    <w:r w:rsidR="004F6715">
      <w:rPr>
        <w:noProof/>
        <w:lang w:val="zh-TW"/>
      </w:rPr>
      <w:t>56</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AC" w:rsidRDefault="00980E38">
    <w:pPr>
      <w:pStyle w:val="a7"/>
      <w:jc w:val="right"/>
    </w:pPr>
    <w:r>
      <w:rPr>
        <w:lang w:val="zh-TW"/>
      </w:rPr>
      <w:fldChar w:fldCharType="begin"/>
    </w:r>
    <w:r>
      <w:rPr>
        <w:lang w:val="zh-TW"/>
      </w:rPr>
      <w:instrText xml:space="preserve"> PAGE </w:instrText>
    </w:r>
    <w:r>
      <w:rPr>
        <w:lang w:val="zh-TW"/>
      </w:rPr>
      <w:fldChar w:fldCharType="separate"/>
    </w:r>
    <w:r w:rsidR="004F6715">
      <w:rPr>
        <w:noProof/>
        <w:lang w:val="zh-TW"/>
      </w:rPr>
      <w:t>55</w:t>
    </w:r>
    <w:r>
      <w:rPr>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AC" w:rsidRDefault="00980E38">
    <w:pPr>
      <w:pStyle w:val="a7"/>
    </w:pPr>
    <w:r>
      <w:rPr>
        <w:lang w:val="zh-TW"/>
      </w:rPr>
      <w:fldChar w:fldCharType="begin"/>
    </w:r>
    <w:r>
      <w:rPr>
        <w:lang w:val="zh-TW"/>
      </w:rPr>
      <w:instrText xml:space="preserve"> PAGE </w:instrText>
    </w:r>
    <w:r>
      <w:rPr>
        <w:lang w:val="zh-TW"/>
      </w:rPr>
      <w:fldChar w:fldCharType="separate"/>
    </w:r>
    <w:r w:rsidR="004F6715">
      <w:rPr>
        <w:noProof/>
        <w:lang w:val="zh-TW"/>
      </w:rPr>
      <w:t>64</w:t>
    </w:r>
    <w:r>
      <w:rPr>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AC" w:rsidRDefault="00980E38">
    <w:pPr>
      <w:pStyle w:val="a7"/>
      <w:jc w:val="right"/>
    </w:pPr>
    <w:r>
      <w:rPr>
        <w:lang w:val="zh-TW"/>
      </w:rPr>
      <w:fldChar w:fldCharType="begin"/>
    </w:r>
    <w:r>
      <w:rPr>
        <w:lang w:val="zh-TW"/>
      </w:rPr>
      <w:instrText xml:space="preserve"> PAGE </w:instrText>
    </w:r>
    <w:r>
      <w:rPr>
        <w:lang w:val="zh-TW"/>
      </w:rPr>
      <w:fldChar w:fldCharType="separate"/>
    </w:r>
    <w:r w:rsidR="004F6715">
      <w:rPr>
        <w:noProof/>
        <w:lang w:val="zh-TW"/>
      </w:rPr>
      <w:t>65</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3C" w:rsidRDefault="000D353C">
      <w:r>
        <w:rPr>
          <w:color w:val="000000"/>
        </w:rPr>
        <w:separator/>
      </w:r>
    </w:p>
  </w:footnote>
  <w:footnote w:type="continuationSeparator" w:id="0">
    <w:p w:rsidR="000D353C" w:rsidRDefault="000D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AC" w:rsidRDefault="000D353C">
    <w:pPr>
      <w:pStyle w:val="a5"/>
    </w:pPr>
  </w:p>
  <w:p w:rsidR="000A52AC" w:rsidRDefault="00980E38">
    <w:pPr>
      <w:pStyle w:val="a5"/>
    </w:pPr>
    <w:r>
      <w:t>111</w:t>
    </w:r>
    <w:r>
      <w:t>年修正版本</w:t>
    </w:r>
  </w:p>
  <w:p w:rsidR="000A52AC" w:rsidRDefault="000D35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AC" w:rsidRDefault="000D353C">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AC" w:rsidRDefault="000D353C">
    <w:pPr>
      <w:pStyle w:val="a5"/>
    </w:pPr>
  </w:p>
  <w:p w:rsidR="000A52AC" w:rsidRDefault="00980E38">
    <w:pPr>
      <w:pStyle w:val="a5"/>
    </w:pPr>
    <w:r>
      <w:t>111</w:t>
    </w:r>
    <w:r>
      <w:t>年修正版本</w:t>
    </w:r>
  </w:p>
  <w:p w:rsidR="000A52AC" w:rsidRDefault="000D353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AC" w:rsidRDefault="00980E38">
    <w:pPr>
      <w:pStyle w:val="a5"/>
      <w:jc w:val="right"/>
    </w:pPr>
    <w:r>
      <w:t>○○</w:t>
    </w:r>
    <w:r>
      <w:t>不動產估價師</w:t>
    </w:r>
    <w:r>
      <w:t>(</w:t>
    </w:r>
    <w:r>
      <w:t>聯合</w:t>
    </w:r>
    <w:r>
      <w:t>)</w:t>
    </w:r>
    <w:r>
      <w:t>事務所</w:t>
    </w:r>
  </w:p>
  <w:p w:rsidR="000A52AC" w:rsidRDefault="00980E38">
    <w:pPr>
      <w:pStyle w:val="a5"/>
      <w:jc w:val="right"/>
    </w:pPr>
    <w:r>
      <w:t>111</w:t>
    </w:r>
    <w:r>
      <w:t>年修正版本</w:t>
    </w:r>
  </w:p>
  <w:p w:rsidR="000A52AC" w:rsidRDefault="000D353C">
    <w:pPr>
      <w:pStyle w:val="a5"/>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AC" w:rsidRDefault="000D353C">
    <w:pPr>
      <w:pStyle w:val="a5"/>
    </w:pPr>
  </w:p>
  <w:p w:rsidR="000A52AC" w:rsidRDefault="00980E38">
    <w:pPr>
      <w:pStyle w:val="a5"/>
    </w:pPr>
    <w:r>
      <w:t>106</w:t>
    </w:r>
    <w:r>
      <w:t>年修正版本</w:t>
    </w:r>
  </w:p>
  <w:p w:rsidR="000A52AC" w:rsidRDefault="000D353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AC" w:rsidRDefault="00980E38">
    <w:pPr>
      <w:pStyle w:val="a5"/>
      <w:jc w:val="right"/>
    </w:pPr>
    <w:r>
      <w:t>○○</w:t>
    </w:r>
    <w:r>
      <w:t>不動產估價師</w:t>
    </w:r>
    <w:r>
      <w:t>(</w:t>
    </w:r>
    <w:r>
      <w:t>聯合</w:t>
    </w:r>
    <w:r>
      <w:t>)</w:t>
    </w:r>
    <w:r>
      <w:t>事務所</w:t>
    </w:r>
  </w:p>
  <w:p w:rsidR="000A52AC" w:rsidRDefault="00980E38">
    <w:pPr>
      <w:pStyle w:val="a5"/>
      <w:jc w:val="right"/>
    </w:pPr>
    <w:r>
      <w:t>106</w:t>
    </w:r>
    <w:r>
      <w:t>年修正版本</w:t>
    </w:r>
  </w:p>
  <w:p w:rsidR="000A52AC" w:rsidRDefault="000D353C">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819"/>
    <w:multiLevelType w:val="multilevel"/>
    <w:tmpl w:val="BB7E6BF2"/>
    <w:lvl w:ilvl="0">
      <w:start w:val="1"/>
      <w:numFmt w:val="taiwaneseCountingThousand"/>
      <w:lvlText w:val="(%1)"/>
      <w:lvlJc w:val="left"/>
      <w:pPr>
        <w:ind w:left="2120" w:hanging="720"/>
      </w:pPr>
      <w:rPr>
        <w:rFonts w:ascii="標楷體" w:eastAsia="標楷體" w:hAnsi="標楷體"/>
        <w:b w:val="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1899"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1">
    <w:nsid w:val="034F2573"/>
    <w:multiLevelType w:val="multilevel"/>
    <w:tmpl w:val="D13EC3EA"/>
    <w:lvl w:ilvl="0">
      <w:start w:val="1"/>
      <w:numFmt w:val="decimal"/>
      <w:lvlText w:val="(%1)"/>
      <w:lvlJc w:val="left"/>
      <w:pPr>
        <w:ind w:left="1738" w:hanging="480"/>
      </w:pPr>
      <w:rPr>
        <w:rFonts w:cs="Arial"/>
        <w:b w:val="0"/>
        <w:i w:val="0"/>
        <w:color w:val="000000"/>
        <w:sz w:val="28"/>
        <w:szCs w:val="28"/>
      </w:rPr>
    </w:lvl>
    <w:lvl w:ilvl="1">
      <w:start w:val="1"/>
      <w:numFmt w:val="decimal"/>
      <w:lvlText w:val="%2."/>
      <w:lvlJc w:val="left"/>
      <w:pPr>
        <w:ind w:left="2098" w:hanging="360"/>
      </w:pPr>
    </w:lvl>
    <w:lvl w:ilvl="2">
      <w:start w:val="1"/>
      <w:numFmt w:val="lowerRoman"/>
      <w:lvlText w:val="%3."/>
      <w:lvlJc w:val="right"/>
      <w:pPr>
        <w:ind w:left="2698" w:hanging="480"/>
      </w:pPr>
    </w:lvl>
    <w:lvl w:ilvl="3">
      <w:start w:val="1"/>
      <w:numFmt w:val="decimal"/>
      <w:lvlText w:val="%4."/>
      <w:lvlJc w:val="left"/>
      <w:pPr>
        <w:ind w:left="3178" w:hanging="480"/>
      </w:pPr>
    </w:lvl>
    <w:lvl w:ilvl="4">
      <w:start w:val="1"/>
      <w:numFmt w:val="ideographTraditional"/>
      <w:lvlText w:val="%5、"/>
      <w:lvlJc w:val="left"/>
      <w:pPr>
        <w:ind w:left="3658" w:hanging="480"/>
      </w:pPr>
    </w:lvl>
    <w:lvl w:ilvl="5">
      <w:start w:val="1"/>
      <w:numFmt w:val="lowerRoman"/>
      <w:lvlText w:val="%6."/>
      <w:lvlJc w:val="right"/>
      <w:pPr>
        <w:ind w:left="4138" w:hanging="480"/>
      </w:pPr>
    </w:lvl>
    <w:lvl w:ilvl="6">
      <w:start w:val="1"/>
      <w:numFmt w:val="decimal"/>
      <w:lvlText w:val="%7."/>
      <w:lvlJc w:val="left"/>
      <w:pPr>
        <w:ind w:left="4618" w:hanging="480"/>
      </w:pPr>
    </w:lvl>
    <w:lvl w:ilvl="7">
      <w:start w:val="1"/>
      <w:numFmt w:val="ideographTraditional"/>
      <w:lvlText w:val="%8、"/>
      <w:lvlJc w:val="left"/>
      <w:pPr>
        <w:ind w:left="5098" w:hanging="480"/>
      </w:pPr>
    </w:lvl>
    <w:lvl w:ilvl="8">
      <w:start w:val="1"/>
      <w:numFmt w:val="lowerRoman"/>
      <w:lvlText w:val="%9."/>
      <w:lvlJc w:val="right"/>
      <w:pPr>
        <w:ind w:left="5578" w:hanging="480"/>
      </w:pPr>
    </w:lvl>
  </w:abstractNum>
  <w:abstractNum w:abstractNumId="2">
    <w:nsid w:val="0393404C"/>
    <w:multiLevelType w:val="multilevel"/>
    <w:tmpl w:val="D7068F96"/>
    <w:lvl w:ilvl="0">
      <w:start w:val="1"/>
      <w:numFmt w:val="decimal"/>
      <w:lvlText w:val="(%1)"/>
      <w:lvlJc w:val="left"/>
      <w:pPr>
        <w:ind w:left="1738" w:hanging="480"/>
      </w:pPr>
      <w:rPr>
        <w:rFonts w:cs="Arial"/>
        <w:b w:val="0"/>
        <w:i w:val="0"/>
        <w:color w:val="000000"/>
        <w:sz w:val="28"/>
        <w:szCs w:val="28"/>
      </w:rPr>
    </w:lvl>
    <w:lvl w:ilvl="1">
      <w:start w:val="1"/>
      <w:numFmt w:val="decimal"/>
      <w:lvlText w:val="%2."/>
      <w:lvlJc w:val="left"/>
      <w:pPr>
        <w:ind w:left="2098" w:hanging="360"/>
      </w:pPr>
    </w:lvl>
    <w:lvl w:ilvl="2">
      <w:start w:val="1"/>
      <w:numFmt w:val="lowerRoman"/>
      <w:lvlText w:val="%3."/>
      <w:lvlJc w:val="right"/>
      <w:pPr>
        <w:ind w:left="2698" w:hanging="480"/>
      </w:pPr>
    </w:lvl>
    <w:lvl w:ilvl="3">
      <w:start w:val="1"/>
      <w:numFmt w:val="decimal"/>
      <w:lvlText w:val="%4."/>
      <w:lvlJc w:val="left"/>
      <w:pPr>
        <w:ind w:left="3178" w:hanging="480"/>
      </w:pPr>
    </w:lvl>
    <w:lvl w:ilvl="4">
      <w:start w:val="1"/>
      <w:numFmt w:val="ideographTraditional"/>
      <w:lvlText w:val="%5、"/>
      <w:lvlJc w:val="left"/>
      <w:pPr>
        <w:ind w:left="3658" w:hanging="480"/>
      </w:pPr>
    </w:lvl>
    <w:lvl w:ilvl="5">
      <w:start w:val="1"/>
      <w:numFmt w:val="lowerRoman"/>
      <w:lvlText w:val="%6."/>
      <w:lvlJc w:val="right"/>
      <w:pPr>
        <w:ind w:left="4138" w:hanging="480"/>
      </w:pPr>
    </w:lvl>
    <w:lvl w:ilvl="6">
      <w:start w:val="1"/>
      <w:numFmt w:val="decimal"/>
      <w:lvlText w:val="%7."/>
      <w:lvlJc w:val="left"/>
      <w:pPr>
        <w:ind w:left="4618" w:hanging="480"/>
      </w:pPr>
    </w:lvl>
    <w:lvl w:ilvl="7">
      <w:start w:val="1"/>
      <w:numFmt w:val="ideographTraditional"/>
      <w:lvlText w:val="%8、"/>
      <w:lvlJc w:val="left"/>
      <w:pPr>
        <w:ind w:left="5098" w:hanging="480"/>
      </w:pPr>
    </w:lvl>
    <w:lvl w:ilvl="8">
      <w:start w:val="1"/>
      <w:numFmt w:val="lowerRoman"/>
      <w:lvlText w:val="%9."/>
      <w:lvlJc w:val="right"/>
      <w:pPr>
        <w:ind w:left="5578" w:hanging="480"/>
      </w:pPr>
    </w:lvl>
  </w:abstractNum>
  <w:abstractNum w:abstractNumId="3">
    <w:nsid w:val="07D93638"/>
    <w:multiLevelType w:val="multilevel"/>
    <w:tmpl w:val="788066F0"/>
    <w:lvl w:ilvl="0">
      <w:start w:val="1"/>
      <w:numFmt w:val="taiwaneseCountingThousand"/>
      <w:lvlText w:val="(%1)"/>
      <w:lvlJc w:val="left"/>
      <w:pPr>
        <w:ind w:left="1280" w:hanging="480"/>
      </w:pPr>
      <w:rPr>
        <w:rFonts w:ascii="標楷體" w:eastAsia="標楷體" w:hAnsi="標楷體"/>
        <w:b w:val="0"/>
      </w:r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4">
    <w:nsid w:val="085D06C9"/>
    <w:multiLevelType w:val="multilevel"/>
    <w:tmpl w:val="1D7ED7B2"/>
    <w:lvl w:ilvl="0">
      <w:start w:val="1"/>
      <w:numFmt w:val="taiwaneseCountingThousand"/>
      <w:lvlText w:val="(%1)"/>
      <w:lvlJc w:val="left"/>
      <w:pPr>
        <w:ind w:left="1380" w:hanging="480"/>
      </w:pPr>
      <w:rPr>
        <w:rFonts w:ascii="標楷體" w:eastAsia="標楷體" w:hAnsi="標楷體" w:cs="Times New Roman"/>
        <w:b w:val="0"/>
        <w:sz w:val="28"/>
        <w:szCs w:val="28"/>
      </w:r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5">
    <w:nsid w:val="0DB34AF6"/>
    <w:multiLevelType w:val="multilevel"/>
    <w:tmpl w:val="2DA68E40"/>
    <w:lvl w:ilvl="0">
      <w:start w:val="1"/>
      <w:numFmt w:val="taiwaneseCountingThousand"/>
      <w:lvlText w:val="%1、"/>
      <w:lvlJc w:val="left"/>
      <w:pPr>
        <w:ind w:left="883" w:hanging="480"/>
      </w:pPr>
      <w:rPr>
        <w:b/>
        <w:sz w:val="32"/>
        <w:szCs w:val="32"/>
      </w:rPr>
    </w:lvl>
    <w:lvl w:ilvl="1">
      <w:start w:val="1"/>
      <w:numFmt w:val="ideographTraditional"/>
      <w:lvlText w:val="%2、"/>
      <w:lvlJc w:val="left"/>
      <w:pPr>
        <w:ind w:left="1363" w:hanging="480"/>
      </w:pPr>
    </w:lvl>
    <w:lvl w:ilvl="2">
      <w:start w:val="1"/>
      <w:numFmt w:val="taiwaneseCountingThousand"/>
      <w:lvlText w:val="(%3)"/>
      <w:lvlJc w:val="left"/>
      <w:pPr>
        <w:ind w:left="2083" w:hanging="720"/>
      </w:pPr>
    </w:lvl>
    <w:lvl w:ilvl="3">
      <w:start w:val="1"/>
      <w:numFmt w:val="decimal"/>
      <w:lvlText w:val="%4."/>
      <w:lvlJc w:val="left"/>
      <w:pPr>
        <w:ind w:left="2323" w:hanging="480"/>
      </w:pPr>
    </w:lvl>
    <w:lvl w:ilvl="4">
      <w:start w:val="1"/>
      <w:numFmt w:val="ideographTraditional"/>
      <w:lvlText w:val="%5、"/>
      <w:lvlJc w:val="left"/>
      <w:pPr>
        <w:ind w:left="2803" w:hanging="480"/>
      </w:pPr>
    </w:lvl>
    <w:lvl w:ilvl="5">
      <w:start w:val="1"/>
      <w:numFmt w:val="lowerRoman"/>
      <w:lvlText w:val="%6."/>
      <w:lvlJc w:val="right"/>
      <w:pPr>
        <w:ind w:left="3283" w:hanging="480"/>
      </w:pPr>
    </w:lvl>
    <w:lvl w:ilvl="6">
      <w:start w:val="1"/>
      <w:numFmt w:val="decimal"/>
      <w:lvlText w:val="%7."/>
      <w:lvlJc w:val="left"/>
      <w:pPr>
        <w:ind w:left="3763" w:hanging="480"/>
      </w:pPr>
    </w:lvl>
    <w:lvl w:ilvl="7">
      <w:start w:val="1"/>
      <w:numFmt w:val="ideographTraditional"/>
      <w:lvlText w:val="%8、"/>
      <w:lvlJc w:val="left"/>
      <w:pPr>
        <w:ind w:left="4243" w:hanging="480"/>
      </w:pPr>
    </w:lvl>
    <w:lvl w:ilvl="8">
      <w:start w:val="1"/>
      <w:numFmt w:val="lowerRoman"/>
      <w:lvlText w:val="%9."/>
      <w:lvlJc w:val="right"/>
      <w:pPr>
        <w:ind w:left="4723" w:hanging="480"/>
      </w:pPr>
    </w:lvl>
  </w:abstractNum>
  <w:abstractNum w:abstractNumId="6">
    <w:nsid w:val="0E533C4F"/>
    <w:multiLevelType w:val="multilevel"/>
    <w:tmpl w:val="A7A4B31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nsid w:val="136D0092"/>
    <w:multiLevelType w:val="multilevel"/>
    <w:tmpl w:val="0B9CC78A"/>
    <w:lvl w:ilvl="0">
      <w:start w:val="1"/>
      <w:numFmt w:val="taiwaneseCountingThousand"/>
      <w:lvlText w:val="(%1)"/>
      <w:lvlJc w:val="left"/>
      <w:pPr>
        <w:ind w:left="1372" w:hanging="720"/>
      </w:pPr>
      <w:rPr>
        <w:rFonts w:ascii="標楷體" w:eastAsia="標楷體" w:hAnsi="標楷體"/>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56A3060"/>
    <w:multiLevelType w:val="multilevel"/>
    <w:tmpl w:val="3708A126"/>
    <w:lvl w:ilvl="0">
      <w:start w:val="1"/>
      <w:numFmt w:val="decimal"/>
      <w:lvlText w:val="(%1)"/>
      <w:lvlJc w:val="left"/>
      <w:pPr>
        <w:ind w:left="2060" w:hanging="360"/>
      </w:pPr>
      <w:rPr>
        <w:rFonts w:cs="Arial"/>
        <w:b w:val="0"/>
        <w:i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170B4388"/>
    <w:multiLevelType w:val="multilevel"/>
    <w:tmpl w:val="DB98048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1BB40125"/>
    <w:multiLevelType w:val="multilevel"/>
    <w:tmpl w:val="53A410E6"/>
    <w:lvl w:ilvl="0">
      <w:numFmt w:val="bullet"/>
      <w:lvlText w:val=""/>
      <w:lvlJc w:val="left"/>
      <w:pPr>
        <w:ind w:left="1840" w:hanging="480"/>
      </w:pPr>
      <w:rPr>
        <w:rFonts w:ascii="Wingdings" w:hAnsi="Wingdings"/>
      </w:rPr>
    </w:lvl>
    <w:lvl w:ilvl="1">
      <w:start w:val="1"/>
      <w:numFmt w:val="ideographTraditional"/>
      <w:lvlText w:val="%2、"/>
      <w:lvlJc w:val="left"/>
      <w:pPr>
        <w:ind w:left="2320" w:hanging="480"/>
      </w:pPr>
    </w:lvl>
    <w:lvl w:ilvl="2">
      <w:start w:val="1"/>
      <w:numFmt w:val="lowerRoman"/>
      <w:lvlText w:val="%3."/>
      <w:lvlJc w:val="right"/>
      <w:pPr>
        <w:ind w:left="2800" w:hanging="480"/>
      </w:pPr>
    </w:lvl>
    <w:lvl w:ilvl="3">
      <w:start w:val="1"/>
      <w:numFmt w:val="decimal"/>
      <w:lvlText w:val="%4."/>
      <w:lvlJc w:val="left"/>
      <w:pPr>
        <w:ind w:left="3280" w:hanging="480"/>
      </w:pPr>
    </w:lvl>
    <w:lvl w:ilvl="4">
      <w:start w:val="1"/>
      <w:numFmt w:val="ideographTraditional"/>
      <w:lvlText w:val="%5、"/>
      <w:lvlJc w:val="left"/>
      <w:pPr>
        <w:ind w:left="3760" w:hanging="480"/>
      </w:pPr>
    </w:lvl>
    <w:lvl w:ilvl="5">
      <w:start w:val="1"/>
      <w:numFmt w:val="lowerRoman"/>
      <w:lvlText w:val="%6."/>
      <w:lvlJc w:val="right"/>
      <w:pPr>
        <w:ind w:left="4240" w:hanging="480"/>
      </w:pPr>
    </w:lvl>
    <w:lvl w:ilvl="6">
      <w:start w:val="1"/>
      <w:numFmt w:val="decimal"/>
      <w:lvlText w:val="%7."/>
      <w:lvlJc w:val="left"/>
      <w:pPr>
        <w:ind w:left="4720" w:hanging="480"/>
      </w:pPr>
    </w:lvl>
    <w:lvl w:ilvl="7">
      <w:start w:val="1"/>
      <w:numFmt w:val="ideographTraditional"/>
      <w:lvlText w:val="%8、"/>
      <w:lvlJc w:val="left"/>
      <w:pPr>
        <w:ind w:left="5200" w:hanging="480"/>
      </w:pPr>
    </w:lvl>
    <w:lvl w:ilvl="8">
      <w:start w:val="1"/>
      <w:numFmt w:val="lowerRoman"/>
      <w:lvlText w:val="%9."/>
      <w:lvlJc w:val="right"/>
      <w:pPr>
        <w:ind w:left="5680" w:hanging="480"/>
      </w:pPr>
    </w:lvl>
  </w:abstractNum>
  <w:abstractNum w:abstractNumId="11">
    <w:nsid w:val="1C7B628C"/>
    <w:multiLevelType w:val="multilevel"/>
    <w:tmpl w:val="B2F6F6F2"/>
    <w:lvl w:ilvl="0">
      <w:start w:val="1"/>
      <w:numFmt w:val="taiwaneseCountingThousand"/>
      <w:lvlText w:val="(%1)"/>
      <w:lvlJc w:val="left"/>
      <w:pPr>
        <w:ind w:left="1372" w:hanging="720"/>
      </w:pPr>
      <w:rPr>
        <w:rFonts w:ascii="標楷體" w:eastAsia="標楷體" w:hAnsi="標楷體"/>
      </w:rPr>
    </w:lvl>
    <w:lvl w:ilvl="1">
      <w:start w:val="1"/>
      <w:numFmt w:val="ideographTraditional"/>
      <w:lvlText w:val="%2、"/>
      <w:lvlJc w:val="left"/>
      <w:pPr>
        <w:ind w:left="1612" w:hanging="480"/>
      </w:pPr>
    </w:lvl>
    <w:lvl w:ilvl="2">
      <w:start w:val="1"/>
      <w:numFmt w:val="lowerRoman"/>
      <w:lvlText w:val="%3."/>
      <w:lvlJc w:val="right"/>
      <w:pPr>
        <w:ind w:left="2092" w:hanging="480"/>
      </w:pPr>
    </w:lvl>
    <w:lvl w:ilvl="3">
      <w:start w:val="1"/>
      <w:numFmt w:val="decimal"/>
      <w:lvlText w:val="%4."/>
      <w:lvlJc w:val="left"/>
      <w:pPr>
        <w:ind w:left="2572" w:hanging="480"/>
      </w:pPr>
    </w:lvl>
    <w:lvl w:ilvl="4">
      <w:start w:val="1"/>
      <w:numFmt w:val="ideographTraditional"/>
      <w:lvlText w:val="%5、"/>
      <w:lvlJc w:val="left"/>
      <w:pPr>
        <w:ind w:left="3052" w:hanging="480"/>
      </w:pPr>
    </w:lvl>
    <w:lvl w:ilvl="5">
      <w:start w:val="1"/>
      <w:numFmt w:val="lowerRoman"/>
      <w:lvlText w:val="%6."/>
      <w:lvlJc w:val="right"/>
      <w:pPr>
        <w:ind w:left="3532" w:hanging="480"/>
      </w:pPr>
    </w:lvl>
    <w:lvl w:ilvl="6">
      <w:start w:val="1"/>
      <w:numFmt w:val="decimal"/>
      <w:lvlText w:val="%7."/>
      <w:lvlJc w:val="left"/>
      <w:pPr>
        <w:ind w:left="4012" w:hanging="480"/>
      </w:pPr>
    </w:lvl>
    <w:lvl w:ilvl="7">
      <w:start w:val="1"/>
      <w:numFmt w:val="ideographTraditional"/>
      <w:lvlText w:val="%8、"/>
      <w:lvlJc w:val="left"/>
      <w:pPr>
        <w:ind w:left="4492" w:hanging="480"/>
      </w:pPr>
    </w:lvl>
    <w:lvl w:ilvl="8">
      <w:start w:val="1"/>
      <w:numFmt w:val="lowerRoman"/>
      <w:lvlText w:val="%9."/>
      <w:lvlJc w:val="right"/>
      <w:pPr>
        <w:ind w:left="4972" w:hanging="480"/>
      </w:pPr>
    </w:lvl>
  </w:abstractNum>
  <w:abstractNum w:abstractNumId="12">
    <w:nsid w:val="217004CE"/>
    <w:multiLevelType w:val="multilevel"/>
    <w:tmpl w:val="FF02BBD6"/>
    <w:lvl w:ilvl="0">
      <w:start w:val="1"/>
      <w:numFmt w:val="upperLetter"/>
      <w:lvlText w:val="%1."/>
      <w:lvlJc w:val="left"/>
      <w:pPr>
        <w:ind w:left="425" w:hanging="425"/>
      </w:pPr>
      <w:rPr>
        <w:b w:val="0"/>
        <w:i w:val="0"/>
        <w:sz w:val="28"/>
        <w:szCs w:val="28"/>
      </w:rPr>
    </w:lvl>
    <w:lvl w:ilvl="1">
      <w:start w:val="1"/>
      <w:numFmt w:val="taiwaneseCountingThousand"/>
      <w:lvlText w:val="%2、"/>
      <w:lvlJc w:val="left"/>
      <w:pPr>
        <w:ind w:left="425" w:hanging="425"/>
      </w:pPr>
      <w:rPr>
        <w:rFonts w:ascii="標楷體" w:eastAsia="標楷體" w:hAnsi="標楷體"/>
        <w:b w:val="0"/>
        <w:i w:val="0"/>
        <w:color w:val="auto"/>
        <w:sz w:val="24"/>
      </w:rPr>
    </w:lvl>
    <w:lvl w:ilvl="2">
      <w:start w:val="1"/>
      <w:numFmt w:val="taiwaneseCountingThousand"/>
      <w:lvlText w:val="(%3)"/>
      <w:lvlJc w:val="left"/>
      <w:pPr>
        <w:ind w:left="601" w:hanging="425"/>
      </w:pPr>
      <w:rPr>
        <w:rFonts w:ascii="標楷體" w:eastAsia="標楷體" w:hAnsi="標楷體"/>
        <w:b w:val="0"/>
        <w:i w:val="0"/>
        <w:sz w:val="24"/>
      </w:rPr>
    </w:lvl>
    <w:lvl w:ilvl="3">
      <w:start w:val="1"/>
      <w:numFmt w:val="decimal"/>
      <w:lvlText w:val="%4."/>
      <w:lvlJc w:val="left"/>
      <w:pPr>
        <w:ind w:left="1026" w:hanging="425"/>
      </w:pPr>
      <w:rPr>
        <w:rFonts w:ascii="Times New Roman" w:hAnsi="Times New Roman" w:cs="Times New Roman"/>
        <w:b w:val="0"/>
        <w:i w:val="0"/>
        <w:sz w:val="24"/>
      </w:rPr>
    </w:lvl>
    <w:lvl w:ilvl="4">
      <w:start w:val="1"/>
      <w:numFmt w:val="decimal"/>
      <w:lvlText w:val="(%5)"/>
      <w:lvlJc w:val="left"/>
      <w:pPr>
        <w:ind w:left="1625" w:hanging="425"/>
      </w:pPr>
      <w:rPr>
        <w:rFonts w:ascii="Times New Roman" w:hAnsi="Times New Roman" w:cs="Times New Roman"/>
        <w:b w:val="0"/>
        <w:i w:val="0"/>
        <w:sz w:val="24"/>
      </w:rPr>
    </w:lvl>
    <w:lvl w:ilvl="5">
      <w:start w:val="1"/>
      <w:numFmt w:val="lowerLetter"/>
      <w:lvlText w:val="(%6)"/>
      <w:lvlJc w:val="left"/>
      <w:pPr>
        <w:ind w:left="1876" w:hanging="425"/>
      </w:pPr>
      <w:rPr>
        <w:rFonts w:ascii="標楷體" w:eastAsia="標楷體" w:hAnsi="標楷體"/>
        <w:b w:val="0"/>
        <w:i w:val="0"/>
        <w:sz w:val="24"/>
      </w:rPr>
    </w:lvl>
    <w:lvl w:ilvl="6">
      <w:start w:val="1"/>
      <w:numFmt w:val="lowerRoman"/>
      <w:lvlText w:val="(%7)"/>
      <w:lvlJc w:val="left"/>
      <w:pPr>
        <w:ind w:left="2301" w:hanging="425"/>
      </w:pPr>
    </w:lvl>
    <w:lvl w:ilvl="7">
      <w:start w:val="1"/>
      <w:numFmt w:val="lowerLetter"/>
      <w:lvlText w:val="(%8)"/>
      <w:lvlJc w:val="left"/>
      <w:pPr>
        <w:ind w:left="2726" w:hanging="425"/>
      </w:pPr>
    </w:lvl>
    <w:lvl w:ilvl="8">
      <w:start w:val="1"/>
      <w:numFmt w:val="lowerRoman"/>
      <w:lvlText w:val="(%9)"/>
      <w:lvlJc w:val="left"/>
      <w:pPr>
        <w:ind w:left="3151" w:hanging="425"/>
      </w:pPr>
    </w:lvl>
  </w:abstractNum>
  <w:abstractNum w:abstractNumId="13">
    <w:nsid w:val="254C0C6D"/>
    <w:multiLevelType w:val="multilevel"/>
    <w:tmpl w:val="B86EDB38"/>
    <w:lvl w:ilvl="0">
      <w:start w:val="1"/>
      <w:numFmt w:val="taiwaneseCountingThousand"/>
      <w:lvlText w:val="(%1)"/>
      <w:lvlJc w:val="left"/>
      <w:pPr>
        <w:ind w:left="1279" w:hanging="480"/>
      </w:pPr>
      <w:rPr>
        <w:rFonts w:ascii="標楷體" w:eastAsia="標楷體" w:hAnsi="標楷體"/>
        <w:b w:val="0"/>
      </w:rPr>
    </w:lvl>
    <w:lvl w:ilvl="1">
      <w:start w:val="1"/>
      <w:numFmt w:val="ideographTraditional"/>
      <w:lvlText w:val="%2、"/>
      <w:lvlJc w:val="left"/>
      <w:pPr>
        <w:ind w:left="1759" w:hanging="480"/>
      </w:pPr>
    </w:lvl>
    <w:lvl w:ilvl="2">
      <w:start w:val="1"/>
      <w:numFmt w:val="lowerRoman"/>
      <w:lvlText w:val="%3."/>
      <w:lvlJc w:val="right"/>
      <w:pPr>
        <w:ind w:left="2239" w:hanging="480"/>
      </w:pPr>
    </w:lvl>
    <w:lvl w:ilvl="3">
      <w:start w:val="1"/>
      <w:numFmt w:val="decimal"/>
      <w:lvlText w:val="%4."/>
      <w:lvlJc w:val="left"/>
      <w:pPr>
        <w:ind w:left="2719" w:hanging="480"/>
      </w:pPr>
    </w:lvl>
    <w:lvl w:ilvl="4">
      <w:start w:val="1"/>
      <w:numFmt w:val="ideographTraditional"/>
      <w:lvlText w:val="%5、"/>
      <w:lvlJc w:val="left"/>
      <w:pPr>
        <w:ind w:left="3199" w:hanging="480"/>
      </w:pPr>
    </w:lvl>
    <w:lvl w:ilvl="5">
      <w:start w:val="1"/>
      <w:numFmt w:val="lowerRoman"/>
      <w:lvlText w:val="%6."/>
      <w:lvlJc w:val="right"/>
      <w:pPr>
        <w:ind w:left="3679" w:hanging="480"/>
      </w:pPr>
    </w:lvl>
    <w:lvl w:ilvl="6">
      <w:start w:val="1"/>
      <w:numFmt w:val="decimal"/>
      <w:lvlText w:val="%7."/>
      <w:lvlJc w:val="left"/>
      <w:pPr>
        <w:ind w:left="4159" w:hanging="480"/>
      </w:pPr>
    </w:lvl>
    <w:lvl w:ilvl="7">
      <w:start w:val="1"/>
      <w:numFmt w:val="ideographTraditional"/>
      <w:lvlText w:val="%8、"/>
      <w:lvlJc w:val="left"/>
      <w:pPr>
        <w:ind w:left="4639" w:hanging="480"/>
      </w:pPr>
    </w:lvl>
    <w:lvl w:ilvl="8">
      <w:start w:val="1"/>
      <w:numFmt w:val="lowerRoman"/>
      <w:lvlText w:val="%9."/>
      <w:lvlJc w:val="right"/>
      <w:pPr>
        <w:ind w:left="5119" w:hanging="480"/>
      </w:pPr>
    </w:lvl>
  </w:abstractNum>
  <w:abstractNum w:abstractNumId="14">
    <w:nsid w:val="2B0E7EA3"/>
    <w:multiLevelType w:val="multilevel"/>
    <w:tmpl w:val="FC829528"/>
    <w:lvl w:ilvl="0">
      <w:start w:val="1"/>
      <w:numFmt w:val="upperLetter"/>
      <w:lvlText w:val="%1."/>
      <w:lvlJc w:val="left"/>
      <w:pPr>
        <w:ind w:left="425" w:hanging="425"/>
      </w:pPr>
      <w:rPr>
        <w:b w:val="0"/>
        <w:i w:val="0"/>
        <w:sz w:val="28"/>
        <w:szCs w:val="28"/>
      </w:rPr>
    </w:lvl>
    <w:lvl w:ilvl="1">
      <w:start w:val="1"/>
      <w:numFmt w:val="taiwaneseCountingThousand"/>
      <w:lvlText w:val="%2、"/>
      <w:lvlJc w:val="left"/>
      <w:pPr>
        <w:ind w:left="425" w:hanging="425"/>
      </w:pPr>
      <w:rPr>
        <w:rFonts w:ascii="標楷體" w:eastAsia="標楷體" w:hAnsi="標楷體"/>
        <w:b w:val="0"/>
        <w:i w:val="0"/>
        <w:color w:val="auto"/>
        <w:sz w:val="24"/>
      </w:rPr>
    </w:lvl>
    <w:lvl w:ilvl="2">
      <w:start w:val="1"/>
      <w:numFmt w:val="taiwaneseCountingThousand"/>
      <w:lvlText w:val="(%3)"/>
      <w:lvlJc w:val="left"/>
      <w:pPr>
        <w:ind w:left="601" w:hanging="425"/>
      </w:pPr>
      <w:rPr>
        <w:rFonts w:ascii="標楷體" w:eastAsia="標楷體" w:hAnsi="標楷體"/>
        <w:b w:val="0"/>
        <w:i w:val="0"/>
        <w:sz w:val="24"/>
      </w:rPr>
    </w:lvl>
    <w:lvl w:ilvl="3">
      <w:start w:val="1"/>
      <w:numFmt w:val="decimal"/>
      <w:lvlText w:val="%4."/>
      <w:lvlJc w:val="left"/>
      <w:pPr>
        <w:ind w:left="1026" w:hanging="425"/>
      </w:pPr>
      <w:rPr>
        <w:rFonts w:ascii="Times New Roman" w:hAnsi="Times New Roman" w:cs="Times New Roman"/>
        <w:b w:val="0"/>
        <w:i w:val="0"/>
        <w:sz w:val="24"/>
      </w:rPr>
    </w:lvl>
    <w:lvl w:ilvl="4">
      <w:start w:val="1"/>
      <w:numFmt w:val="decimal"/>
      <w:lvlText w:val="(%5)"/>
      <w:lvlJc w:val="left"/>
      <w:pPr>
        <w:ind w:left="1625" w:hanging="425"/>
      </w:pPr>
      <w:rPr>
        <w:rFonts w:ascii="Times New Roman" w:hAnsi="Times New Roman" w:cs="Times New Roman"/>
        <w:b w:val="0"/>
        <w:i w:val="0"/>
        <w:sz w:val="24"/>
      </w:rPr>
    </w:lvl>
    <w:lvl w:ilvl="5">
      <w:start w:val="1"/>
      <w:numFmt w:val="lowerLetter"/>
      <w:lvlText w:val="(%6)"/>
      <w:lvlJc w:val="left"/>
      <w:pPr>
        <w:ind w:left="1876" w:hanging="425"/>
      </w:pPr>
      <w:rPr>
        <w:rFonts w:ascii="標楷體" w:eastAsia="標楷體" w:hAnsi="標楷體"/>
        <w:b w:val="0"/>
        <w:i w:val="0"/>
        <w:sz w:val="24"/>
      </w:rPr>
    </w:lvl>
    <w:lvl w:ilvl="6">
      <w:start w:val="1"/>
      <w:numFmt w:val="lowerRoman"/>
      <w:lvlText w:val="(%7)"/>
      <w:lvlJc w:val="left"/>
      <w:pPr>
        <w:ind w:left="2301" w:hanging="425"/>
      </w:pPr>
    </w:lvl>
    <w:lvl w:ilvl="7">
      <w:start w:val="1"/>
      <w:numFmt w:val="lowerLetter"/>
      <w:lvlText w:val="(%8)"/>
      <w:lvlJc w:val="left"/>
      <w:pPr>
        <w:ind w:left="2726" w:hanging="425"/>
      </w:pPr>
    </w:lvl>
    <w:lvl w:ilvl="8">
      <w:start w:val="1"/>
      <w:numFmt w:val="lowerRoman"/>
      <w:lvlText w:val="(%9)"/>
      <w:lvlJc w:val="left"/>
      <w:pPr>
        <w:ind w:left="3151" w:hanging="425"/>
      </w:pPr>
    </w:lvl>
  </w:abstractNum>
  <w:abstractNum w:abstractNumId="15">
    <w:nsid w:val="30A27F99"/>
    <w:multiLevelType w:val="multilevel"/>
    <w:tmpl w:val="BD7A7D5E"/>
    <w:lvl w:ilvl="0">
      <w:start w:val="1"/>
      <w:numFmt w:val="decimal"/>
      <w:lvlText w:val="%1、"/>
      <w:lvlJc w:val="left"/>
      <w:pPr>
        <w:ind w:left="1880" w:hanging="480"/>
      </w:pPr>
      <w:rPr>
        <w:rFonts w:ascii="Book Antiqua" w:hAnsi="Book Antiqua" w:cs="Arial"/>
        <w:color w:val="00000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16">
    <w:nsid w:val="313A4E23"/>
    <w:multiLevelType w:val="multilevel"/>
    <w:tmpl w:val="C8D292AC"/>
    <w:lvl w:ilvl="0">
      <w:start w:val="1"/>
      <w:numFmt w:val="taiwaneseCountingThousand"/>
      <w:lvlText w:val="(%1)"/>
      <w:lvlJc w:val="left"/>
      <w:pPr>
        <w:ind w:left="1840" w:hanging="480"/>
      </w:pPr>
      <w:rPr>
        <w:rFonts w:ascii="標楷體" w:eastAsia="標楷體" w:hAnsi="標楷體"/>
        <w:b/>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32094D10"/>
    <w:multiLevelType w:val="multilevel"/>
    <w:tmpl w:val="2FD0B7E0"/>
    <w:lvl w:ilvl="0">
      <w:start w:val="1"/>
      <w:numFmt w:val="decimal"/>
      <w:lvlText w:val="%1、"/>
      <w:lvlJc w:val="left"/>
      <w:pPr>
        <w:ind w:left="1880" w:hanging="480"/>
      </w:pPr>
      <w:rPr>
        <w:rFonts w:ascii="Book Antiqua" w:hAnsi="Book Antiqua" w:cs="Arial"/>
        <w:color w:val="00000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18">
    <w:nsid w:val="32676388"/>
    <w:multiLevelType w:val="multilevel"/>
    <w:tmpl w:val="5768C9E4"/>
    <w:lvl w:ilvl="0">
      <w:start w:val="1"/>
      <w:numFmt w:val="decimal"/>
      <w:lvlText w:val="%1、"/>
      <w:lvlJc w:val="left"/>
      <w:pPr>
        <w:ind w:left="1880" w:hanging="480"/>
      </w:pPr>
      <w:rPr>
        <w:rFonts w:ascii="Book Antiqua" w:hAnsi="Book Antiqua" w:cs="Arial"/>
        <w:color w:val="00000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204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19">
    <w:nsid w:val="33450B21"/>
    <w:multiLevelType w:val="multilevel"/>
    <w:tmpl w:val="4B767B9E"/>
    <w:lvl w:ilvl="0">
      <w:start w:val="1"/>
      <w:numFmt w:val="decimal"/>
      <w:lvlText w:val="%1、"/>
      <w:lvlJc w:val="left"/>
      <w:pPr>
        <w:ind w:left="1880" w:hanging="480"/>
      </w:pPr>
      <w:rPr>
        <w:rFonts w:ascii="Book Antiqua" w:hAnsi="Book Antiqua" w:cs="Arial"/>
        <w:color w:val="00000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20">
    <w:nsid w:val="358A342C"/>
    <w:multiLevelType w:val="multilevel"/>
    <w:tmpl w:val="524CB61E"/>
    <w:lvl w:ilvl="0">
      <w:start w:val="1"/>
      <w:numFmt w:val="taiwaneseCountingThousand"/>
      <w:lvlText w:val="(%1)"/>
      <w:lvlJc w:val="left"/>
      <w:pPr>
        <w:ind w:left="1332" w:hanging="480"/>
      </w:pPr>
      <w:rPr>
        <w:rFonts w:ascii="標楷體" w:eastAsia="標楷體" w:hAnsi="標楷體"/>
        <w:b w:val="0"/>
        <w:sz w:val="28"/>
        <w:szCs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21">
    <w:nsid w:val="35E56021"/>
    <w:multiLevelType w:val="multilevel"/>
    <w:tmpl w:val="1750B9D6"/>
    <w:lvl w:ilvl="0">
      <w:start w:val="1"/>
      <w:numFmt w:val="taiwaneseCountingThousand"/>
      <w:lvlText w:val="(%1)"/>
      <w:lvlJc w:val="left"/>
      <w:pPr>
        <w:ind w:left="1280" w:hanging="480"/>
      </w:pPr>
      <w:rPr>
        <w:rFonts w:ascii="標楷體" w:eastAsia="標楷體" w:hAnsi="標楷體"/>
        <w:b w:val="0"/>
      </w:r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22">
    <w:nsid w:val="3699387C"/>
    <w:multiLevelType w:val="multilevel"/>
    <w:tmpl w:val="7E342DC2"/>
    <w:lvl w:ilvl="0">
      <w:start w:val="1"/>
      <w:numFmt w:val="taiwaneseCountingThousand"/>
      <w:lvlText w:val="%1、"/>
      <w:lvlJc w:val="left"/>
      <w:pPr>
        <w:ind w:left="1620" w:hanging="720"/>
      </w:pPr>
      <w:rPr>
        <w:rFonts w:ascii="標楷體" w:eastAsia="標楷體" w:hAnsi="標楷體"/>
        <w:b/>
        <w:sz w:val="28"/>
        <w:szCs w:val="28"/>
      </w:rPr>
    </w:lvl>
    <w:lvl w:ilvl="1">
      <w:start w:val="1"/>
      <w:numFmt w:val="taiwaneseCountingThousand"/>
      <w:lvlText w:val="%2、"/>
      <w:lvlJc w:val="left"/>
      <w:pPr>
        <w:ind w:left="2120" w:hanging="720"/>
      </w:pPr>
    </w:lvl>
    <w:lvl w:ilvl="2">
      <w:start w:val="1"/>
      <w:numFmt w:val="taiwaneseCountingThousand"/>
      <w:lvlText w:val="(%3)"/>
      <w:lvlJc w:val="left"/>
      <w:pPr>
        <w:ind w:left="2680" w:hanging="720"/>
      </w:pPr>
      <w:rPr>
        <w:rFonts w:ascii="Book Antiqua" w:hAnsi="Book Antiqua" w:cs="Times New Roman"/>
        <w:b/>
        <w:sz w:val="30"/>
        <w:szCs w:val="30"/>
      </w:rPr>
    </w:lvl>
    <w:lvl w:ilvl="3">
      <w:start w:val="1"/>
      <w:numFmt w:val="decimal"/>
      <w:lvlText w:val="%4、"/>
      <w:lvlJc w:val="left"/>
      <w:pPr>
        <w:ind w:left="3160" w:hanging="720"/>
      </w:pPr>
      <w:rPr>
        <w:rFonts w:cs="Arial"/>
        <w:color w:val="000000"/>
        <w:sz w:val="28"/>
        <w:szCs w:val="28"/>
      </w:rPr>
    </w:lvl>
    <w:lvl w:ilvl="4">
      <w:start w:val="1"/>
      <w:numFmt w:val="ideographTraditional"/>
      <w:lvlText w:val="%5、"/>
      <w:lvlJc w:val="left"/>
      <w:pPr>
        <w:ind w:left="3400" w:hanging="480"/>
      </w:pPr>
    </w:lvl>
    <w:lvl w:ilvl="5">
      <w:start w:val="1"/>
      <w:numFmt w:val="lowerRoman"/>
      <w:lvlText w:val="%6."/>
      <w:lvlJc w:val="right"/>
      <w:pPr>
        <w:ind w:left="3880" w:hanging="480"/>
      </w:pPr>
    </w:lvl>
    <w:lvl w:ilvl="6">
      <w:start w:val="1"/>
      <w:numFmt w:val="decimal"/>
      <w:lvlText w:val="%7."/>
      <w:lvlJc w:val="left"/>
      <w:pPr>
        <w:ind w:left="4360" w:hanging="480"/>
      </w:pPr>
    </w:lvl>
    <w:lvl w:ilvl="7">
      <w:start w:val="1"/>
      <w:numFmt w:val="ideographTraditional"/>
      <w:lvlText w:val="%8、"/>
      <w:lvlJc w:val="left"/>
      <w:pPr>
        <w:ind w:left="4840" w:hanging="480"/>
      </w:pPr>
    </w:lvl>
    <w:lvl w:ilvl="8">
      <w:start w:val="1"/>
      <w:numFmt w:val="lowerRoman"/>
      <w:lvlText w:val="%9."/>
      <w:lvlJc w:val="right"/>
      <w:pPr>
        <w:ind w:left="5320" w:hanging="480"/>
      </w:pPr>
    </w:lvl>
  </w:abstractNum>
  <w:abstractNum w:abstractNumId="23">
    <w:nsid w:val="38B8298A"/>
    <w:multiLevelType w:val="multilevel"/>
    <w:tmpl w:val="91C6D83A"/>
    <w:lvl w:ilvl="0">
      <w:start w:val="1"/>
      <w:numFmt w:val="decimal"/>
      <w:lvlText w:val="%1、"/>
      <w:lvlJc w:val="left"/>
      <w:pPr>
        <w:ind w:left="1840" w:hanging="480"/>
      </w:pPr>
      <w:rPr>
        <w:rFonts w:cs="Arial"/>
        <w:b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3CF6750E"/>
    <w:multiLevelType w:val="multilevel"/>
    <w:tmpl w:val="DF8CB8D4"/>
    <w:lvl w:ilvl="0">
      <w:start w:val="1"/>
      <w:numFmt w:val="upp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3E9E7CCA"/>
    <w:multiLevelType w:val="multilevel"/>
    <w:tmpl w:val="3DEA951A"/>
    <w:lvl w:ilvl="0">
      <w:start w:val="1"/>
      <w:numFmt w:val="upperLetter"/>
      <w:lvlText w:val="(%1)"/>
      <w:lvlJc w:val="left"/>
      <w:pPr>
        <w:ind w:left="1702" w:hanging="425"/>
      </w:pPr>
      <w:rPr>
        <w:rFonts w:ascii="Times New Roman" w:eastAsia="標楷體" w:hAnsi="Times New Roman" w:cs="Times New Roman"/>
        <w:b w:val="0"/>
        <w:i w:val="0"/>
        <w:color w:val="000000"/>
        <w:sz w:val="28"/>
        <w:szCs w:val="24"/>
      </w:rPr>
    </w:lvl>
    <w:lvl w:ilvl="1">
      <w:start w:val="1"/>
      <w:numFmt w:val="taiwaneseCountingThousand"/>
      <w:lvlText w:val="%2、"/>
      <w:lvlJc w:val="left"/>
      <w:pPr>
        <w:ind w:left="425" w:hanging="425"/>
      </w:pPr>
      <w:rPr>
        <w:rFonts w:ascii="標楷體" w:eastAsia="標楷體" w:hAnsi="標楷體"/>
        <w:b w:val="0"/>
        <w:i w:val="0"/>
        <w:color w:val="auto"/>
        <w:sz w:val="24"/>
      </w:rPr>
    </w:lvl>
    <w:lvl w:ilvl="2">
      <w:start w:val="1"/>
      <w:numFmt w:val="taiwaneseCountingThousand"/>
      <w:lvlText w:val="(%3)"/>
      <w:lvlJc w:val="left"/>
      <w:pPr>
        <w:ind w:left="601" w:hanging="425"/>
      </w:pPr>
      <w:rPr>
        <w:rFonts w:ascii="標楷體" w:eastAsia="標楷體" w:hAnsi="標楷體"/>
        <w:b w:val="0"/>
        <w:i w:val="0"/>
        <w:sz w:val="24"/>
      </w:rPr>
    </w:lvl>
    <w:lvl w:ilvl="3">
      <w:start w:val="1"/>
      <w:numFmt w:val="decimal"/>
      <w:lvlText w:val="%4."/>
      <w:lvlJc w:val="left"/>
      <w:pPr>
        <w:ind w:left="1026" w:hanging="425"/>
      </w:pPr>
      <w:rPr>
        <w:rFonts w:ascii="Times New Roman" w:hAnsi="Times New Roman" w:cs="Times New Roman"/>
        <w:b w:val="0"/>
        <w:i w:val="0"/>
        <w:sz w:val="24"/>
      </w:rPr>
    </w:lvl>
    <w:lvl w:ilvl="4">
      <w:start w:val="1"/>
      <w:numFmt w:val="decimal"/>
      <w:lvlText w:val="(%5)"/>
      <w:lvlJc w:val="left"/>
      <w:pPr>
        <w:ind w:left="1625" w:hanging="425"/>
      </w:pPr>
      <w:rPr>
        <w:rFonts w:ascii="Times New Roman" w:hAnsi="Times New Roman" w:cs="Times New Roman"/>
        <w:b w:val="0"/>
        <w:i w:val="0"/>
        <w:sz w:val="24"/>
      </w:rPr>
    </w:lvl>
    <w:lvl w:ilvl="5">
      <w:start w:val="1"/>
      <w:numFmt w:val="lowerLetter"/>
      <w:lvlText w:val="(%6)"/>
      <w:lvlJc w:val="left"/>
      <w:pPr>
        <w:ind w:left="1876" w:hanging="425"/>
      </w:pPr>
      <w:rPr>
        <w:rFonts w:ascii="標楷體" w:eastAsia="標楷體" w:hAnsi="標楷體"/>
        <w:b w:val="0"/>
        <w:i w:val="0"/>
        <w:sz w:val="24"/>
      </w:rPr>
    </w:lvl>
    <w:lvl w:ilvl="6">
      <w:start w:val="1"/>
      <w:numFmt w:val="lowerRoman"/>
      <w:lvlText w:val="(%7)"/>
      <w:lvlJc w:val="left"/>
      <w:pPr>
        <w:ind w:left="2301" w:hanging="425"/>
      </w:pPr>
    </w:lvl>
    <w:lvl w:ilvl="7">
      <w:start w:val="1"/>
      <w:numFmt w:val="lowerLetter"/>
      <w:lvlText w:val="(%8)"/>
      <w:lvlJc w:val="left"/>
      <w:pPr>
        <w:ind w:left="2726" w:hanging="425"/>
      </w:pPr>
    </w:lvl>
    <w:lvl w:ilvl="8">
      <w:start w:val="1"/>
      <w:numFmt w:val="lowerRoman"/>
      <w:lvlText w:val="(%9)"/>
      <w:lvlJc w:val="left"/>
      <w:pPr>
        <w:ind w:left="3151" w:hanging="425"/>
      </w:pPr>
    </w:lvl>
  </w:abstractNum>
  <w:abstractNum w:abstractNumId="26">
    <w:nsid w:val="42975D99"/>
    <w:multiLevelType w:val="multilevel"/>
    <w:tmpl w:val="11C2C544"/>
    <w:lvl w:ilvl="0">
      <w:start w:val="1"/>
      <w:numFmt w:val="taiwaneseCountingThousand"/>
      <w:lvlText w:val="(%1)"/>
      <w:lvlJc w:val="left"/>
      <w:pPr>
        <w:ind w:left="1280" w:hanging="480"/>
      </w:pPr>
      <w:rPr>
        <w:rFonts w:ascii="標楷體" w:eastAsia="標楷體" w:hAnsi="標楷體"/>
        <w:b w:val="0"/>
      </w:r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27">
    <w:nsid w:val="44374601"/>
    <w:multiLevelType w:val="multilevel"/>
    <w:tmpl w:val="8D8C9D5E"/>
    <w:lvl w:ilvl="0">
      <w:start w:val="1"/>
      <w:numFmt w:val="ideographLegalTraditional"/>
      <w:lvlText w:val="%1、"/>
      <w:lvlJc w:val="left"/>
      <w:pPr>
        <w:ind w:left="480" w:hanging="480"/>
      </w:pPr>
      <w:rPr>
        <w:b/>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44EF4B3E"/>
    <w:multiLevelType w:val="multilevel"/>
    <w:tmpl w:val="A266AB3C"/>
    <w:lvl w:ilvl="0">
      <w:start w:val="1"/>
      <w:numFmt w:val="decimal"/>
      <w:lvlText w:val="%1."/>
      <w:lvlJc w:val="left"/>
      <w:pPr>
        <w:ind w:left="880" w:hanging="480"/>
      </w:pPr>
    </w:lvl>
    <w:lvl w:ilvl="1">
      <w:start w:val="1"/>
      <w:numFmt w:val="ideographTraditional"/>
      <w:lvlText w:val="%2、"/>
      <w:lvlJc w:val="left"/>
      <w:pPr>
        <w:ind w:left="1360" w:hanging="480"/>
      </w:pPr>
    </w:lvl>
    <w:lvl w:ilvl="2">
      <w:start w:val="1"/>
      <w:numFmt w:val="lowerRoman"/>
      <w:lvlText w:val="%3."/>
      <w:lvlJc w:val="right"/>
      <w:pPr>
        <w:ind w:left="1840" w:hanging="480"/>
      </w:pPr>
    </w:lvl>
    <w:lvl w:ilvl="3">
      <w:start w:val="1"/>
      <w:numFmt w:val="decimal"/>
      <w:lvlText w:val="%4."/>
      <w:lvlJc w:val="left"/>
      <w:pPr>
        <w:ind w:left="2320" w:hanging="480"/>
      </w:pPr>
    </w:lvl>
    <w:lvl w:ilvl="4">
      <w:start w:val="1"/>
      <w:numFmt w:val="ideographTraditional"/>
      <w:lvlText w:val="%5、"/>
      <w:lvlJc w:val="left"/>
      <w:pPr>
        <w:ind w:left="2800" w:hanging="480"/>
      </w:pPr>
    </w:lvl>
    <w:lvl w:ilvl="5">
      <w:start w:val="1"/>
      <w:numFmt w:val="lowerRoman"/>
      <w:lvlText w:val="%6."/>
      <w:lvlJc w:val="right"/>
      <w:pPr>
        <w:ind w:left="3280" w:hanging="480"/>
      </w:pPr>
    </w:lvl>
    <w:lvl w:ilvl="6">
      <w:start w:val="1"/>
      <w:numFmt w:val="decimal"/>
      <w:lvlText w:val="%7."/>
      <w:lvlJc w:val="left"/>
      <w:pPr>
        <w:ind w:left="3760" w:hanging="480"/>
      </w:pPr>
    </w:lvl>
    <w:lvl w:ilvl="7">
      <w:start w:val="1"/>
      <w:numFmt w:val="ideographTraditional"/>
      <w:lvlText w:val="%8、"/>
      <w:lvlJc w:val="left"/>
      <w:pPr>
        <w:ind w:left="4240" w:hanging="480"/>
      </w:pPr>
    </w:lvl>
    <w:lvl w:ilvl="8">
      <w:start w:val="1"/>
      <w:numFmt w:val="lowerRoman"/>
      <w:lvlText w:val="%9."/>
      <w:lvlJc w:val="right"/>
      <w:pPr>
        <w:ind w:left="4720" w:hanging="480"/>
      </w:pPr>
    </w:lvl>
  </w:abstractNum>
  <w:abstractNum w:abstractNumId="29">
    <w:nsid w:val="456036AE"/>
    <w:multiLevelType w:val="multilevel"/>
    <w:tmpl w:val="D9701C88"/>
    <w:lvl w:ilvl="0">
      <w:start w:val="1"/>
      <w:numFmt w:val="decimal"/>
      <w:lvlText w:val="(%1)"/>
      <w:lvlJc w:val="left"/>
      <w:pPr>
        <w:ind w:left="2060" w:hanging="360"/>
      </w:pPr>
      <w:rPr>
        <w:rFonts w:cs="Arial"/>
        <w:b w:val="0"/>
        <w:i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45935BBD"/>
    <w:multiLevelType w:val="multilevel"/>
    <w:tmpl w:val="694E3432"/>
    <w:lvl w:ilvl="0">
      <w:start w:val="1"/>
      <w:numFmt w:val="decimal"/>
      <w:lvlText w:val="%1、"/>
      <w:lvlJc w:val="left"/>
      <w:pPr>
        <w:ind w:left="1880" w:hanging="480"/>
      </w:pPr>
      <w:rPr>
        <w:rFonts w:cs="Arial"/>
        <w:b w:val="0"/>
        <w:i w:val="0"/>
        <w:color w:val="00000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31">
    <w:nsid w:val="47CF20E7"/>
    <w:multiLevelType w:val="multilevel"/>
    <w:tmpl w:val="FE36FB62"/>
    <w:lvl w:ilvl="0">
      <w:start w:val="1"/>
      <w:numFmt w:val="decimal"/>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174"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32">
    <w:nsid w:val="48E67059"/>
    <w:multiLevelType w:val="multilevel"/>
    <w:tmpl w:val="8A7C5716"/>
    <w:lvl w:ilvl="0">
      <w:start w:val="1"/>
      <w:numFmt w:val="decimal"/>
      <w:lvlText w:val="(%1)"/>
      <w:lvlJc w:val="left"/>
      <w:pPr>
        <w:ind w:left="2060" w:hanging="360"/>
      </w:pPr>
      <w:rPr>
        <w:rFonts w:cs="Arial"/>
        <w:b w:val="0"/>
        <w:i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48F479B2"/>
    <w:multiLevelType w:val="multilevel"/>
    <w:tmpl w:val="C4C2F626"/>
    <w:lvl w:ilvl="0">
      <w:start w:val="1"/>
      <w:numFmt w:val="decimal"/>
      <w:lvlText w:val="%1."/>
      <w:lvlJc w:val="left"/>
      <w:pPr>
        <w:ind w:left="1840" w:hanging="480"/>
      </w:pPr>
      <w:rPr>
        <w:b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4C0220B9"/>
    <w:multiLevelType w:val="multilevel"/>
    <w:tmpl w:val="29809848"/>
    <w:lvl w:ilvl="0">
      <w:start w:val="1"/>
      <w:numFmt w:val="decimal"/>
      <w:lvlText w:val="%1、"/>
      <w:lvlJc w:val="left"/>
      <w:pPr>
        <w:ind w:left="1840" w:hanging="480"/>
      </w:pPr>
      <w:rPr>
        <w:rFonts w:cs="Arial"/>
        <w:b w:val="0"/>
        <w:color w:val="000000"/>
        <w:sz w:val="28"/>
        <w:szCs w:val="28"/>
      </w:rPr>
    </w:lvl>
    <w:lvl w:ilvl="1">
      <w:start w:val="1"/>
      <w:numFmt w:val="ideographTraditional"/>
      <w:lvlText w:val="%2、"/>
      <w:lvlJc w:val="left"/>
      <w:pPr>
        <w:ind w:left="2320" w:hanging="480"/>
      </w:pPr>
    </w:lvl>
    <w:lvl w:ilvl="2">
      <w:start w:val="1"/>
      <w:numFmt w:val="lowerRoman"/>
      <w:lvlText w:val="%3."/>
      <w:lvlJc w:val="right"/>
      <w:pPr>
        <w:ind w:left="2800" w:hanging="480"/>
      </w:pPr>
    </w:lvl>
    <w:lvl w:ilvl="3">
      <w:start w:val="1"/>
      <w:numFmt w:val="decimal"/>
      <w:lvlText w:val="%4."/>
      <w:lvlJc w:val="left"/>
      <w:pPr>
        <w:ind w:left="3280" w:hanging="480"/>
      </w:pPr>
    </w:lvl>
    <w:lvl w:ilvl="4">
      <w:start w:val="1"/>
      <w:numFmt w:val="ideographTraditional"/>
      <w:lvlText w:val="%5、"/>
      <w:lvlJc w:val="left"/>
      <w:pPr>
        <w:ind w:left="3760" w:hanging="480"/>
      </w:pPr>
    </w:lvl>
    <w:lvl w:ilvl="5">
      <w:start w:val="1"/>
      <w:numFmt w:val="lowerRoman"/>
      <w:lvlText w:val="%6."/>
      <w:lvlJc w:val="right"/>
      <w:pPr>
        <w:ind w:left="4240" w:hanging="480"/>
      </w:pPr>
    </w:lvl>
    <w:lvl w:ilvl="6">
      <w:start w:val="1"/>
      <w:numFmt w:val="decimal"/>
      <w:lvlText w:val="%7."/>
      <w:lvlJc w:val="left"/>
      <w:pPr>
        <w:ind w:left="4720" w:hanging="480"/>
      </w:pPr>
    </w:lvl>
    <w:lvl w:ilvl="7">
      <w:start w:val="1"/>
      <w:numFmt w:val="ideographTraditional"/>
      <w:lvlText w:val="%8、"/>
      <w:lvlJc w:val="left"/>
      <w:pPr>
        <w:ind w:left="5200" w:hanging="480"/>
      </w:pPr>
    </w:lvl>
    <w:lvl w:ilvl="8">
      <w:start w:val="1"/>
      <w:numFmt w:val="lowerRoman"/>
      <w:lvlText w:val="%9."/>
      <w:lvlJc w:val="right"/>
      <w:pPr>
        <w:ind w:left="5680" w:hanging="480"/>
      </w:pPr>
    </w:lvl>
  </w:abstractNum>
  <w:abstractNum w:abstractNumId="35">
    <w:nsid w:val="4E6F2EFC"/>
    <w:multiLevelType w:val="multilevel"/>
    <w:tmpl w:val="48762F76"/>
    <w:lvl w:ilvl="0">
      <w:start w:val="1"/>
      <w:numFmt w:val="decimal"/>
      <w:lvlText w:val="%1、"/>
      <w:lvlJc w:val="left"/>
      <w:pPr>
        <w:ind w:left="1880" w:hanging="480"/>
      </w:pPr>
      <w:rPr>
        <w:rFonts w:ascii="Book Antiqua" w:hAnsi="Book Antiqua" w:cs="Arial"/>
        <w:color w:val="00000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36">
    <w:nsid w:val="538975C0"/>
    <w:multiLevelType w:val="multilevel"/>
    <w:tmpl w:val="0AB8B554"/>
    <w:lvl w:ilvl="0">
      <w:start w:val="1"/>
      <w:numFmt w:val="decimal"/>
      <w:lvlText w:val="(%1)"/>
      <w:lvlJc w:val="left"/>
      <w:pPr>
        <w:ind w:left="2060" w:hanging="360"/>
      </w:pPr>
      <w:rPr>
        <w:rFonts w:cs="Arial"/>
        <w:b w:val="0"/>
        <w:i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53C27F2B"/>
    <w:multiLevelType w:val="multilevel"/>
    <w:tmpl w:val="E7C4E642"/>
    <w:lvl w:ilvl="0">
      <w:start w:val="1"/>
      <w:numFmt w:val="taiwaneseCountingThousand"/>
      <w:lvlText w:val="%1、"/>
      <w:lvlJc w:val="left"/>
      <w:pPr>
        <w:ind w:left="905" w:hanging="480"/>
      </w:pPr>
      <w:rPr>
        <w:rFonts w:ascii="標楷體" w:eastAsia="標楷體" w:hAnsi="標楷體"/>
        <w:b w:val="0"/>
        <w:sz w:val="28"/>
        <w:szCs w:val="28"/>
      </w:rPr>
    </w:lvl>
    <w:lvl w:ilvl="1">
      <w:start w:val="1"/>
      <w:numFmt w:val="ideographTraditional"/>
      <w:lvlText w:val="%2、"/>
      <w:lvlJc w:val="left"/>
      <w:pPr>
        <w:ind w:left="1363" w:hanging="480"/>
      </w:pPr>
    </w:lvl>
    <w:lvl w:ilvl="2">
      <w:start w:val="1"/>
      <w:numFmt w:val="lowerRoman"/>
      <w:lvlText w:val="%3."/>
      <w:lvlJc w:val="right"/>
      <w:pPr>
        <w:ind w:left="1843" w:hanging="480"/>
      </w:pPr>
    </w:lvl>
    <w:lvl w:ilvl="3">
      <w:start w:val="1"/>
      <w:numFmt w:val="decimal"/>
      <w:lvlText w:val="%4."/>
      <w:lvlJc w:val="left"/>
      <w:pPr>
        <w:ind w:left="2323" w:hanging="480"/>
      </w:pPr>
    </w:lvl>
    <w:lvl w:ilvl="4">
      <w:start w:val="1"/>
      <w:numFmt w:val="ideographTraditional"/>
      <w:lvlText w:val="%5、"/>
      <w:lvlJc w:val="left"/>
      <w:pPr>
        <w:ind w:left="2803" w:hanging="480"/>
      </w:pPr>
    </w:lvl>
    <w:lvl w:ilvl="5">
      <w:start w:val="1"/>
      <w:numFmt w:val="lowerRoman"/>
      <w:lvlText w:val="%6."/>
      <w:lvlJc w:val="right"/>
      <w:pPr>
        <w:ind w:left="3283" w:hanging="480"/>
      </w:pPr>
    </w:lvl>
    <w:lvl w:ilvl="6">
      <w:start w:val="1"/>
      <w:numFmt w:val="decimal"/>
      <w:lvlText w:val="%7."/>
      <w:lvlJc w:val="left"/>
      <w:pPr>
        <w:ind w:left="3763" w:hanging="480"/>
      </w:pPr>
    </w:lvl>
    <w:lvl w:ilvl="7">
      <w:start w:val="1"/>
      <w:numFmt w:val="ideographTraditional"/>
      <w:lvlText w:val="%8、"/>
      <w:lvlJc w:val="left"/>
      <w:pPr>
        <w:ind w:left="4243" w:hanging="480"/>
      </w:pPr>
    </w:lvl>
    <w:lvl w:ilvl="8">
      <w:start w:val="1"/>
      <w:numFmt w:val="lowerRoman"/>
      <w:lvlText w:val="%9."/>
      <w:lvlJc w:val="right"/>
      <w:pPr>
        <w:ind w:left="4723" w:hanging="480"/>
      </w:pPr>
    </w:lvl>
  </w:abstractNum>
  <w:abstractNum w:abstractNumId="38">
    <w:nsid w:val="54714C4E"/>
    <w:multiLevelType w:val="multilevel"/>
    <w:tmpl w:val="39025C28"/>
    <w:lvl w:ilvl="0">
      <w:start w:val="1"/>
      <w:numFmt w:val="decimal"/>
      <w:lvlText w:val="%1."/>
      <w:lvlJc w:val="left"/>
      <w:pPr>
        <w:ind w:left="880" w:hanging="480"/>
      </w:pPr>
      <w:rPr>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57EC45A1"/>
    <w:multiLevelType w:val="multilevel"/>
    <w:tmpl w:val="EBC21EB0"/>
    <w:lvl w:ilvl="0">
      <w:start w:val="1"/>
      <w:numFmt w:val="taiwaneseCountingThousand"/>
      <w:lvlText w:val="(%1)"/>
      <w:lvlJc w:val="left"/>
      <w:pPr>
        <w:ind w:left="1713" w:hanging="720"/>
      </w:pPr>
      <w:rPr>
        <w:rFonts w:ascii="標楷體" w:eastAsia="標楷體" w:hAnsi="標楷體"/>
        <w:b w:val="0"/>
        <w:sz w:val="28"/>
        <w:szCs w:val="28"/>
      </w:rPr>
    </w:lvl>
    <w:lvl w:ilvl="1">
      <w:start w:val="2"/>
      <w:numFmt w:val="decimal"/>
      <w:lvlText w:val="%2、"/>
      <w:lvlJc w:val="left"/>
      <w:pPr>
        <w:ind w:left="2193" w:hanging="720"/>
      </w:pPr>
      <w:rPr>
        <w:rFonts w:ascii="Book Antiqua" w:hAnsi="Book Antiqua"/>
      </w:r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0">
    <w:nsid w:val="58186BF6"/>
    <w:multiLevelType w:val="multilevel"/>
    <w:tmpl w:val="1B8C43F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1">
    <w:nsid w:val="59A841F9"/>
    <w:multiLevelType w:val="multilevel"/>
    <w:tmpl w:val="6972A61E"/>
    <w:lvl w:ilvl="0">
      <w:start w:val="1"/>
      <w:numFmt w:val="decimal"/>
      <w:lvlText w:val="(%1)"/>
      <w:lvlJc w:val="left"/>
      <w:pPr>
        <w:ind w:left="480" w:hanging="480"/>
      </w:pPr>
      <w:rPr>
        <w:rFonts w:ascii="Book Antiqua" w:hAnsi="Book Antiqua" w:cs="Arial"/>
        <w:b w:val="0"/>
        <w:i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5C1A0982"/>
    <w:multiLevelType w:val="multilevel"/>
    <w:tmpl w:val="FD7C0E4A"/>
    <w:lvl w:ilvl="0">
      <w:start w:val="1"/>
      <w:numFmt w:val="upperLetter"/>
      <w:lvlText w:val="(%1)"/>
      <w:lvlJc w:val="left"/>
      <w:pPr>
        <w:ind w:left="2574" w:hanging="390"/>
      </w:pPr>
    </w:lvl>
    <w:lvl w:ilvl="1">
      <w:start w:val="1"/>
      <w:numFmt w:val="ideographTraditional"/>
      <w:lvlText w:val="%2、"/>
      <w:lvlJc w:val="left"/>
      <w:pPr>
        <w:ind w:left="3144" w:hanging="480"/>
      </w:pPr>
    </w:lvl>
    <w:lvl w:ilvl="2">
      <w:start w:val="1"/>
      <w:numFmt w:val="lowerRoman"/>
      <w:lvlText w:val="%3."/>
      <w:lvlJc w:val="right"/>
      <w:pPr>
        <w:ind w:left="3624" w:hanging="480"/>
      </w:pPr>
    </w:lvl>
    <w:lvl w:ilvl="3">
      <w:start w:val="1"/>
      <w:numFmt w:val="decimal"/>
      <w:lvlText w:val="%4."/>
      <w:lvlJc w:val="left"/>
      <w:pPr>
        <w:ind w:left="4104" w:hanging="480"/>
      </w:pPr>
    </w:lvl>
    <w:lvl w:ilvl="4">
      <w:start w:val="1"/>
      <w:numFmt w:val="ideographTraditional"/>
      <w:lvlText w:val="%5、"/>
      <w:lvlJc w:val="left"/>
      <w:pPr>
        <w:ind w:left="4584" w:hanging="480"/>
      </w:pPr>
    </w:lvl>
    <w:lvl w:ilvl="5">
      <w:start w:val="1"/>
      <w:numFmt w:val="lowerRoman"/>
      <w:lvlText w:val="%6."/>
      <w:lvlJc w:val="right"/>
      <w:pPr>
        <w:ind w:left="5064" w:hanging="480"/>
      </w:pPr>
    </w:lvl>
    <w:lvl w:ilvl="6">
      <w:start w:val="1"/>
      <w:numFmt w:val="decimal"/>
      <w:lvlText w:val="%7."/>
      <w:lvlJc w:val="left"/>
      <w:pPr>
        <w:ind w:left="5544" w:hanging="480"/>
      </w:pPr>
    </w:lvl>
    <w:lvl w:ilvl="7">
      <w:start w:val="1"/>
      <w:numFmt w:val="ideographTraditional"/>
      <w:lvlText w:val="%8、"/>
      <w:lvlJc w:val="left"/>
      <w:pPr>
        <w:ind w:left="6024" w:hanging="480"/>
      </w:pPr>
    </w:lvl>
    <w:lvl w:ilvl="8">
      <w:start w:val="1"/>
      <w:numFmt w:val="lowerRoman"/>
      <w:lvlText w:val="%9."/>
      <w:lvlJc w:val="right"/>
      <w:pPr>
        <w:ind w:left="6504" w:hanging="480"/>
      </w:pPr>
    </w:lvl>
  </w:abstractNum>
  <w:abstractNum w:abstractNumId="43">
    <w:nsid w:val="5D8A4D9C"/>
    <w:multiLevelType w:val="multilevel"/>
    <w:tmpl w:val="534ACD5C"/>
    <w:styleLink w:val="LFO22"/>
    <w:lvl w:ilvl="0">
      <w:start w:val="1"/>
      <w:numFmt w:val="ideographLegalTraditional"/>
      <w:pStyle w:val="CCIS"/>
      <w:lvlText w:val="%1、"/>
      <w:lvlJc w:val="left"/>
      <w:pPr>
        <w:ind w:left="425" w:hanging="425"/>
      </w:pPr>
      <w:rPr>
        <w:rFonts w:ascii="華康中明體" w:eastAsia="華康中明體" w:hAnsi="華康中明體"/>
        <w:b/>
        <w:i w:val="0"/>
        <w:sz w:val="32"/>
      </w:rPr>
    </w:lvl>
    <w:lvl w:ilvl="1">
      <w:start w:val="1"/>
      <w:numFmt w:val="taiwaneseCountingThousand"/>
      <w:lvlText w:val="%2、"/>
      <w:lvlJc w:val="left"/>
      <w:pPr>
        <w:ind w:left="425" w:hanging="425"/>
      </w:pPr>
      <w:rPr>
        <w:rFonts w:ascii="標楷體" w:eastAsia="標楷體" w:hAnsi="標楷體"/>
        <w:b w:val="0"/>
        <w:i w:val="0"/>
        <w:color w:val="auto"/>
        <w:sz w:val="24"/>
        <w:lang w:val="en-US"/>
      </w:rPr>
    </w:lvl>
    <w:lvl w:ilvl="2">
      <w:start w:val="1"/>
      <w:numFmt w:val="taiwaneseCountingThousand"/>
      <w:lvlText w:val="(%3)"/>
      <w:lvlJc w:val="left"/>
      <w:pPr>
        <w:ind w:left="601" w:hanging="425"/>
      </w:pPr>
      <w:rPr>
        <w:rFonts w:ascii="標楷體" w:eastAsia="標楷體" w:hAnsi="標楷體"/>
        <w:b w:val="0"/>
        <w:i w:val="0"/>
        <w:sz w:val="24"/>
      </w:rPr>
    </w:lvl>
    <w:lvl w:ilvl="3">
      <w:start w:val="1"/>
      <w:numFmt w:val="decimal"/>
      <w:lvlText w:val="%4."/>
      <w:lvlJc w:val="left"/>
      <w:pPr>
        <w:ind w:left="1026" w:hanging="425"/>
      </w:pPr>
      <w:rPr>
        <w:rFonts w:ascii="Times New Roman" w:hAnsi="Times New Roman" w:cs="Times New Roman"/>
        <w:b w:val="0"/>
        <w:i w:val="0"/>
        <w:sz w:val="24"/>
      </w:rPr>
    </w:lvl>
    <w:lvl w:ilvl="4">
      <w:start w:val="1"/>
      <w:numFmt w:val="decimal"/>
      <w:lvlText w:val="(%5)"/>
      <w:lvlJc w:val="left"/>
      <w:pPr>
        <w:ind w:left="1625" w:hanging="425"/>
      </w:pPr>
      <w:rPr>
        <w:rFonts w:ascii="Times New Roman" w:hAnsi="Times New Roman" w:cs="Times New Roman"/>
        <w:b w:val="0"/>
        <w:i w:val="0"/>
        <w:sz w:val="24"/>
      </w:rPr>
    </w:lvl>
    <w:lvl w:ilvl="5">
      <w:start w:val="1"/>
      <w:numFmt w:val="lowerLetter"/>
      <w:lvlText w:val="(%6)"/>
      <w:lvlJc w:val="left"/>
      <w:pPr>
        <w:ind w:left="1876" w:hanging="425"/>
      </w:pPr>
      <w:rPr>
        <w:rFonts w:ascii="標楷體" w:eastAsia="標楷體" w:hAnsi="標楷體"/>
        <w:b w:val="0"/>
        <w:i w:val="0"/>
        <w:sz w:val="24"/>
      </w:rPr>
    </w:lvl>
    <w:lvl w:ilvl="6">
      <w:start w:val="1"/>
      <w:numFmt w:val="lowerRoman"/>
      <w:lvlText w:val="(%7)"/>
      <w:lvlJc w:val="left"/>
      <w:pPr>
        <w:ind w:left="2301" w:hanging="425"/>
      </w:pPr>
    </w:lvl>
    <w:lvl w:ilvl="7">
      <w:start w:val="1"/>
      <w:numFmt w:val="lowerLetter"/>
      <w:lvlText w:val="(%8)"/>
      <w:lvlJc w:val="left"/>
      <w:pPr>
        <w:ind w:left="2726" w:hanging="425"/>
      </w:pPr>
    </w:lvl>
    <w:lvl w:ilvl="8">
      <w:start w:val="1"/>
      <w:numFmt w:val="lowerRoman"/>
      <w:lvlText w:val="(%9)"/>
      <w:lvlJc w:val="left"/>
      <w:pPr>
        <w:ind w:left="3151" w:hanging="425"/>
      </w:pPr>
    </w:lvl>
  </w:abstractNum>
  <w:abstractNum w:abstractNumId="44">
    <w:nsid w:val="5E0B26E4"/>
    <w:multiLevelType w:val="multilevel"/>
    <w:tmpl w:val="5218EE94"/>
    <w:lvl w:ilvl="0">
      <w:start w:val="1"/>
      <w:numFmt w:val="decimal"/>
      <w:lvlText w:val="(%1)"/>
      <w:lvlJc w:val="left"/>
      <w:pPr>
        <w:ind w:left="2040" w:hanging="480"/>
      </w:pPr>
      <w:rPr>
        <w:rFonts w:ascii="Book Antiqua" w:hAnsi="Book Antiqua" w:cs="Arial"/>
        <w:b w:val="0"/>
        <w:i w:val="0"/>
        <w:color w:val="000000"/>
        <w:sz w:val="28"/>
        <w:szCs w:val="28"/>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45">
    <w:nsid w:val="5E9F3640"/>
    <w:multiLevelType w:val="multilevel"/>
    <w:tmpl w:val="D66A3712"/>
    <w:lvl w:ilvl="0">
      <w:start w:val="1"/>
      <w:numFmt w:val="decimal"/>
      <w:lvlText w:val="%1、"/>
      <w:lvlJc w:val="left"/>
      <w:pPr>
        <w:ind w:left="1860" w:hanging="480"/>
      </w:pPr>
      <w:rPr>
        <w:rFonts w:ascii="Book Antiqua" w:hAnsi="Book Antiqua" w:cs="Arial"/>
        <w:color w:val="000000"/>
        <w:sz w:val="28"/>
        <w:szCs w:val="28"/>
      </w:rPr>
    </w:lvl>
    <w:lvl w:ilvl="1">
      <w:start w:val="1"/>
      <w:numFmt w:val="ideographTraditional"/>
      <w:lvlText w:val="%2、"/>
      <w:lvlJc w:val="left"/>
      <w:pPr>
        <w:ind w:left="2340" w:hanging="480"/>
      </w:pPr>
    </w:lvl>
    <w:lvl w:ilvl="2">
      <w:start w:val="1"/>
      <w:numFmt w:val="lowerRoman"/>
      <w:lvlText w:val="%3."/>
      <w:lvlJc w:val="right"/>
      <w:pPr>
        <w:ind w:left="2820" w:hanging="480"/>
      </w:pPr>
    </w:lvl>
    <w:lvl w:ilvl="3">
      <w:start w:val="1"/>
      <w:numFmt w:val="decimal"/>
      <w:lvlText w:val="%4."/>
      <w:lvlJc w:val="left"/>
      <w:pPr>
        <w:ind w:left="3300" w:hanging="480"/>
      </w:pPr>
    </w:lvl>
    <w:lvl w:ilvl="4">
      <w:start w:val="1"/>
      <w:numFmt w:val="ideographTraditional"/>
      <w:lvlText w:val="%5、"/>
      <w:lvlJc w:val="left"/>
      <w:pPr>
        <w:ind w:left="3780" w:hanging="480"/>
      </w:pPr>
    </w:lvl>
    <w:lvl w:ilvl="5">
      <w:start w:val="1"/>
      <w:numFmt w:val="lowerRoman"/>
      <w:lvlText w:val="%6."/>
      <w:lvlJc w:val="right"/>
      <w:pPr>
        <w:ind w:left="4260" w:hanging="480"/>
      </w:pPr>
    </w:lvl>
    <w:lvl w:ilvl="6">
      <w:start w:val="1"/>
      <w:numFmt w:val="decimal"/>
      <w:lvlText w:val="%7."/>
      <w:lvlJc w:val="left"/>
      <w:pPr>
        <w:ind w:left="4740" w:hanging="480"/>
      </w:pPr>
    </w:lvl>
    <w:lvl w:ilvl="7">
      <w:start w:val="1"/>
      <w:numFmt w:val="ideographTraditional"/>
      <w:lvlText w:val="%8、"/>
      <w:lvlJc w:val="left"/>
      <w:pPr>
        <w:ind w:left="5220" w:hanging="480"/>
      </w:pPr>
    </w:lvl>
    <w:lvl w:ilvl="8">
      <w:start w:val="1"/>
      <w:numFmt w:val="lowerRoman"/>
      <w:lvlText w:val="%9."/>
      <w:lvlJc w:val="right"/>
      <w:pPr>
        <w:ind w:left="5700" w:hanging="480"/>
      </w:pPr>
    </w:lvl>
  </w:abstractNum>
  <w:abstractNum w:abstractNumId="46">
    <w:nsid w:val="5F884006"/>
    <w:multiLevelType w:val="multilevel"/>
    <w:tmpl w:val="CB841C66"/>
    <w:lvl w:ilvl="0">
      <w:start w:val="1"/>
      <w:numFmt w:val="taiwaneseCountingThousand"/>
      <w:lvlText w:val="%1、"/>
      <w:lvlJc w:val="left"/>
      <w:pPr>
        <w:ind w:left="883" w:hanging="480"/>
      </w:pPr>
      <w:rPr>
        <w:rFonts w:ascii="Book Antiqua" w:hAnsi="Book Antiqua"/>
        <w:b w:val="0"/>
        <w:sz w:val="28"/>
        <w:szCs w:val="28"/>
      </w:rPr>
    </w:lvl>
    <w:lvl w:ilvl="1">
      <w:start w:val="1"/>
      <w:numFmt w:val="ideographTraditional"/>
      <w:lvlText w:val="%2、"/>
      <w:lvlJc w:val="left"/>
      <w:pPr>
        <w:ind w:left="1363" w:hanging="480"/>
      </w:pPr>
    </w:lvl>
    <w:lvl w:ilvl="2">
      <w:start w:val="1"/>
      <w:numFmt w:val="lowerRoman"/>
      <w:lvlText w:val="%3."/>
      <w:lvlJc w:val="right"/>
      <w:pPr>
        <w:ind w:left="1843" w:hanging="480"/>
      </w:pPr>
    </w:lvl>
    <w:lvl w:ilvl="3">
      <w:start w:val="1"/>
      <w:numFmt w:val="decimal"/>
      <w:lvlText w:val="%4."/>
      <w:lvlJc w:val="left"/>
      <w:pPr>
        <w:ind w:left="2323" w:hanging="480"/>
      </w:pPr>
    </w:lvl>
    <w:lvl w:ilvl="4">
      <w:start w:val="1"/>
      <w:numFmt w:val="ideographTraditional"/>
      <w:lvlText w:val="%5、"/>
      <w:lvlJc w:val="left"/>
      <w:pPr>
        <w:ind w:left="2803" w:hanging="480"/>
      </w:pPr>
    </w:lvl>
    <w:lvl w:ilvl="5">
      <w:start w:val="1"/>
      <w:numFmt w:val="lowerRoman"/>
      <w:lvlText w:val="%6."/>
      <w:lvlJc w:val="right"/>
      <w:pPr>
        <w:ind w:left="3283" w:hanging="480"/>
      </w:pPr>
    </w:lvl>
    <w:lvl w:ilvl="6">
      <w:start w:val="1"/>
      <w:numFmt w:val="decimal"/>
      <w:lvlText w:val="%7."/>
      <w:lvlJc w:val="left"/>
      <w:pPr>
        <w:ind w:left="3763" w:hanging="480"/>
      </w:pPr>
    </w:lvl>
    <w:lvl w:ilvl="7">
      <w:start w:val="1"/>
      <w:numFmt w:val="ideographTraditional"/>
      <w:lvlText w:val="%8、"/>
      <w:lvlJc w:val="left"/>
      <w:pPr>
        <w:ind w:left="4243" w:hanging="480"/>
      </w:pPr>
    </w:lvl>
    <w:lvl w:ilvl="8">
      <w:start w:val="1"/>
      <w:numFmt w:val="lowerRoman"/>
      <w:lvlText w:val="%9."/>
      <w:lvlJc w:val="right"/>
      <w:pPr>
        <w:ind w:left="4723" w:hanging="480"/>
      </w:pPr>
    </w:lvl>
  </w:abstractNum>
  <w:abstractNum w:abstractNumId="47">
    <w:nsid w:val="61B656A2"/>
    <w:multiLevelType w:val="multilevel"/>
    <w:tmpl w:val="A9E65C9A"/>
    <w:lvl w:ilvl="0">
      <w:start w:val="1"/>
      <w:numFmt w:val="taiwaneseCountingThousand"/>
      <w:lvlText w:val="(%1)"/>
      <w:lvlJc w:val="left"/>
      <w:pPr>
        <w:ind w:left="3316" w:hanging="480"/>
      </w:pPr>
      <w:rPr>
        <w:rFonts w:ascii="標楷體" w:eastAsia="標楷體" w:hAnsi="標楷體"/>
        <w:b w:val="0"/>
      </w:rPr>
    </w:lvl>
    <w:lvl w:ilvl="1">
      <w:start w:val="1"/>
      <w:numFmt w:val="ideographTraditional"/>
      <w:lvlText w:val="%2、"/>
      <w:lvlJc w:val="left"/>
      <w:pPr>
        <w:ind w:left="1760" w:hanging="480"/>
      </w:pPr>
    </w:lvl>
    <w:lvl w:ilvl="2">
      <w:start w:val="1"/>
      <w:numFmt w:val="lowerRoman"/>
      <w:lvlText w:val="%3."/>
      <w:lvlJc w:val="right"/>
      <w:pPr>
        <w:ind w:left="2240" w:hanging="480"/>
      </w:pPr>
    </w:lvl>
    <w:lvl w:ilvl="3">
      <w:start w:val="1"/>
      <w:numFmt w:val="decimal"/>
      <w:lvlText w:val="%4."/>
      <w:lvlJc w:val="left"/>
      <w:pPr>
        <w:ind w:left="2720" w:hanging="480"/>
      </w:pPr>
    </w:lvl>
    <w:lvl w:ilvl="4">
      <w:start w:val="1"/>
      <w:numFmt w:val="ideographTraditional"/>
      <w:lvlText w:val="%5、"/>
      <w:lvlJc w:val="left"/>
      <w:pPr>
        <w:ind w:left="3200" w:hanging="480"/>
      </w:pPr>
    </w:lvl>
    <w:lvl w:ilvl="5">
      <w:start w:val="1"/>
      <w:numFmt w:val="lowerRoman"/>
      <w:lvlText w:val="%6."/>
      <w:lvlJc w:val="right"/>
      <w:pPr>
        <w:ind w:left="3680" w:hanging="480"/>
      </w:pPr>
    </w:lvl>
    <w:lvl w:ilvl="6">
      <w:start w:val="1"/>
      <w:numFmt w:val="decimal"/>
      <w:lvlText w:val="%7."/>
      <w:lvlJc w:val="left"/>
      <w:pPr>
        <w:ind w:left="4160" w:hanging="480"/>
      </w:pPr>
    </w:lvl>
    <w:lvl w:ilvl="7">
      <w:start w:val="1"/>
      <w:numFmt w:val="ideographTraditional"/>
      <w:lvlText w:val="%8、"/>
      <w:lvlJc w:val="left"/>
      <w:pPr>
        <w:ind w:left="4640" w:hanging="480"/>
      </w:pPr>
    </w:lvl>
    <w:lvl w:ilvl="8">
      <w:start w:val="1"/>
      <w:numFmt w:val="lowerRoman"/>
      <w:lvlText w:val="%9."/>
      <w:lvlJc w:val="right"/>
      <w:pPr>
        <w:ind w:left="5120" w:hanging="480"/>
      </w:pPr>
    </w:lvl>
  </w:abstractNum>
  <w:abstractNum w:abstractNumId="48">
    <w:nsid w:val="61FC5760"/>
    <w:multiLevelType w:val="multilevel"/>
    <w:tmpl w:val="A874DCBA"/>
    <w:lvl w:ilvl="0">
      <w:start w:val="1"/>
      <w:numFmt w:val="decimal"/>
      <w:lvlText w:val="(%1)"/>
      <w:lvlJc w:val="left"/>
      <w:pPr>
        <w:ind w:left="480" w:hanging="480"/>
      </w:pPr>
      <w:rPr>
        <w:rFonts w:ascii="Book Antiqua" w:hAnsi="Book Antiqua" w:cs="Arial"/>
        <w:b w:val="0"/>
        <w:i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63352AD0"/>
    <w:multiLevelType w:val="multilevel"/>
    <w:tmpl w:val="3C66921E"/>
    <w:lvl w:ilvl="0">
      <w:start w:val="1"/>
      <w:numFmt w:val="upperLetter"/>
      <w:lvlText w:val="%1."/>
      <w:lvlJc w:val="left"/>
      <w:pPr>
        <w:ind w:left="425" w:hanging="425"/>
      </w:pPr>
      <w:rPr>
        <w:b w:val="0"/>
        <w:i w:val="0"/>
        <w:sz w:val="24"/>
        <w:szCs w:val="24"/>
      </w:rPr>
    </w:lvl>
    <w:lvl w:ilvl="1">
      <w:start w:val="1"/>
      <w:numFmt w:val="taiwaneseCountingThousand"/>
      <w:lvlText w:val="%2、"/>
      <w:lvlJc w:val="left"/>
      <w:pPr>
        <w:ind w:left="425" w:hanging="425"/>
      </w:pPr>
      <w:rPr>
        <w:rFonts w:ascii="標楷體" w:eastAsia="標楷體" w:hAnsi="標楷體"/>
        <w:b w:val="0"/>
        <w:i w:val="0"/>
        <w:color w:val="auto"/>
        <w:sz w:val="24"/>
        <w:lang w:val="en-US"/>
      </w:rPr>
    </w:lvl>
    <w:lvl w:ilvl="2">
      <w:start w:val="1"/>
      <w:numFmt w:val="taiwaneseCountingThousand"/>
      <w:lvlText w:val="(%3)"/>
      <w:lvlJc w:val="left"/>
      <w:pPr>
        <w:ind w:left="601" w:hanging="425"/>
      </w:pPr>
      <w:rPr>
        <w:rFonts w:ascii="標楷體" w:eastAsia="標楷體" w:hAnsi="標楷體"/>
        <w:b w:val="0"/>
        <w:i w:val="0"/>
        <w:sz w:val="24"/>
      </w:rPr>
    </w:lvl>
    <w:lvl w:ilvl="3">
      <w:start w:val="1"/>
      <w:numFmt w:val="decimal"/>
      <w:lvlText w:val="%4."/>
      <w:lvlJc w:val="left"/>
      <w:pPr>
        <w:ind w:left="1026" w:hanging="425"/>
      </w:pPr>
      <w:rPr>
        <w:rFonts w:ascii="Times New Roman" w:hAnsi="Times New Roman" w:cs="Times New Roman"/>
        <w:b w:val="0"/>
        <w:i w:val="0"/>
        <w:sz w:val="24"/>
      </w:rPr>
    </w:lvl>
    <w:lvl w:ilvl="4">
      <w:start w:val="1"/>
      <w:numFmt w:val="decimal"/>
      <w:lvlText w:val="(%5)"/>
      <w:lvlJc w:val="left"/>
      <w:pPr>
        <w:ind w:left="1625" w:hanging="425"/>
      </w:pPr>
      <w:rPr>
        <w:rFonts w:ascii="Times New Roman" w:hAnsi="Times New Roman" w:cs="Times New Roman"/>
        <w:b w:val="0"/>
        <w:i w:val="0"/>
        <w:sz w:val="24"/>
      </w:rPr>
    </w:lvl>
    <w:lvl w:ilvl="5">
      <w:start w:val="1"/>
      <w:numFmt w:val="lowerLetter"/>
      <w:lvlText w:val="(%6)"/>
      <w:lvlJc w:val="left"/>
      <w:pPr>
        <w:ind w:left="1876" w:hanging="425"/>
      </w:pPr>
      <w:rPr>
        <w:rFonts w:ascii="標楷體" w:eastAsia="標楷體" w:hAnsi="標楷體"/>
        <w:b w:val="0"/>
        <w:i w:val="0"/>
        <w:sz w:val="24"/>
      </w:rPr>
    </w:lvl>
    <w:lvl w:ilvl="6">
      <w:start w:val="1"/>
      <w:numFmt w:val="lowerRoman"/>
      <w:lvlText w:val="(%7)"/>
      <w:lvlJc w:val="left"/>
      <w:pPr>
        <w:ind w:left="2301" w:hanging="425"/>
      </w:pPr>
    </w:lvl>
    <w:lvl w:ilvl="7">
      <w:start w:val="1"/>
      <w:numFmt w:val="lowerLetter"/>
      <w:lvlText w:val="(%8)"/>
      <w:lvlJc w:val="left"/>
      <w:pPr>
        <w:ind w:left="2726" w:hanging="425"/>
      </w:pPr>
    </w:lvl>
    <w:lvl w:ilvl="8">
      <w:start w:val="1"/>
      <w:numFmt w:val="lowerRoman"/>
      <w:lvlText w:val="(%9)"/>
      <w:lvlJc w:val="left"/>
      <w:pPr>
        <w:ind w:left="3151" w:hanging="425"/>
      </w:pPr>
    </w:lvl>
  </w:abstractNum>
  <w:abstractNum w:abstractNumId="50">
    <w:nsid w:val="66FC29D4"/>
    <w:multiLevelType w:val="multilevel"/>
    <w:tmpl w:val="EEE6B7E0"/>
    <w:lvl w:ilvl="0">
      <w:start w:val="1"/>
      <w:numFmt w:val="upperLetter"/>
      <w:lvlText w:val="%1."/>
      <w:lvlJc w:val="left"/>
      <w:pPr>
        <w:ind w:left="425" w:hanging="425"/>
      </w:pPr>
      <w:rPr>
        <w:b w:val="0"/>
        <w:i w:val="0"/>
        <w:color w:val="000000"/>
        <w:sz w:val="24"/>
        <w:szCs w:val="24"/>
      </w:rPr>
    </w:lvl>
    <w:lvl w:ilvl="1">
      <w:start w:val="1"/>
      <w:numFmt w:val="taiwaneseCountingThousand"/>
      <w:lvlText w:val="%2、"/>
      <w:lvlJc w:val="left"/>
      <w:pPr>
        <w:ind w:left="425" w:hanging="425"/>
      </w:pPr>
      <w:rPr>
        <w:rFonts w:ascii="標楷體" w:eastAsia="標楷體" w:hAnsi="標楷體"/>
        <w:b w:val="0"/>
        <w:i w:val="0"/>
        <w:color w:val="auto"/>
        <w:sz w:val="24"/>
      </w:rPr>
    </w:lvl>
    <w:lvl w:ilvl="2">
      <w:start w:val="1"/>
      <w:numFmt w:val="taiwaneseCountingThousand"/>
      <w:lvlText w:val="(%3)"/>
      <w:lvlJc w:val="left"/>
      <w:pPr>
        <w:ind w:left="601" w:hanging="425"/>
      </w:pPr>
      <w:rPr>
        <w:rFonts w:ascii="標楷體" w:eastAsia="標楷體" w:hAnsi="標楷體"/>
        <w:b w:val="0"/>
        <w:i w:val="0"/>
        <w:sz w:val="24"/>
      </w:rPr>
    </w:lvl>
    <w:lvl w:ilvl="3">
      <w:start w:val="1"/>
      <w:numFmt w:val="decimal"/>
      <w:lvlText w:val="%4."/>
      <w:lvlJc w:val="left"/>
      <w:pPr>
        <w:ind w:left="1026" w:hanging="425"/>
      </w:pPr>
      <w:rPr>
        <w:rFonts w:ascii="Times New Roman" w:hAnsi="Times New Roman" w:cs="Times New Roman"/>
        <w:b w:val="0"/>
        <w:i w:val="0"/>
        <w:sz w:val="24"/>
      </w:rPr>
    </w:lvl>
    <w:lvl w:ilvl="4">
      <w:start w:val="1"/>
      <w:numFmt w:val="decimal"/>
      <w:lvlText w:val="(%5)"/>
      <w:lvlJc w:val="left"/>
      <w:pPr>
        <w:ind w:left="1625" w:hanging="425"/>
      </w:pPr>
      <w:rPr>
        <w:rFonts w:ascii="Times New Roman" w:hAnsi="Times New Roman" w:cs="Times New Roman"/>
        <w:b w:val="0"/>
        <w:i w:val="0"/>
        <w:sz w:val="24"/>
      </w:rPr>
    </w:lvl>
    <w:lvl w:ilvl="5">
      <w:start w:val="1"/>
      <w:numFmt w:val="lowerLetter"/>
      <w:lvlText w:val="(%6)"/>
      <w:lvlJc w:val="left"/>
      <w:pPr>
        <w:ind w:left="1876" w:hanging="425"/>
      </w:pPr>
      <w:rPr>
        <w:rFonts w:ascii="標楷體" w:eastAsia="標楷體" w:hAnsi="標楷體"/>
        <w:b w:val="0"/>
        <w:i w:val="0"/>
        <w:sz w:val="24"/>
      </w:rPr>
    </w:lvl>
    <w:lvl w:ilvl="6">
      <w:start w:val="1"/>
      <w:numFmt w:val="lowerRoman"/>
      <w:lvlText w:val="(%7)"/>
      <w:lvlJc w:val="left"/>
      <w:pPr>
        <w:ind w:left="2301" w:hanging="425"/>
      </w:pPr>
    </w:lvl>
    <w:lvl w:ilvl="7">
      <w:start w:val="1"/>
      <w:numFmt w:val="lowerLetter"/>
      <w:lvlText w:val="(%8)"/>
      <w:lvlJc w:val="left"/>
      <w:pPr>
        <w:ind w:left="2726" w:hanging="425"/>
      </w:pPr>
    </w:lvl>
    <w:lvl w:ilvl="8">
      <w:start w:val="1"/>
      <w:numFmt w:val="lowerRoman"/>
      <w:lvlText w:val="(%9)"/>
      <w:lvlJc w:val="left"/>
      <w:pPr>
        <w:ind w:left="3151" w:hanging="425"/>
      </w:pPr>
    </w:lvl>
  </w:abstractNum>
  <w:abstractNum w:abstractNumId="51">
    <w:nsid w:val="689A1725"/>
    <w:multiLevelType w:val="multilevel"/>
    <w:tmpl w:val="515E1BAE"/>
    <w:lvl w:ilvl="0">
      <w:start w:val="1"/>
      <w:numFmt w:val="decimal"/>
      <w:lvlText w:val="(%1)"/>
      <w:lvlJc w:val="left"/>
      <w:pPr>
        <w:ind w:left="1880" w:hanging="480"/>
      </w:pPr>
      <w:rPr>
        <w:rFonts w:ascii="Book Antiqua" w:hAnsi="Book Antiqua" w:cs="Arial"/>
        <w:b w:val="0"/>
        <w:i w:val="0"/>
        <w:color w:val="00000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52">
    <w:nsid w:val="68D16ABA"/>
    <w:multiLevelType w:val="multilevel"/>
    <w:tmpl w:val="45D0A7F6"/>
    <w:lvl w:ilvl="0">
      <w:start w:val="1"/>
      <w:numFmt w:val="taiwaneseCountingThousand"/>
      <w:lvlText w:val="%1、"/>
      <w:lvlJc w:val="left"/>
      <w:pPr>
        <w:ind w:left="883" w:hanging="480"/>
      </w:pPr>
      <w:rPr>
        <w:b/>
        <w:sz w:val="32"/>
        <w:szCs w:val="32"/>
      </w:rPr>
    </w:lvl>
    <w:lvl w:ilvl="1">
      <w:start w:val="1"/>
      <w:numFmt w:val="ideographTraditional"/>
      <w:lvlText w:val="%2、"/>
      <w:lvlJc w:val="left"/>
      <w:pPr>
        <w:ind w:left="1363" w:hanging="480"/>
      </w:pPr>
    </w:lvl>
    <w:lvl w:ilvl="2">
      <w:start w:val="1"/>
      <w:numFmt w:val="taiwaneseCountingThousand"/>
      <w:lvlText w:val="(%3)"/>
      <w:lvlJc w:val="left"/>
      <w:pPr>
        <w:ind w:left="2083" w:hanging="720"/>
      </w:pPr>
    </w:lvl>
    <w:lvl w:ilvl="3">
      <w:start w:val="1"/>
      <w:numFmt w:val="decimal"/>
      <w:lvlText w:val="%4."/>
      <w:lvlJc w:val="left"/>
      <w:pPr>
        <w:ind w:left="2323" w:hanging="480"/>
      </w:pPr>
    </w:lvl>
    <w:lvl w:ilvl="4">
      <w:start w:val="1"/>
      <w:numFmt w:val="ideographTraditional"/>
      <w:lvlText w:val="%5、"/>
      <w:lvlJc w:val="left"/>
      <w:pPr>
        <w:ind w:left="2803" w:hanging="480"/>
      </w:pPr>
    </w:lvl>
    <w:lvl w:ilvl="5">
      <w:start w:val="1"/>
      <w:numFmt w:val="lowerRoman"/>
      <w:lvlText w:val="%6."/>
      <w:lvlJc w:val="right"/>
      <w:pPr>
        <w:ind w:left="3283" w:hanging="480"/>
      </w:pPr>
    </w:lvl>
    <w:lvl w:ilvl="6">
      <w:start w:val="1"/>
      <w:numFmt w:val="decimal"/>
      <w:lvlText w:val="%7."/>
      <w:lvlJc w:val="left"/>
      <w:pPr>
        <w:ind w:left="3763" w:hanging="480"/>
      </w:pPr>
    </w:lvl>
    <w:lvl w:ilvl="7">
      <w:start w:val="1"/>
      <w:numFmt w:val="ideographTraditional"/>
      <w:lvlText w:val="%8、"/>
      <w:lvlJc w:val="left"/>
      <w:pPr>
        <w:ind w:left="4243" w:hanging="480"/>
      </w:pPr>
    </w:lvl>
    <w:lvl w:ilvl="8">
      <w:start w:val="1"/>
      <w:numFmt w:val="lowerRoman"/>
      <w:lvlText w:val="%9."/>
      <w:lvlJc w:val="right"/>
      <w:pPr>
        <w:ind w:left="4723" w:hanging="480"/>
      </w:pPr>
    </w:lvl>
  </w:abstractNum>
  <w:abstractNum w:abstractNumId="53">
    <w:nsid w:val="6933274A"/>
    <w:multiLevelType w:val="multilevel"/>
    <w:tmpl w:val="131A53AA"/>
    <w:lvl w:ilvl="0">
      <w:start w:val="1"/>
      <w:numFmt w:val="decimal"/>
      <w:lvlText w:val="(%1)"/>
      <w:lvlJc w:val="left"/>
      <w:pPr>
        <w:ind w:left="2060" w:hanging="360"/>
      </w:pPr>
      <w:rPr>
        <w:rFonts w:cs="Arial"/>
        <w:b w:val="0"/>
        <w:i w:val="0"/>
        <w:color w:val="000000"/>
        <w:sz w:val="28"/>
        <w:szCs w:val="28"/>
      </w:rPr>
    </w:lvl>
    <w:lvl w:ilvl="1">
      <w:start w:val="1"/>
      <w:numFmt w:val="ideographTraditional"/>
      <w:lvlText w:val="%2、"/>
      <w:lvlJc w:val="left"/>
      <w:pPr>
        <w:ind w:left="2660" w:hanging="480"/>
      </w:pPr>
    </w:lvl>
    <w:lvl w:ilvl="2">
      <w:start w:val="1"/>
      <w:numFmt w:val="lowerRoman"/>
      <w:lvlText w:val="%3."/>
      <w:lvlJc w:val="right"/>
      <w:pPr>
        <w:ind w:left="3140" w:hanging="480"/>
      </w:pPr>
    </w:lvl>
    <w:lvl w:ilvl="3">
      <w:start w:val="1"/>
      <w:numFmt w:val="decimal"/>
      <w:lvlText w:val="%4."/>
      <w:lvlJc w:val="left"/>
      <w:pPr>
        <w:ind w:left="3620" w:hanging="480"/>
      </w:pPr>
    </w:lvl>
    <w:lvl w:ilvl="4">
      <w:start w:val="1"/>
      <w:numFmt w:val="ideographTraditional"/>
      <w:lvlText w:val="%5、"/>
      <w:lvlJc w:val="left"/>
      <w:pPr>
        <w:ind w:left="4100" w:hanging="480"/>
      </w:pPr>
    </w:lvl>
    <w:lvl w:ilvl="5">
      <w:start w:val="1"/>
      <w:numFmt w:val="lowerRoman"/>
      <w:lvlText w:val="%6."/>
      <w:lvlJc w:val="right"/>
      <w:pPr>
        <w:ind w:left="4580" w:hanging="480"/>
      </w:pPr>
    </w:lvl>
    <w:lvl w:ilvl="6">
      <w:start w:val="1"/>
      <w:numFmt w:val="decimal"/>
      <w:lvlText w:val="%7."/>
      <w:lvlJc w:val="left"/>
      <w:pPr>
        <w:ind w:left="5060" w:hanging="480"/>
      </w:pPr>
    </w:lvl>
    <w:lvl w:ilvl="7">
      <w:start w:val="1"/>
      <w:numFmt w:val="ideographTraditional"/>
      <w:lvlText w:val="%8、"/>
      <w:lvlJc w:val="left"/>
      <w:pPr>
        <w:ind w:left="5540" w:hanging="480"/>
      </w:pPr>
    </w:lvl>
    <w:lvl w:ilvl="8">
      <w:start w:val="1"/>
      <w:numFmt w:val="lowerRoman"/>
      <w:lvlText w:val="%9."/>
      <w:lvlJc w:val="right"/>
      <w:pPr>
        <w:ind w:left="6020" w:hanging="480"/>
      </w:pPr>
    </w:lvl>
  </w:abstractNum>
  <w:abstractNum w:abstractNumId="54">
    <w:nsid w:val="6B16035A"/>
    <w:multiLevelType w:val="multilevel"/>
    <w:tmpl w:val="68F270BC"/>
    <w:lvl w:ilvl="0">
      <w:start w:val="1"/>
      <w:numFmt w:val="taiwaneseCountingThousand"/>
      <w:lvlText w:val="%1、"/>
      <w:lvlJc w:val="left"/>
      <w:pPr>
        <w:ind w:left="1670" w:hanging="482"/>
      </w:pPr>
    </w:lvl>
    <w:lvl w:ilvl="1">
      <w:start w:val="1"/>
      <w:numFmt w:val="taiwaneseCountingThousand"/>
      <w:lvlText w:val="(%2)"/>
      <w:lvlJc w:val="left"/>
      <w:pPr>
        <w:ind w:left="1812" w:hanging="624"/>
      </w:pPr>
      <w:rPr>
        <w:rFonts w:ascii="標楷體" w:eastAsia="標楷體" w:hAnsi="標楷體"/>
      </w:r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5">
    <w:nsid w:val="6BBA04C2"/>
    <w:multiLevelType w:val="multilevel"/>
    <w:tmpl w:val="4BF6B216"/>
    <w:lvl w:ilvl="0">
      <w:start w:val="1"/>
      <w:numFmt w:val="taiwaneseCountingThousand"/>
      <w:lvlText w:val="(%1)"/>
      <w:lvlJc w:val="left"/>
      <w:pPr>
        <w:ind w:left="1840" w:hanging="480"/>
      </w:pPr>
      <w:rPr>
        <w:b w:val="0"/>
        <w:i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nsid w:val="6F7B1E96"/>
    <w:multiLevelType w:val="multilevel"/>
    <w:tmpl w:val="27069A28"/>
    <w:lvl w:ilvl="0">
      <w:start w:val="1"/>
      <w:numFmt w:val="decimal"/>
      <w:lvlText w:val="%1、"/>
      <w:lvlJc w:val="left"/>
      <w:pPr>
        <w:ind w:left="1880" w:hanging="480"/>
      </w:pPr>
      <w:rPr>
        <w:rFonts w:ascii="Book Antiqua" w:hAnsi="Book Antiqua" w:cs="Arial"/>
        <w:color w:val="00000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57">
    <w:nsid w:val="6FBE19A8"/>
    <w:multiLevelType w:val="multilevel"/>
    <w:tmpl w:val="D7C05C94"/>
    <w:lvl w:ilvl="0">
      <w:start w:val="1"/>
      <w:numFmt w:val="taiwaneseCountingThousand"/>
      <w:lvlText w:val="(%1)"/>
      <w:lvlJc w:val="left"/>
      <w:pPr>
        <w:ind w:left="2120" w:hanging="720"/>
      </w:pPr>
      <w:rPr>
        <w:rFonts w:ascii="標楷體" w:eastAsia="標楷體" w:hAnsi="標楷體"/>
        <w:b w:val="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1899"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58">
    <w:nsid w:val="706C416A"/>
    <w:multiLevelType w:val="multilevel"/>
    <w:tmpl w:val="715C619E"/>
    <w:lvl w:ilvl="0">
      <w:start w:val="1"/>
      <w:numFmt w:val="taiwaneseCountingThousand"/>
      <w:lvlText w:val="(%1)"/>
      <w:lvlJc w:val="left"/>
      <w:pPr>
        <w:ind w:left="1330" w:hanging="480"/>
      </w:pPr>
      <w:rPr>
        <w:rFonts w:ascii="標楷體" w:eastAsia="標楷體" w:hAnsi="標楷體"/>
        <w:b w:val="0"/>
        <w:sz w:val="28"/>
        <w:szCs w:val="28"/>
      </w:rPr>
    </w:lvl>
    <w:lvl w:ilvl="1">
      <w:start w:val="1"/>
      <w:numFmt w:val="decimal"/>
      <w:lvlText w:val="%2、"/>
      <w:lvlJc w:val="left"/>
      <w:pPr>
        <w:ind w:left="2050" w:hanging="72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59">
    <w:nsid w:val="71F40124"/>
    <w:multiLevelType w:val="multilevel"/>
    <w:tmpl w:val="D3E48E48"/>
    <w:lvl w:ilvl="0">
      <w:start w:val="1"/>
      <w:numFmt w:val="decimal"/>
      <w:lvlText w:val="(%1)"/>
      <w:lvlJc w:val="left"/>
      <w:pPr>
        <w:ind w:left="480" w:hanging="480"/>
      </w:pPr>
      <w:rPr>
        <w:rFonts w:ascii="Book Antiqua" w:hAnsi="Book Antiqua" w:cs="Arial"/>
        <w:b w:val="0"/>
        <w:i w:val="0"/>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nsid w:val="73490979"/>
    <w:multiLevelType w:val="multilevel"/>
    <w:tmpl w:val="4BBCC88A"/>
    <w:lvl w:ilvl="0">
      <w:start w:val="1"/>
      <w:numFmt w:val="decimal"/>
      <w:lvlText w:val="%1."/>
      <w:lvlJc w:val="left"/>
      <w:pPr>
        <w:ind w:left="8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771711B3"/>
    <w:multiLevelType w:val="multilevel"/>
    <w:tmpl w:val="570E4246"/>
    <w:lvl w:ilvl="0">
      <w:start w:val="1"/>
      <w:numFmt w:val="decimal"/>
      <w:lvlText w:val="(%1)"/>
      <w:lvlJc w:val="left"/>
      <w:pPr>
        <w:ind w:left="1880" w:hanging="480"/>
      </w:pPr>
      <w:rPr>
        <w:rFonts w:ascii="Book Antiqua" w:hAnsi="Book Antiqua" w:cs="Arial"/>
        <w:b w:val="0"/>
        <w:i w:val="0"/>
        <w:color w:val="00000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62">
    <w:nsid w:val="79D06672"/>
    <w:multiLevelType w:val="multilevel"/>
    <w:tmpl w:val="C8DE7860"/>
    <w:lvl w:ilvl="0">
      <w:start w:val="1"/>
      <w:numFmt w:val="upperLetter"/>
      <w:lvlText w:val="%1."/>
      <w:lvlJc w:val="left"/>
      <w:pPr>
        <w:ind w:left="425" w:hanging="425"/>
      </w:pPr>
      <w:rPr>
        <w:b w:val="0"/>
        <w:i w:val="0"/>
        <w:sz w:val="24"/>
        <w:szCs w:val="24"/>
      </w:rPr>
    </w:lvl>
    <w:lvl w:ilvl="1">
      <w:start w:val="1"/>
      <w:numFmt w:val="taiwaneseCountingThousand"/>
      <w:lvlText w:val="%2、"/>
      <w:lvlJc w:val="left"/>
      <w:pPr>
        <w:ind w:left="425" w:hanging="425"/>
      </w:pPr>
      <w:rPr>
        <w:rFonts w:ascii="標楷體" w:eastAsia="標楷體" w:hAnsi="標楷體"/>
        <w:b w:val="0"/>
        <w:i w:val="0"/>
        <w:color w:val="auto"/>
        <w:sz w:val="24"/>
      </w:rPr>
    </w:lvl>
    <w:lvl w:ilvl="2">
      <w:start w:val="1"/>
      <w:numFmt w:val="taiwaneseCountingThousand"/>
      <w:lvlText w:val="(%3)"/>
      <w:lvlJc w:val="left"/>
      <w:pPr>
        <w:ind w:left="601" w:hanging="425"/>
      </w:pPr>
      <w:rPr>
        <w:rFonts w:ascii="標楷體" w:eastAsia="標楷體" w:hAnsi="標楷體"/>
        <w:b w:val="0"/>
        <w:i w:val="0"/>
        <w:sz w:val="24"/>
      </w:rPr>
    </w:lvl>
    <w:lvl w:ilvl="3">
      <w:start w:val="1"/>
      <w:numFmt w:val="decimal"/>
      <w:lvlText w:val="%4."/>
      <w:lvlJc w:val="left"/>
      <w:pPr>
        <w:ind w:left="1026" w:hanging="425"/>
      </w:pPr>
      <w:rPr>
        <w:rFonts w:ascii="Times New Roman" w:hAnsi="Times New Roman" w:cs="Times New Roman"/>
        <w:b w:val="0"/>
        <w:i w:val="0"/>
        <w:sz w:val="24"/>
      </w:rPr>
    </w:lvl>
    <w:lvl w:ilvl="4">
      <w:start w:val="1"/>
      <w:numFmt w:val="decimal"/>
      <w:lvlText w:val="(%5)"/>
      <w:lvlJc w:val="left"/>
      <w:pPr>
        <w:ind w:left="1625" w:hanging="425"/>
      </w:pPr>
      <w:rPr>
        <w:rFonts w:ascii="Times New Roman" w:hAnsi="Times New Roman" w:cs="Times New Roman"/>
        <w:b w:val="0"/>
        <w:i w:val="0"/>
        <w:sz w:val="24"/>
      </w:rPr>
    </w:lvl>
    <w:lvl w:ilvl="5">
      <w:start w:val="1"/>
      <w:numFmt w:val="lowerLetter"/>
      <w:lvlText w:val="(%6)"/>
      <w:lvlJc w:val="left"/>
      <w:pPr>
        <w:ind w:left="1876" w:hanging="425"/>
      </w:pPr>
      <w:rPr>
        <w:rFonts w:ascii="標楷體" w:eastAsia="標楷體" w:hAnsi="標楷體"/>
        <w:b w:val="0"/>
        <w:i w:val="0"/>
        <w:sz w:val="24"/>
      </w:rPr>
    </w:lvl>
    <w:lvl w:ilvl="6">
      <w:start w:val="1"/>
      <w:numFmt w:val="lowerRoman"/>
      <w:lvlText w:val="(%7)"/>
      <w:lvlJc w:val="left"/>
      <w:pPr>
        <w:ind w:left="2301" w:hanging="425"/>
      </w:pPr>
    </w:lvl>
    <w:lvl w:ilvl="7">
      <w:start w:val="1"/>
      <w:numFmt w:val="lowerLetter"/>
      <w:lvlText w:val="(%8)"/>
      <w:lvlJc w:val="left"/>
      <w:pPr>
        <w:ind w:left="2726" w:hanging="425"/>
      </w:pPr>
    </w:lvl>
    <w:lvl w:ilvl="8">
      <w:start w:val="1"/>
      <w:numFmt w:val="lowerRoman"/>
      <w:lvlText w:val="(%9)"/>
      <w:lvlJc w:val="left"/>
      <w:pPr>
        <w:ind w:left="3151" w:hanging="425"/>
      </w:pPr>
    </w:lvl>
  </w:abstractNum>
  <w:abstractNum w:abstractNumId="63">
    <w:nsid w:val="7CD54751"/>
    <w:multiLevelType w:val="multilevel"/>
    <w:tmpl w:val="450422A8"/>
    <w:lvl w:ilvl="0">
      <w:start w:val="1"/>
      <w:numFmt w:val="taiwaneseCountingThousand"/>
      <w:lvlText w:val="(%1)"/>
      <w:lvlJc w:val="left"/>
      <w:pPr>
        <w:ind w:left="2120" w:hanging="720"/>
      </w:pPr>
      <w:rPr>
        <w:rFonts w:ascii="標楷體" w:eastAsia="標楷體" w:hAnsi="標楷體"/>
        <w:b w:val="0"/>
        <w:sz w:val="28"/>
        <w:szCs w:val="28"/>
      </w:rPr>
    </w:lvl>
    <w:lvl w:ilvl="1">
      <w:start w:val="1"/>
      <w:numFmt w:val="ideographTraditional"/>
      <w:lvlText w:val="%2、"/>
      <w:lvlJc w:val="left"/>
      <w:pPr>
        <w:ind w:left="2360" w:hanging="480"/>
      </w:pPr>
    </w:lvl>
    <w:lvl w:ilvl="2">
      <w:start w:val="1"/>
      <w:numFmt w:val="lowerRoman"/>
      <w:lvlText w:val="%3."/>
      <w:lvlJc w:val="right"/>
      <w:pPr>
        <w:ind w:left="2840" w:hanging="480"/>
      </w:pPr>
    </w:lvl>
    <w:lvl w:ilvl="3">
      <w:start w:val="1"/>
      <w:numFmt w:val="decimal"/>
      <w:lvlText w:val="%4."/>
      <w:lvlJc w:val="left"/>
      <w:pPr>
        <w:ind w:left="1899" w:hanging="480"/>
      </w:pPr>
    </w:lvl>
    <w:lvl w:ilvl="4">
      <w:start w:val="1"/>
      <w:numFmt w:val="ideographTraditional"/>
      <w:lvlText w:val="%5、"/>
      <w:lvlJc w:val="left"/>
      <w:pPr>
        <w:ind w:left="3800" w:hanging="480"/>
      </w:p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lvl>
    <w:lvl w:ilvl="8">
      <w:start w:val="1"/>
      <w:numFmt w:val="lowerRoman"/>
      <w:lvlText w:val="%9."/>
      <w:lvlJc w:val="right"/>
      <w:pPr>
        <w:ind w:left="5720" w:hanging="480"/>
      </w:pPr>
    </w:lvl>
  </w:abstractNum>
  <w:abstractNum w:abstractNumId="64">
    <w:nsid w:val="7DDA7397"/>
    <w:multiLevelType w:val="multilevel"/>
    <w:tmpl w:val="4D1C8742"/>
    <w:lvl w:ilvl="0">
      <w:start w:val="1"/>
      <w:numFmt w:val="upperLetter"/>
      <w:lvlText w:val="%1."/>
      <w:lvlJc w:val="left"/>
      <w:pPr>
        <w:ind w:left="2380" w:hanging="480"/>
      </w:pPr>
    </w:lvl>
    <w:lvl w:ilvl="1">
      <w:start w:val="1"/>
      <w:numFmt w:val="ideographTraditional"/>
      <w:lvlText w:val="%2、"/>
      <w:lvlJc w:val="left"/>
      <w:pPr>
        <w:ind w:left="2860" w:hanging="480"/>
      </w:pPr>
    </w:lvl>
    <w:lvl w:ilvl="2">
      <w:start w:val="1"/>
      <w:numFmt w:val="lowerRoman"/>
      <w:lvlText w:val="%3."/>
      <w:lvlJc w:val="right"/>
      <w:pPr>
        <w:ind w:left="3340" w:hanging="480"/>
      </w:pPr>
    </w:lvl>
    <w:lvl w:ilvl="3">
      <w:start w:val="1"/>
      <w:numFmt w:val="decimal"/>
      <w:lvlText w:val="%4."/>
      <w:lvlJc w:val="left"/>
      <w:pPr>
        <w:ind w:left="3820" w:hanging="480"/>
      </w:pPr>
    </w:lvl>
    <w:lvl w:ilvl="4">
      <w:start w:val="1"/>
      <w:numFmt w:val="ideographTraditional"/>
      <w:lvlText w:val="%5、"/>
      <w:lvlJc w:val="left"/>
      <w:pPr>
        <w:ind w:left="4300" w:hanging="480"/>
      </w:pPr>
    </w:lvl>
    <w:lvl w:ilvl="5">
      <w:start w:val="1"/>
      <w:numFmt w:val="lowerRoman"/>
      <w:lvlText w:val="%6."/>
      <w:lvlJc w:val="right"/>
      <w:pPr>
        <w:ind w:left="4780" w:hanging="480"/>
      </w:pPr>
    </w:lvl>
    <w:lvl w:ilvl="6">
      <w:start w:val="1"/>
      <w:numFmt w:val="decimal"/>
      <w:lvlText w:val="%7."/>
      <w:lvlJc w:val="left"/>
      <w:pPr>
        <w:ind w:left="5260" w:hanging="480"/>
      </w:pPr>
    </w:lvl>
    <w:lvl w:ilvl="7">
      <w:start w:val="1"/>
      <w:numFmt w:val="ideographTraditional"/>
      <w:lvlText w:val="%8、"/>
      <w:lvlJc w:val="left"/>
      <w:pPr>
        <w:ind w:left="5740" w:hanging="480"/>
      </w:pPr>
    </w:lvl>
    <w:lvl w:ilvl="8">
      <w:start w:val="1"/>
      <w:numFmt w:val="lowerRoman"/>
      <w:lvlText w:val="%9."/>
      <w:lvlJc w:val="right"/>
      <w:pPr>
        <w:ind w:left="6220" w:hanging="480"/>
      </w:pPr>
    </w:lvl>
  </w:abstractNum>
  <w:num w:numId="1">
    <w:abstractNumId w:val="43"/>
  </w:num>
  <w:num w:numId="2">
    <w:abstractNumId w:val="9"/>
  </w:num>
  <w:num w:numId="3">
    <w:abstractNumId w:val="28"/>
  </w:num>
  <w:num w:numId="4">
    <w:abstractNumId w:val="38"/>
  </w:num>
  <w:num w:numId="5">
    <w:abstractNumId w:val="2"/>
  </w:num>
  <w:num w:numId="6">
    <w:abstractNumId w:val="60"/>
  </w:num>
  <w:num w:numId="7">
    <w:abstractNumId w:val="1"/>
  </w:num>
  <w:num w:numId="8">
    <w:abstractNumId w:val="22"/>
  </w:num>
  <w:num w:numId="9">
    <w:abstractNumId w:val="39"/>
  </w:num>
  <w:num w:numId="10">
    <w:abstractNumId w:val="45"/>
  </w:num>
  <w:num w:numId="11">
    <w:abstractNumId w:val="63"/>
  </w:num>
  <w:num w:numId="12">
    <w:abstractNumId w:val="57"/>
  </w:num>
  <w:num w:numId="13">
    <w:abstractNumId w:val="0"/>
  </w:num>
  <w:num w:numId="14">
    <w:abstractNumId w:val="27"/>
  </w:num>
  <w:num w:numId="15">
    <w:abstractNumId w:val="46"/>
  </w:num>
  <w:num w:numId="16">
    <w:abstractNumId w:val="54"/>
  </w:num>
  <w:num w:numId="17">
    <w:abstractNumId w:val="11"/>
  </w:num>
  <w:num w:numId="18">
    <w:abstractNumId w:val="7"/>
  </w:num>
  <w:num w:numId="19">
    <w:abstractNumId w:val="37"/>
  </w:num>
  <w:num w:numId="20">
    <w:abstractNumId w:val="4"/>
  </w:num>
  <w:num w:numId="21">
    <w:abstractNumId w:val="20"/>
  </w:num>
  <w:num w:numId="22">
    <w:abstractNumId w:val="5"/>
  </w:num>
  <w:num w:numId="23">
    <w:abstractNumId w:val="47"/>
  </w:num>
  <w:num w:numId="24">
    <w:abstractNumId w:val="58"/>
  </w:num>
  <w:num w:numId="25">
    <w:abstractNumId w:val="13"/>
  </w:num>
  <w:num w:numId="26">
    <w:abstractNumId w:val="26"/>
  </w:num>
  <w:num w:numId="27">
    <w:abstractNumId w:val="19"/>
  </w:num>
  <w:num w:numId="28">
    <w:abstractNumId w:val="48"/>
  </w:num>
  <w:num w:numId="29">
    <w:abstractNumId w:val="18"/>
  </w:num>
  <w:num w:numId="30">
    <w:abstractNumId w:val="52"/>
  </w:num>
  <w:num w:numId="31">
    <w:abstractNumId w:val="3"/>
  </w:num>
  <w:num w:numId="32">
    <w:abstractNumId w:val="34"/>
  </w:num>
  <w:num w:numId="33">
    <w:abstractNumId w:val="31"/>
  </w:num>
  <w:num w:numId="34">
    <w:abstractNumId w:val="16"/>
  </w:num>
  <w:num w:numId="35">
    <w:abstractNumId w:val="23"/>
  </w:num>
  <w:num w:numId="36">
    <w:abstractNumId w:val="36"/>
  </w:num>
  <w:num w:numId="37">
    <w:abstractNumId w:val="62"/>
  </w:num>
  <w:num w:numId="38">
    <w:abstractNumId w:val="32"/>
  </w:num>
  <w:num w:numId="39">
    <w:abstractNumId w:val="10"/>
  </w:num>
  <w:num w:numId="40">
    <w:abstractNumId w:val="50"/>
  </w:num>
  <w:num w:numId="41">
    <w:abstractNumId w:val="25"/>
  </w:num>
  <w:num w:numId="42">
    <w:abstractNumId w:val="40"/>
  </w:num>
  <w:num w:numId="43">
    <w:abstractNumId w:val="12"/>
  </w:num>
  <w:num w:numId="44">
    <w:abstractNumId w:val="24"/>
  </w:num>
  <w:num w:numId="45">
    <w:abstractNumId w:val="6"/>
  </w:num>
  <w:num w:numId="46">
    <w:abstractNumId w:val="14"/>
  </w:num>
  <w:num w:numId="47">
    <w:abstractNumId w:val="42"/>
  </w:num>
  <w:num w:numId="48">
    <w:abstractNumId w:val="30"/>
  </w:num>
  <w:num w:numId="49">
    <w:abstractNumId w:val="44"/>
  </w:num>
  <w:num w:numId="50">
    <w:abstractNumId w:val="15"/>
  </w:num>
  <w:num w:numId="51">
    <w:abstractNumId w:val="59"/>
  </w:num>
  <w:num w:numId="52">
    <w:abstractNumId w:val="55"/>
  </w:num>
  <w:num w:numId="53">
    <w:abstractNumId w:val="33"/>
  </w:num>
  <w:num w:numId="54">
    <w:abstractNumId w:val="53"/>
  </w:num>
  <w:num w:numId="55">
    <w:abstractNumId w:val="8"/>
  </w:num>
  <w:num w:numId="56">
    <w:abstractNumId w:val="49"/>
  </w:num>
  <w:num w:numId="57">
    <w:abstractNumId w:val="64"/>
  </w:num>
  <w:num w:numId="58">
    <w:abstractNumId w:val="29"/>
  </w:num>
  <w:num w:numId="59">
    <w:abstractNumId w:val="61"/>
  </w:num>
  <w:num w:numId="60">
    <w:abstractNumId w:val="51"/>
  </w:num>
  <w:num w:numId="61">
    <w:abstractNumId w:val="17"/>
  </w:num>
  <w:num w:numId="62">
    <w:abstractNumId w:val="41"/>
  </w:num>
  <w:num w:numId="63">
    <w:abstractNumId w:val="21"/>
  </w:num>
  <w:num w:numId="64">
    <w:abstractNumId w:val="56"/>
  </w:num>
  <w:num w:numId="65">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8444C"/>
    <w:rsid w:val="000D353C"/>
    <w:rsid w:val="00117A6F"/>
    <w:rsid w:val="001215CD"/>
    <w:rsid w:val="0018444C"/>
    <w:rsid w:val="004E554D"/>
    <w:rsid w:val="004F6715"/>
    <w:rsid w:val="00533AC4"/>
    <w:rsid w:val="007E67AA"/>
    <w:rsid w:val="00980E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paragraph" w:styleId="1">
    <w:name w:val="heading 1"/>
    <w:basedOn w:val="a0"/>
    <w:next w:val="a"/>
    <w:uiPriority w:val="9"/>
    <w:qFormat/>
    <w:pPr>
      <w:outlineLvl w:val="0"/>
    </w:pPr>
  </w:style>
  <w:style w:type="paragraph" w:styleId="2">
    <w:name w:val="heading 2"/>
    <w:basedOn w:val="DefaultText"/>
    <w:next w:val="a"/>
    <w:uiPriority w:val="9"/>
    <w:unhideWhenUsed/>
    <w:qFormat/>
    <w:pPr>
      <w:ind w:left="403"/>
      <w:outlineLvl w:val="1"/>
    </w:pPr>
    <w:rPr>
      <w:rFonts w:ascii="Book Antiqua" w:eastAsia="標楷體" w:hAnsi="Book Antiqua"/>
      <w:b/>
      <w:sz w:val="32"/>
      <w:szCs w:val="32"/>
    </w:rPr>
  </w:style>
  <w:style w:type="paragraph" w:styleId="3">
    <w:name w:val="heading 3"/>
    <w:basedOn w:val="DefaultText"/>
    <w:next w:val="a1"/>
    <w:uiPriority w:val="9"/>
    <w:unhideWhenUsed/>
    <w:qFormat/>
    <w:pPr>
      <w:ind w:left="2801" w:hanging="1901"/>
      <w:outlineLvl w:val="2"/>
    </w:pPr>
    <w:rPr>
      <w:rFonts w:ascii="Book Antiqua" w:eastAsia="標楷體" w:hAnsi="Book Antiqua"/>
      <w:b/>
      <w:sz w:val="30"/>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2"/>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2"/>
    <w:rPr>
      <w:sz w:val="20"/>
      <w:szCs w:val="20"/>
    </w:rPr>
  </w:style>
  <w:style w:type="character" w:customStyle="1" w:styleId="10">
    <w:name w:val="標題 1 字元"/>
    <w:basedOn w:val="a2"/>
    <w:rPr>
      <w:rFonts w:ascii="Book Antiqua" w:eastAsia="標楷體" w:hAnsi="Book Antiqua" w:cs="Times New Roman"/>
      <w:b/>
      <w:kern w:val="0"/>
      <w:sz w:val="36"/>
      <w:szCs w:val="20"/>
    </w:rPr>
  </w:style>
  <w:style w:type="character" w:customStyle="1" w:styleId="20">
    <w:name w:val="標題 2 字元"/>
    <w:basedOn w:val="a2"/>
    <w:rPr>
      <w:rFonts w:ascii="Book Antiqua" w:eastAsia="標楷體" w:hAnsi="Book Antiqua" w:cs="Times New Roman"/>
      <w:b/>
      <w:kern w:val="0"/>
      <w:sz w:val="32"/>
      <w:szCs w:val="32"/>
    </w:rPr>
  </w:style>
  <w:style w:type="character" w:customStyle="1" w:styleId="30">
    <w:name w:val="標題 3 字元"/>
    <w:basedOn w:val="a2"/>
    <w:rPr>
      <w:rFonts w:ascii="Book Antiqua" w:eastAsia="標楷體" w:hAnsi="Book Antiqua" w:cs="Times New Roman"/>
      <w:b/>
      <w:kern w:val="0"/>
      <w:sz w:val="30"/>
      <w:szCs w:val="30"/>
    </w:rPr>
  </w:style>
  <w:style w:type="paragraph" w:customStyle="1" w:styleId="a0">
    <w:name w:val="標題一"/>
    <w:basedOn w:val="DefaultText"/>
    <w:pPr>
      <w:tabs>
        <w:tab w:val="left" w:pos="720"/>
        <w:tab w:val="left" w:pos="1440"/>
        <w:tab w:val="left" w:pos="2160"/>
        <w:tab w:val="left" w:pos="2472"/>
        <w:tab w:val="left" w:pos="2880"/>
        <w:tab w:val="left" w:pos="3600"/>
        <w:tab w:val="left" w:pos="4320"/>
        <w:tab w:val="left" w:pos="5040"/>
        <w:tab w:val="left" w:pos="5760"/>
        <w:tab w:val="left" w:pos="6480"/>
        <w:tab w:val="left" w:pos="7200"/>
        <w:tab w:val="left" w:pos="7920"/>
        <w:tab w:val="left" w:pos="8640"/>
      </w:tabs>
      <w:spacing w:before="50" w:line="600" w:lineRule="exact"/>
      <w:jc w:val="both"/>
    </w:pPr>
    <w:rPr>
      <w:rFonts w:ascii="Book Antiqua" w:eastAsia="標楷體" w:hAnsi="Book Antiqua"/>
      <w:b/>
      <w:sz w:val="36"/>
    </w:rPr>
  </w:style>
  <w:style w:type="paragraph" w:customStyle="1" w:styleId="DefaultText">
    <w:name w:val="Default Text"/>
    <w:basedOn w:val="a"/>
    <w:pPr>
      <w:widowControl/>
      <w:overflowPunct w:val="0"/>
      <w:autoSpaceDE w:val="0"/>
      <w:spacing w:line="432" w:lineRule="exact"/>
    </w:pPr>
    <w:rPr>
      <w:rFonts w:ascii="華康中楷體" w:eastAsia="華康中楷體" w:hAnsi="華康中楷體"/>
      <w:kern w:val="0"/>
      <w:sz w:val="28"/>
      <w:szCs w:val="20"/>
    </w:rPr>
  </w:style>
  <w:style w:type="paragraph" w:styleId="a1">
    <w:name w:val="Normal Indent"/>
    <w:basedOn w:val="a"/>
    <w:pPr>
      <w:widowControl/>
      <w:overflowPunct w:val="0"/>
      <w:autoSpaceDE w:val="0"/>
      <w:ind w:left="480"/>
    </w:pPr>
    <w:rPr>
      <w:rFonts w:ascii="Times New Roman" w:hAnsi="Times New Roman"/>
      <w:kern w:val="0"/>
      <w:sz w:val="20"/>
      <w:szCs w:val="20"/>
    </w:rPr>
  </w:style>
  <w:style w:type="paragraph" w:styleId="a9">
    <w:name w:val="Title"/>
    <w:basedOn w:val="a"/>
    <w:uiPriority w:val="10"/>
    <w:qFormat/>
    <w:pPr>
      <w:keepNext/>
      <w:keepLines/>
      <w:widowControl/>
      <w:overflowPunct w:val="0"/>
      <w:autoSpaceDE w:val="0"/>
      <w:spacing w:before="144" w:after="72"/>
      <w:jc w:val="center"/>
    </w:pPr>
    <w:rPr>
      <w:rFonts w:ascii="細明體" w:eastAsia="細明體" w:hAnsi="細明體"/>
      <w:b/>
      <w:kern w:val="0"/>
      <w:sz w:val="36"/>
      <w:szCs w:val="20"/>
    </w:rPr>
  </w:style>
  <w:style w:type="character" w:customStyle="1" w:styleId="aa">
    <w:name w:val="標題 字元"/>
    <w:basedOn w:val="a2"/>
    <w:rPr>
      <w:rFonts w:ascii="細明體" w:eastAsia="細明體" w:hAnsi="細明體" w:cs="Times New Roman"/>
      <w:b/>
      <w:kern w:val="0"/>
      <w:sz w:val="36"/>
      <w:szCs w:val="20"/>
    </w:rPr>
  </w:style>
  <w:style w:type="paragraph" w:customStyle="1" w:styleId="ab">
    <w:name w:val="ªí$"/>
    <w:basedOn w:val="a"/>
    <w:pPr>
      <w:widowControl/>
      <w:overflowPunct w:val="0"/>
      <w:autoSpaceDE w:val="0"/>
    </w:pPr>
    <w:rPr>
      <w:rFonts w:ascii="華康中楷體" w:eastAsia="華康中楷體" w:hAnsi="華康中楷體"/>
      <w:kern w:val="0"/>
      <w:szCs w:val="20"/>
    </w:rPr>
  </w:style>
  <w:style w:type="paragraph" w:customStyle="1" w:styleId="p">
    <w:name w:val="¤p"/>
    <w:basedOn w:val="a"/>
    <w:pPr>
      <w:widowControl/>
      <w:overflowPunct w:val="0"/>
      <w:autoSpaceDE w:val="0"/>
      <w:spacing w:line="144" w:lineRule="exact"/>
    </w:pPr>
    <w:rPr>
      <w:rFonts w:ascii="華康中楷體" w:eastAsia="華康中楷體" w:hAnsi="華康中楷體"/>
      <w:kern w:val="0"/>
      <w:szCs w:val="20"/>
    </w:rPr>
  </w:style>
  <w:style w:type="paragraph" w:customStyle="1" w:styleId="R">
    <w:name w:val="¤ÀªRªí"/>
    <w:basedOn w:val="a"/>
    <w:pPr>
      <w:widowControl/>
      <w:overflowPunct w:val="0"/>
      <w:autoSpaceDE w:val="0"/>
      <w:spacing w:line="288" w:lineRule="exact"/>
    </w:pPr>
    <w:rPr>
      <w:rFonts w:ascii="華康中楷體" w:eastAsia="華康中楷體" w:hAnsi="華康中楷體"/>
      <w:kern w:val="0"/>
      <w:szCs w:val="20"/>
    </w:rPr>
  </w:style>
  <w:style w:type="paragraph" w:customStyle="1" w:styleId="g">
    <w:name w:val="¤g¶]ªí"/>
    <w:basedOn w:val="a"/>
    <w:pPr>
      <w:widowControl/>
      <w:overflowPunct w:val="0"/>
      <w:autoSpaceDE w:val="0"/>
      <w:spacing w:line="216" w:lineRule="exact"/>
    </w:pPr>
    <w:rPr>
      <w:rFonts w:ascii="華康中楷體" w:eastAsia="華康中楷體" w:hAnsi="華康中楷體"/>
      <w:kern w:val="0"/>
      <w:sz w:val="20"/>
      <w:szCs w:val="20"/>
    </w:rPr>
  </w:style>
  <w:style w:type="paragraph" w:customStyle="1" w:styleId="ac">
    <w:name w:val="$"/>
    <w:basedOn w:val="a"/>
    <w:pPr>
      <w:widowControl/>
      <w:overflowPunct w:val="0"/>
      <w:autoSpaceDE w:val="0"/>
    </w:pPr>
    <w:rPr>
      <w:rFonts w:ascii="華康中楷體" w:eastAsia="華康中楷體" w:hAnsi="華康中楷體"/>
      <w:kern w:val="0"/>
      <w:szCs w:val="20"/>
    </w:rPr>
  </w:style>
  <w:style w:type="paragraph" w:customStyle="1" w:styleId="ad">
    <w:name w:val="°ª«×"/>
    <w:basedOn w:val="a"/>
    <w:pPr>
      <w:widowControl/>
      <w:overflowPunct w:val="0"/>
      <w:autoSpaceDE w:val="0"/>
    </w:pPr>
    <w:rPr>
      <w:rFonts w:ascii="華康中楷體" w:eastAsia="華康中楷體" w:hAnsi="華康中楷體"/>
      <w:kern w:val="0"/>
      <w:szCs w:val="20"/>
    </w:rPr>
  </w:style>
  <w:style w:type="paragraph" w:customStyle="1" w:styleId="ae">
    <w:name w:val="¦Ê¤À¤ñ"/>
    <w:basedOn w:val="a"/>
    <w:pPr>
      <w:widowControl/>
      <w:overflowPunct w:val="0"/>
      <w:autoSpaceDE w:val="0"/>
    </w:pPr>
    <w:rPr>
      <w:rFonts w:ascii="華康中楷體" w:eastAsia="華康中楷體" w:hAnsi="華康中楷體"/>
      <w:kern w:val="0"/>
      <w:szCs w:val="20"/>
    </w:rPr>
  </w:style>
  <w:style w:type="paragraph" w:customStyle="1" w:styleId="WZ">
    <w:name w:val="¤Wªí¶¡¶Z"/>
    <w:basedOn w:val="a"/>
    <w:pPr>
      <w:widowControl/>
      <w:overflowPunct w:val="0"/>
      <w:autoSpaceDE w:val="0"/>
      <w:spacing w:line="216" w:lineRule="exact"/>
    </w:pPr>
    <w:rPr>
      <w:rFonts w:ascii="華康中楷體" w:eastAsia="華康中楷體" w:hAnsi="華康中楷體"/>
      <w:kern w:val="0"/>
      <w:szCs w:val="20"/>
    </w:rPr>
  </w:style>
  <w:style w:type="paragraph" w:customStyle="1" w:styleId="af">
    <w:name w:val="«Ø¸¹"/>
    <w:basedOn w:val="a"/>
    <w:pPr>
      <w:widowControl/>
      <w:overflowPunct w:val="0"/>
      <w:autoSpaceDE w:val="0"/>
    </w:pPr>
    <w:rPr>
      <w:rFonts w:ascii="華康中楷體" w:eastAsia="華康中楷體" w:hAnsi="華康中楷體"/>
      <w:kern w:val="0"/>
      <w:szCs w:val="20"/>
    </w:rPr>
  </w:style>
  <w:style w:type="paragraph" w:customStyle="1" w:styleId="UZ">
    <w:name w:val="¤Uªí¶¡¶Z"/>
    <w:basedOn w:val="a"/>
    <w:pPr>
      <w:widowControl/>
      <w:overflowPunct w:val="0"/>
      <w:autoSpaceDE w:val="0"/>
      <w:spacing w:line="187" w:lineRule="exact"/>
    </w:pPr>
    <w:rPr>
      <w:rFonts w:ascii="華康中楷體" w:eastAsia="華康中楷體" w:hAnsi="華康中楷體"/>
      <w:kern w:val="0"/>
      <w:szCs w:val="20"/>
    </w:rPr>
  </w:style>
  <w:style w:type="paragraph" w:customStyle="1" w:styleId="WZ0">
    <w:name w:val="©W¶¡¶Z"/>
    <w:basedOn w:val="a"/>
    <w:pPr>
      <w:widowControl/>
      <w:overflowPunct w:val="0"/>
      <w:autoSpaceDE w:val="0"/>
      <w:spacing w:line="201" w:lineRule="exact"/>
    </w:pPr>
    <w:rPr>
      <w:rFonts w:ascii="華康中楷體" w:eastAsia="華康中楷體" w:hAnsi="華康中楷體"/>
      <w:kern w:val="0"/>
      <w:szCs w:val="20"/>
    </w:rPr>
  </w:style>
  <w:style w:type="paragraph" w:customStyle="1" w:styleId="af0">
    <w:name w:val="¥­¤è¤½¤Ø"/>
    <w:basedOn w:val="a"/>
    <w:pPr>
      <w:widowControl/>
      <w:overflowPunct w:val="0"/>
      <w:autoSpaceDE w:val="0"/>
    </w:pPr>
    <w:rPr>
      <w:rFonts w:ascii="華康中楷體" w:eastAsia="華康中楷體" w:hAnsi="華康中楷體"/>
      <w:kern w:val="0"/>
      <w:szCs w:val="20"/>
    </w:rPr>
  </w:style>
  <w:style w:type="paragraph" w:customStyle="1" w:styleId="W">
    <w:name w:val="©W"/>
    <w:basedOn w:val="a"/>
    <w:pPr>
      <w:widowControl/>
      <w:overflowPunct w:val="0"/>
      <w:autoSpaceDE w:val="0"/>
    </w:pPr>
    <w:rPr>
      <w:rFonts w:ascii="華康中楷體" w:eastAsia="華康中楷體" w:hAnsi="華康中楷體"/>
      <w:kern w:val="0"/>
      <w:szCs w:val="20"/>
    </w:rPr>
  </w:style>
  <w:style w:type="paragraph" w:customStyle="1" w:styleId="af1">
    <w:name w:val="ª«»ù«ü¼Æ"/>
    <w:basedOn w:val="a"/>
    <w:pPr>
      <w:widowControl/>
      <w:overflowPunct w:val="0"/>
      <w:autoSpaceDE w:val="0"/>
    </w:pPr>
    <w:rPr>
      <w:rFonts w:ascii="華康中楷體" w:eastAsia="華康中楷體" w:hAnsi="華康中楷體"/>
      <w:kern w:val="0"/>
      <w:szCs w:val="20"/>
    </w:rPr>
  </w:style>
  <w:style w:type="paragraph" w:customStyle="1" w:styleId="B">
    <w:name w:val="ª÷ÃB"/>
    <w:basedOn w:val="a"/>
    <w:pPr>
      <w:widowControl/>
      <w:overflowPunct w:val="0"/>
      <w:autoSpaceDE w:val="0"/>
    </w:pPr>
    <w:rPr>
      <w:rFonts w:ascii="華康中楷體" w:eastAsia="華康中楷體" w:hAnsi="華康中楷體"/>
      <w:kern w:val="0"/>
      <w:szCs w:val="20"/>
    </w:rPr>
  </w:style>
  <w:style w:type="paragraph" w:customStyle="1" w:styleId="Z">
    <w:name w:val="«ù­±¶¡¶Z"/>
    <w:basedOn w:val="a"/>
    <w:pPr>
      <w:widowControl/>
      <w:overflowPunct w:val="0"/>
      <w:autoSpaceDE w:val="0"/>
      <w:spacing w:line="230" w:lineRule="exact"/>
    </w:pPr>
    <w:rPr>
      <w:rFonts w:ascii="華康中楷體" w:eastAsia="華康中楷體" w:hAnsi="華康中楷體"/>
      <w:kern w:val="0"/>
      <w:szCs w:val="20"/>
    </w:rPr>
  </w:style>
  <w:style w:type="paragraph" w:customStyle="1" w:styleId="gZ">
    <w:name w:val="¤g­±¶¡¶Z"/>
    <w:basedOn w:val="a"/>
    <w:pPr>
      <w:widowControl/>
      <w:overflowPunct w:val="0"/>
      <w:autoSpaceDE w:val="0"/>
      <w:spacing w:line="388" w:lineRule="exact"/>
    </w:pPr>
    <w:rPr>
      <w:rFonts w:ascii="華康中楷體" w:eastAsia="華康中楷體" w:hAnsi="華康中楷體"/>
      <w:kern w:val="0"/>
      <w:sz w:val="28"/>
      <w:szCs w:val="20"/>
    </w:rPr>
  </w:style>
  <w:style w:type="paragraph" w:customStyle="1" w:styleId="af2">
    <w:name w:val="¦a¸¹"/>
    <w:basedOn w:val="a"/>
    <w:pPr>
      <w:widowControl/>
      <w:overflowPunct w:val="0"/>
      <w:autoSpaceDE w:val="0"/>
    </w:pPr>
    <w:rPr>
      <w:rFonts w:ascii="華康中楷體" w:eastAsia="華康中楷體" w:hAnsi="華康中楷體"/>
      <w:kern w:val="0"/>
      <w:szCs w:val="20"/>
    </w:rPr>
  </w:style>
  <w:style w:type="paragraph" w:customStyle="1" w:styleId="n">
    <w:name w:val="Á`­±¿n"/>
    <w:basedOn w:val="a"/>
    <w:pPr>
      <w:widowControl/>
      <w:overflowPunct w:val="0"/>
      <w:autoSpaceDE w:val="0"/>
    </w:pPr>
    <w:rPr>
      <w:rFonts w:ascii="華康中楷體" w:eastAsia="華康中楷體" w:hAnsi="華康中楷體"/>
      <w:kern w:val="0"/>
      <w:szCs w:val="20"/>
    </w:rPr>
  </w:style>
  <w:style w:type="paragraph" w:customStyle="1" w:styleId="Z0">
    <w:name w:val="ªí¥~¶¡¶Z"/>
    <w:basedOn w:val="a"/>
    <w:pPr>
      <w:widowControl/>
      <w:overflowPunct w:val="0"/>
      <w:autoSpaceDE w:val="0"/>
      <w:spacing w:line="288" w:lineRule="exact"/>
    </w:pPr>
    <w:rPr>
      <w:rFonts w:ascii="華康中楷體" w:eastAsia="華康中楷體" w:hAnsi="華康中楷體"/>
      <w:kern w:val="0"/>
      <w:sz w:val="28"/>
      <w:szCs w:val="20"/>
    </w:rPr>
  </w:style>
  <w:style w:type="paragraph" w:customStyle="1" w:styleId="Subhead">
    <w:name w:val="Subhead"/>
    <w:basedOn w:val="a"/>
    <w:pPr>
      <w:widowControl/>
      <w:overflowPunct w:val="0"/>
      <w:autoSpaceDE w:val="0"/>
      <w:spacing w:before="72" w:after="72"/>
    </w:pPr>
    <w:rPr>
      <w:rFonts w:ascii="細明體" w:eastAsia="細明體" w:hAnsi="細明體"/>
      <w:b/>
      <w:i/>
      <w:kern w:val="0"/>
      <w:szCs w:val="20"/>
    </w:rPr>
  </w:style>
  <w:style w:type="paragraph" w:customStyle="1" w:styleId="NumberList">
    <w:name w:val="Number List"/>
    <w:basedOn w:val="a"/>
    <w:pPr>
      <w:widowControl/>
      <w:overflowPunct w:val="0"/>
      <w:autoSpaceDE w:val="0"/>
    </w:pPr>
    <w:rPr>
      <w:rFonts w:ascii="細明體" w:eastAsia="細明體" w:hAnsi="細明體"/>
      <w:kern w:val="0"/>
      <w:szCs w:val="20"/>
    </w:rPr>
  </w:style>
  <w:style w:type="paragraph" w:customStyle="1" w:styleId="Bullet1">
    <w:name w:val="Bullet 1"/>
    <w:basedOn w:val="a"/>
    <w:pPr>
      <w:widowControl/>
      <w:overflowPunct w:val="0"/>
      <w:autoSpaceDE w:val="0"/>
    </w:pPr>
    <w:rPr>
      <w:rFonts w:ascii="細明體" w:eastAsia="細明體" w:hAnsi="細明體"/>
      <w:kern w:val="0"/>
      <w:szCs w:val="20"/>
    </w:rPr>
  </w:style>
  <w:style w:type="paragraph" w:customStyle="1" w:styleId="Bullet">
    <w:name w:val="Bullet"/>
    <w:basedOn w:val="a"/>
    <w:pPr>
      <w:widowControl/>
      <w:overflowPunct w:val="0"/>
      <w:autoSpaceDE w:val="0"/>
    </w:pPr>
    <w:rPr>
      <w:rFonts w:ascii="細明體" w:eastAsia="細明體" w:hAnsi="細明體"/>
      <w:kern w:val="0"/>
      <w:szCs w:val="20"/>
    </w:rPr>
  </w:style>
  <w:style w:type="paragraph" w:customStyle="1" w:styleId="BodySingle">
    <w:name w:val="Body Single"/>
    <w:basedOn w:val="a"/>
    <w:pPr>
      <w:widowControl/>
      <w:overflowPunct w:val="0"/>
      <w:autoSpaceDE w:val="0"/>
    </w:pPr>
    <w:rPr>
      <w:rFonts w:ascii="細明體" w:eastAsia="細明體" w:hAnsi="細明體"/>
      <w:kern w:val="0"/>
      <w:szCs w:val="20"/>
    </w:rPr>
  </w:style>
  <w:style w:type="paragraph" w:customStyle="1" w:styleId="r0">
    <w:name w:val="ªí®æ¤å¦r"/>
    <w:basedOn w:val="a"/>
    <w:pPr>
      <w:widowControl/>
      <w:overflowPunct w:val="0"/>
      <w:autoSpaceDE w:val="0"/>
    </w:pPr>
    <w:rPr>
      <w:rFonts w:ascii="華康中楷體" w:eastAsia="華康中楷體" w:hAnsi="華康中楷體"/>
      <w:kern w:val="0"/>
      <w:szCs w:val="20"/>
    </w:rPr>
  </w:style>
  <w:style w:type="paragraph" w:customStyle="1" w:styleId="X">
    <w:name w:val="ªáºX«Ê­±"/>
    <w:basedOn w:val="a"/>
    <w:pPr>
      <w:widowControl/>
      <w:overflowPunct w:val="0"/>
      <w:autoSpaceDE w:val="0"/>
      <w:spacing w:line="532" w:lineRule="exact"/>
    </w:pPr>
    <w:rPr>
      <w:rFonts w:ascii="華康中楷體" w:eastAsia="華康中楷體" w:hAnsi="華康中楷體"/>
      <w:kern w:val="0"/>
      <w:sz w:val="36"/>
      <w:szCs w:val="20"/>
    </w:rPr>
  </w:style>
  <w:style w:type="paragraph" w:customStyle="1" w:styleId="XG">
    <w:name w:val="ªáºX«Ê­±(¤G)"/>
    <w:basedOn w:val="a"/>
    <w:pPr>
      <w:widowControl/>
      <w:overflowPunct w:val="0"/>
      <w:autoSpaceDE w:val="0"/>
      <w:spacing w:line="432" w:lineRule="exact"/>
    </w:pPr>
    <w:rPr>
      <w:rFonts w:ascii="華康中楷體" w:eastAsia="華康中楷體" w:hAnsi="華康中楷體"/>
      <w:kern w:val="0"/>
      <w:sz w:val="36"/>
      <w:szCs w:val="20"/>
    </w:rPr>
  </w:style>
  <w:style w:type="paragraph" w:customStyle="1" w:styleId="11">
    <w:name w:val="$:1"/>
    <w:basedOn w:val="a"/>
    <w:pPr>
      <w:widowControl/>
      <w:overflowPunct w:val="0"/>
      <w:autoSpaceDE w:val="0"/>
    </w:pPr>
    <w:rPr>
      <w:rFonts w:ascii="華康中楷體" w:eastAsia="華康中楷體" w:hAnsi="華康中楷體"/>
      <w:kern w:val="0"/>
      <w:szCs w:val="20"/>
    </w:rPr>
  </w:style>
  <w:style w:type="paragraph" w:customStyle="1" w:styleId="12">
    <w:name w:val="°ª«×:1"/>
    <w:basedOn w:val="a"/>
    <w:pPr>
      <w:widowControl/>
      <w:overflowPunct w:val="0"/>
      <w:autoSpaceDE w:val="0"/>
    </w:pPr>
    <w:rPr>
      <w:rFonts w:ascii="華康中楷體" w:eastAsia="華康中楷體" w:hAnsi="華康中楷體"/>
      <w:kern w:val="0"/>
      <w:szCs w:val="20"/>
    </w:rPr>
  </w:style>
  <w:style w:type="paragraph" w:customStyle="1" w:styleId="13">
    <w:name w:val="¦Ê¤À¤ñ:1"/>
    <w:basedOn w:val="a"/>
    <w:pPr>
      <w:widowControl/>
      <w:overflowPunct w:val="0"/>
      <w:autoSpaceDE w:val="0"/>
    </w:pPr>
    <w:rPr>
      <w:rFonts w:ascii="華康中楷體" w:eastAsia="華康中楷體" w:hAnsi="華康中楷體"/>
      <w:kern w:val="0"/>
      <w:szCs w:val="20"/>
    </w:rPr>
  </w:style>
  <w:style w:type="paragraph" w:customStyle="1" w:styleId="WZ1">
    <w:name w:val="¤Wªí¶¡¶Z:1"/>
    <w:basedOn w:val="a"/>
    <w:pPr>
      <w:widowControl/>
      <w:overflowPunct w:val="0"/>
      <w:autoSpaceDE w:val="0"/>
      <w:spacing w:line="216" w:lineRule="exact"/>
    </w:pPr>
    <w:rPr>
      <w:rFonts w:ascii="華康中楷體" w:eastAsia="華康中楷體" w:hAnsi="華康中楷體"/>
      <w:kern w:val="0"/>
      <w:szCs w:val="20"/>
    </w:rPr>
  </w:style>
  <w:style w:type="paragraph" w:customStyle="1" w:styleId="14">
    <w:name w:val="«Ø¸¹:1"/>
    <w:basedOn w:val="a"/>
    <w:pPr>
      <w:widowControl/>
      <w:overflowPunct w:val="0"/>
      <w:autoSpaceDE w:val="0"/>
    </w:pPr>
    <w:rPr>
      <w:rFonts w:ascii="華康中楷體" w:eastAsia="華康中楷體" w:hAnsi="華康中楷體"/>
      <w:kern w:val="0"/>
      <w:szCs w:val="20"/>
    </w:rPr>
  </w:style>
  <w:style w:type="paragraph" w:customStyle="1" w:styleId="UZ1">
    <w:name w:val="¤Uªí¶¡¶Z:1"/>
    <w:basedOn w:val="a"/>
    <w:pPr>
      <w:widowControl/>
      <w:overflowPunct w:val="0"/>
      <w:autoSpaceDE w:val="0"/>
      <w:spacing w:line="187" w:lineRule="exact"/>
    </w:pPr>
    <w:rPr>
      <w:rFonts w:ascii="華康中楷體" w:eastAsia="華康中楷體" w:hAnsi="華康中楷體"/>
      <w:kern w:val="0"/>
      <w:szCs w:val="20"/>
    </w:rPr>
  </w:style>
  <w:style w:type="paragraph" w:customStyle="1" w:styleId="WZ10">
    <w:name w:val="©W¶¡¶Z:1"/>
    <w:basedOn w:val="a"/>
    <w:pPr>
      <w:widowControl/>
      <w:overflowPunct w:val="0"/>
      <w:autoSpaceDE w:val="0"/>
      <w:spacing w:line="201" w:lineRule="exact"/>
    </w:pPr>
    <w:rPr>
      <w:rFonts w:ascii="華康中楷體" w:eastAsia="華康中楷體" w:hAnsi="華康中楷體"/>
      <w:kern w:val="0"/>
      <w:szCs w:val="20"/>
    </w:rPr>
  </w:style>
  <w:style w:type="paragraph" w:customStyle="1" w:styleId="15">
    <w:name w:val="¥­¤è¤½¤Ø:1"/>
    <w:basedOn w:val="a"/>
    <w:pPr>
      <w:widowControl/>
      <w:overflowPunct w:val="0"/>
      <w:autoSpaceDE w:val="0"/>
    </w:pPr>
    <w:rPr>
      <w:rFonts w:ascii="華康中楷體" w:eastAsia="華康中楷體" w:hAnsi="華康中楷體"/>
      <w:kern w:val="0"/>
      <w:szCs w:val="20"/>
    </w:rPr>
  </w:style>
  <w:style w:type="paragraph" w:customStyle="1" w:styleId="W1">
    <w:name w:val="©W:1"/>
    <w:basedOn w:val="a"/>
    <w:pPr>
      <w:widowControl/>
      <w:overflowPunct w:val="0"/>
      <w:autoSpaceDE w:val="0"/>
    </w:pPr>
    <w:rPr>
      <w:rFonts w:ascii="華康中楷體" w:eastAsia="華康中楷體" w:hAnsi="華康中楷體"/>
      <w:kern w:val="0"/>
      <w:szCs w:val="20"/>
    </w:rPr>
  </w:style>
  <w:style w:type="paragraph" w:customStyle="1" w:styleId="16">
    <w:name w:val="ª«»ù«ü¼Æ:1"/>
    <w:basedOn w:val="a"/>
    <w:pPr>
      <w:widowControl/>
      <w:overflowPunct w:val="0"/>
      <w:autoSpaceDE w:val="0"/>
    </w:pPr>
    <w:rPr>
      <w:rFonts w:ascii="華康中楷體" w:eastAsia="華康中楷體" w:hAnsi="華康中楷體"/>
      <w:kern w:val="0"/>
      <w:szCs w:val="20"/>
    </w:rPr>
  </w:style>
  <w:style w:type="paragraph" w:customStyle="1" w:styleId="B1">
    <w:name w:val="ª÷ÃB:1"/>
    <w:basedOn w:val="a"/>
    <w:pPr>
      <w:widowControl/>
      <w:overflowPunct w:val="0"/>
      <w:autoSpaceDE w:val="0"/>
    </w:pPr>
    <w:rPr>
      <w:rFonts w:ascii="華康中楷體" w:eastAsia="華康中楷體" w:hAnsi="華康中楷體"/>
      <w:kern w:val="0"/>
      <w:szCs w:val="20"/>
    </w:rPr>
  </w:style>
  <w:style w:type="paragraph" w:customStyle="1" w:styleId="Z1">
    <w:name w:val="«ù­±¶¡¶Z:1"/>
    <w:basedOn w:val="a"/>
    <w:pPr>
      <w:widowControl/>
      <w:overflowPunct w:val="0"/>
      <w:autoSpaceDE w:val="0"/>
      <w:spacing w:line="230" w:lineRule="exact"/>
    </w:pPr>
    <w:rPr>
      <w:rFonts w:ascii="華康中楷體" w:eastAsia="華康中楷體" w:hAnsi="華康中楷體"/>
      <w:kern w:val="0"/>
      <w:szCs w:val="20"/>
    </w:rPr>
  </w:style>
  <w:style w:type="paragraph" w:customStyle="1" w:styleId="gZ1">
    <w:name w:val="¤g­±¶¡¶Z:1"/>
    <w:basedOn w:val="a"/>
    <w:pPr>
      <w:widowControl/>
      <w:overflowPunct w:val="0"/>
      <w:autoSpaceDE w:val="0"/>
      <w:spacing w:line="388" w:lineRule="exact"/>
    </w:pPr>
    <w:rPr>
      <w:rFonts w:ascii="華康中楷體" w:eastAsia="華康中楷體" w:hAnsi="華康中楷體"/>
      <w:kern w:val="0"/>
      <w:sz w:val="28"/>
      <w:szCs w:val="20"/>
    </w:rPr>
  </w:style>
  <w:style w:type="paragraph" w:customStyle="1" w:styleId="a10">
    <w:name w:val="¦a¸¹:1"/>
    <w:basedOn w:val="a"/>
    <w:pPr>
      <w:widowControl/>
      <w:overflowPunct w:val="0"/>
      <w:autoSpaceDE w:val="0"/>
    </w:pPr>
    <w:rPr>
      <w:rFonts w:ascii="華康中楷體" w:eastAsia="華康中楷體" w:hAnsi="華康中楷體"/>
      <w:kern w:val="0"/>
      <w:szCs w:val="20"/>
    </w:rPr>
  </w:style>
  <w:style w:type="paragraph" w:customStyle="1" w:styleId="n1">
    <w:name w:val="Á`­±¿n:1"/>
    <w:basedOn w:val="a"/>
    <w:pPr>
      <w:widowControl/>
      <w:overflowPunct w:val="0"/>
      <w:autoSpaceDE w:val="0"/>
    </w:pPr>
    <w:rPr>
      <w:rFonts w:ascii="華康中楷體" w:eastAsia="華康中楷體" w:hAnsi="華康中楷體"/>
      <w:kern w:val="0"/>
      <w:szCs w:val="20"/>
    </w:rPr>
  </w:style>
  <w:style w:type="paragraph" w:customStyle="1" w:styleId="Z10">
    <w:name w:val="ªí¥~¶¡¶Z:1"/>
    <w:basedOn w:val="a"/>
    <w:pPr>
      <w:widowControl/>
      <w:overflowPunct w:val="0"/>
      <w:autoSpaceDE w:val="0"/>
      <w:spacing w:line="288" w:lineRule="exact"/>
    </w:pPr>
    <w:rPr>
      <w:rFonts w:ascii="華康中楷體" w:eastAsia="華康中楷體" w:hAnsi="華康中楷體"/>
      <w:kern w:val="0"/>
      <w:sz w:val="28"/>
      <w:szCs w:val="20"/>
    </w:rPr>
  </w:style>
  <w:style w:type="paragraph" w:customStyle="1" w:styleId="r1">
    <w:name w:val="ªí®æ¤å¦r:1"/>
    <w:basedOn w:val="a"/>
    <w:pPr>
      <w:widowControl/>
      <w:overflowPunct w:val="0"/>
      <w:autoSpaceDE w:val="0"/>
    </w:pPr>
    <w:rPr>
      <w:rFonts w:ascii="華康中楷體" w:eastAsia="華康中楷體" w:hAnsi="華康中楷體"/>
      <w:kern w:val="0"/>
      <w:szCs w:val="20"/>
    </w:rPr>
  </w:style>
  <w:style w:type="paragraph" w:customStyle="1" w:styleId="DefaultText1">
    <w:name w:val="Default Text:1"/>
    <w:basedOn w:val="a"/>
    <w:pPr>
      <w:widowControl/>
      <w:overflowPunct w:val="0"/>
      <w:autoSpaceDE w:val="0"/>
      <w:spacing w:line="432" w:lineRule="exact"/>
    </w:pPr>
    <w:rPr>
      <w:rFonts w:ascii="華康中楷體" w:eastAsia="華康中楷體" w:hAnsi="華康中楷體"/>
      <w:kern w:val="0"/>
      <w:sz w:val="28"/>
      <w:szCs w:val="20"/>
    </w:rPr>
  </w:style>
  <w:style w:type="paragraph" w:customStyle="1" w:styleId="af3">
    <w:name w:val="表格文字"/>
    <w:basedOn w:val="a"/>
    <w:pPr>
      <w:autoSpaceDE w:val="0"/>
    </w:pPr>
    <w:rPr>
      <w:rFonts w:ascii="華康中楷體" w:eastAsia="華康中楷體" w:hAnsi="華康中楷體"/>
      <w:kern w:val="0"/>
      <w:szCs w:val="24"/>
    </w:rPr>
  </w:style>
  <w:style w:type="paragraph" w:customStyle="1" w:styleId="font5">
    <w:name w:val="font5"/>
    <w:basedOn w:val="a"/>
    <w:pPr>
      <w:widowControl/>
      <w:spacing w:before="100" w:after="100"/>
    </w:pPr>
    <w:rPr>
      <w:rFonts w:ascii="標楷體" w:eastAsia="標楷體" w:hAnsi="標楷體" w:cs="新細明體"/>
      <w:kern w:val="0"/>
      <w:sz w:val="28"/>
      <w:szCs w:val="28"/>
    </w:rPr>
  </w:style>
  <w:style w:type="paragraph" w:customStyle="1" w:styleId="font6">
    <w:name w:val="font6"/>
    <w:basedOn w:val="a"/>
    <w:pPr>
      <w:widowControl/>
      <w:spacing w:before="100" w:after="100"/>
    </w:pPr>
    <w:rPr>
      <w:rFonts w:ascii="標楷體" w:eastAsia="標楷體" w:hAnsi="標楷體" w:cs="新細明體"/>
      <w:b/>
      <w:bCs/>
      <w:kern w:val="0"/>
      <w:sz w:val="28"/>
      <w:szCs w:val="28"/>
    </w:rPr>
  </w:style>
  <w:style w:type="paragraph" w:customStyle="1" w:styleId="font7">
    <w:name w:val="font7"/>
    <w:basedOn w:val="a"/>
    <w:pPr>
      <w:widowControl/>
      <w:spacing w:before="100" w:after="100"/>
    </w:pPr>
    <w:rPr>
      <w:rFonts w:ascii="新細明體" w:hAnsi="新細明體" w:cs="新細明體"/>
      <w:kern w:val="0"/>
      <w:sz w:val="18"/>
      <w:szCs w:val="18"/>
    </w:rPr>
  </w:style>
  <w:style w:type="paragraph" w:customStyle="1" w:styleId="font8">
    <w:name w:val="font8"/>
    <w:basedOn w:val="a"/>
    <w:pPr>
      <w:widowControl/>
      <w:spacing w:before="100" w:after="100"/>
    </w:pPr>
    <w:rPr>
      <w:rFonts w:ascii="Times New Roman" w:eastAsia="Arial Unicode MS" w:hAnsi="Times New Roman"/>
      <w:b/>
      <w:bCs/>
      <w:kern w:val="0"/>
      <w:sz w:val="28"/>
      <w:szCs w:val="28"/>
    </w:rPr>
  </w:style>
  <w:style w:type="paragraph" w:customStyle="1" w:styleId="font9">
    <w:name w:val="font9"/>
    <w:basedOn w:val="a"/>
    <w:pPr>
      <w:widowControl/>
      <w:spacing w:before="100" w:after="100"/>
    </w:pPr>
    <w:rPr>
      <w:rFonts w:ascii="Times New Roman" w:eastAsia="Arial Unicode MS" w:hAnsi="Times New Roman"/>
      <w:kern w:val="0"/>
      <w:sz w:val="28"/>
      <w:szCs w:val="28"/>
    </w:rPr>
  </w:style>
  <w:style w:type="paragraph" w:customStyle="1" w:styleId="xl24">
    <w:name w:val="xl24"/>
    <w:basedOn w:val="a"/>
    <w:pPr>
      <w:widowControl/>
      <w:spacing w:before="100" w:after="100"/>
    </w:pPr>
    <w:rPr>
      <w:rFonts w:ascii="Arial Unicode MS" w:eastAsia="Arial Unicode MS" w:hAnsi="Arial Unicode MS" w:cs="新細明體"/>
      <w:kern w:val="0"/>
      <w:szCs w:val="24"/>
    </w:rPr>
  </w:style>
  <w:style w:type="paragraph" w:customStyle="1" w:styleId="xl25">
    <w:name w:val="xl25"/>
    <w:basedOn w:val="a"/>
    <w:pPr>
      <w:widowControl/>
      <w:spacing w:before="100" w:after="100"/>
      <w:jc w:val="center"/>
    </w:pPr>
    <w:rPr>
      <w:rFonts w:ascii="標楷體" w:eastAsia="標楷體" w:hAnsi="標楷體" w:cs="新細明體"/>
      <w:b/>
      <w:bCs/>
      <w:kern w:val="0"/>
      <w:sz w:val="36"/>
      <w:szCs w:val="36"/>
    </w:rPr>
  </w:style>
  <w:style w:type="paragraph" w:customStyle="1" w:styleId="xl26">
    <w:name w:val="xl26"/>
    <w:basedOn w:val="a"/>
    <w:pPr>
      <w:widowControl/>
      <w:spacing w:before="100" w:after="100"/>
    </w:pPr>
    <w:rPr>
      <w:rFonts w:ascii="Times New Roman" w:eastAsia="Arial Unicode MS" w:hAnsi="Times New Roman"/>
      <w:kern w:val="0"/>
      <w:sz w:val="28"/>
      <w:szCs w:val="28"/>
    </w:rPr>
  </w:style>
  <w:style w:type="paragraph" w:customStyle="1" w:styleId="xl27">
    <w:name w:val="xl27"/>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新細明體"/>
      <w:b/>
      <w:bCs/>
      <w:kern w:val="0"/>
      <w:szCs w:val="24"/>
    </w:rPr>
  </w:style>
  <w:style w:type="paragraph" w:customStyle="1" w:styleId="xl28">
    <w:name w:val="xl28"/>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新細明體"/>
      <w:b/>
      <w:bCs/>
      <w:kern w:val="0"/>
      <w:szCs w:val="24"/>
    </w:rPr>
  </w:style>
  <w:style w:type="paragraph" w:customStyle="1" w:styleId="xl29">
    <w:name w:val="xl29"/>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30">
    <w:name w:val="xl30"/>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新細明體"/>
      <w:b/>
      <w:bCs/>
      <w:kern w:val="0"/>
      <w:sz w:val="28"/>
      <w:szCs w:val="28"/>
    </w:rPr>
  </w:style>
  <w:style w:type="paragraph" w:customStyle="1" w:styleId="xl31">
    <w:name w:val="xl31"/>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32">
    <w:name w:val="xl32"/>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33">
    <w:name w:val="xl33"/>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34">
    <w:name w:val="xl34"/>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35">
    <w:name w:val="xl35"/>
    <w:basedOn w:val="a"/>
    <w:pPr>
      <w:widowControl/>
      <w:spacing w:before="100" w:after="100"/>
      <w:jc w:val="center"/>
      <w:textAlignment w:val="center"/>
    </w:pPr>
    <w:rPr>
      <w:rFonts w:ascii="Arial Unicode MS" w:eastAsia="Arial Unicode MS" w:hAnsi="Arial Unicode MS" w:cs="新細明體"/>
      <w:kern w:val="0"/>
      <w:szCs w:val="24"/>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38">
    <w:name w:val="xl3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39">
    <w:name w:val="xl3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40">
    <w:name w:val="xl40"/>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新細明體"/>
      <w:kern w:val="0"/>
      <w:szCs w:val="24"/>
    </w:rPr>
  </w:style>
  <w:style w:type="paragraph" w:customStyle="1" w:styleId="xl41">
    <w:name w:val="xl41"/>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新細明體"/>
      <w:kern w:val="0"/>
      <w:szCs w:val="24"/>
    </w:rPr>
  </w:style>
  <w:style w:type="paragraph" w:customStyle="1" w:styleId="xl42">
    <w:name w:val="xl4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43">
    <w:name w:val="xl43"/>
    <w:basedOn w:val="a"/>
    <w:pPr>
      <w:widowControl/>
      <w:spacing w:before="100" w:after="100"/>
      <w:jc w:val="center"/>
      <w:textAlignment w:val="center"/>
    </w:pPr>
    <w:rPr>
      <w:rFonts w:ascii="標楷體" w:eastAsia="標楷體" w:hAnsi="標楷體" w:cs="新細明體"/>
      <w:kern w:val="0"/>
      <w:szCs w:val="24"/>
    </w:rPr>
  </w:style>
  <w:style w:type="paragraph" w:customStyle="1" w:styleId="xl44">
    <w:name w:val="xl4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楷體" w:eastAsia="華康中楷體" w:hAnsi="華康中楷體" w:cs="新細明體"/>
      <w:kern w:val="0"/>
      <w:szCs w:val="24"/>
    </w:rPr>
  </w:style>
  <w:style w:type="paragraph" w:customStyle="1" w:styleId="xl45">
    <w:name w:val="xl4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Cs w:val="24"/>
    </w:rPr>
  </w:style>
  <w:style w:type="paragraph" w:customStyle="1" w:styleId="xl46">
    <w:name w:val="xl4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Cs w:val="24"/>
    </w:rPr>
  </w:style>
  <w:style w:type="paragraph" w:customStyle="1" w:styleId="xl47">
    <w:name w:val="xl4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楷體" w:eastAsia="華康中楷體" w:hAnsi="華康中楷體" w:cs="新細明體"/>
      <w:kern w:val="0"/>
      <w:szCs w:val="24"/>
    </w:rPr>
  </w:style>
  <w:style w:type="paragraph" w:customStyle="1" w:styleId="xl48">
    <w:name w:val="xl4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楷體" w:eastAsia="華康中楷體" w:hAnsi="華康中楷體" w:cs="新細明體"/>
      <w:kern w:val="0"/>
      <w:szCs w:val="24"/>
    </w:rPr>
  </w:style>
  <w:style w:type="paragraph" w:customStyle="1" w:styleId="xl49">
    <w:name w:val="xl4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楷體" w:eastAsia="華康中楷體" w:hAnsi="華康中楷體" w:cs="新細明體"/>
      <w:kern w:val="0"/>
      <w:szCs w:val="24"/>
    </w:rPr>
  </w:style>
  <w:style w:type="paragraph" w:customStyle="1" w:styleId="xl50">
    <w:name w:val="xl50"/>
    <w:basedOn w:val="a"/>
    <w:pPr>
      <w:widowControl/>
      <w:spacing w:before="100" w:after="100"/>
      <w:textAlignment w:val="center"/>
    </w:pPr>
    <w:rPr>
      <w:rFonts w:ascii="標楷體" w:eastAsia="標楷體" w:hAnsi="標楷體" w:cs="新細明體"/>
      <w:kern w:val="0"/>
      <w:szCs w:val="24"/>
    </w:rPr>
  </w:style>
  <w:style w:type="paragraph" w:customStyle="1" w:styleId="xl51">
    <w:name w:val="xl51"/>
    <w:basedOn w:val="a"/>
    <w:pPr>
      <w:widowControl/>
      <w:spacing w:before="100" w:after="100"/>
      <w:textAlignment w:val="center"/>
    </w:pPr>
    <w:rPr>
      <w:rFonts w:ascii="Arial Unicode MS" w:eastAsia="Arial Unicode MS" w:hAnsi="Arial Unicode MS" w:cs="新細明體"/>
      <w:kern w:val="0"/>
      <w:szCs w:val="24"/>
    </w:rPr>
  </w:style>
  <w:style w:type="paragraph" w:customStyle="1" w:styleId="xl52">
    <w:name w:val="xl52"/>
    <w:basedOn w:val="a"/>
    <w:pPr>
      <w:widowControl/>
      <w:pBdr>
        <w:top w:val="double" w:sz="6" w:space="0" w:color="000000"/>
        <w:left w:val="double" w:sz="6" w:space="0" w:color="000000"/>
        <w:bottom w:val="double" w:sz="6" w:space="0" w:color="000000"/>
        <w:right w:val="double" w:sz="6" w:space="0" w:color="000000"/>
      </w:pBdr>
      <w:spacing w:before="100" w:after="100"/>
      <w:textAlignment w:val="center"/>
    </w:pPr>
    <w:rPr>
      <w:rFonts w:ascii="Arial Unicode MS" w:eastAsia="Arial Unicode MS" w:hAnsi="Arial Unicode MS" w:cs="新細明體"/>
      <w:kern w:val="0"/>
      <w:szCs w:val="24"/>
    </w:rPr>
  </w:style>
  <w:style w:type="paragraph" w:customStyle="1" w:styleId="xl53">
    <w:name w:val="xl53"/>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新細明體"/>
      <w:b/>
      <w:bCs/>
      <w:kern w:val="0"/>
      <w:sz w:val="28"/>
      <w:szCs w:val="28"/>
    </w:rPr>
  </w:style>
  <w:style w:type="paragraph" w:customStyle="1" w:styleId="xl54">
    <w:name w:val="xl54"/>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新細明體"/>
      <w:b/>
      <w:bCs/>
      <w:kern w:val="0"/>
      <w:sz w:val="28"/>
      <w:szCs w:val="28"/>
    </w:rPr>
  </w:style>
  <w:style w:type="paragraph" w:customStyle="1" w:styleId="xl55">
    <w:name w:val="xl55"/>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56">
    <w:name w:val="xl56"/>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57">
    <w:name w:val="xl57"/>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58">
    <w:name w:val="xl58"/>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59">
    <w:name w:val="xl5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60">
    <w:name w:val="xl6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61">
    <w:name w:val="xl6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62">
    <w:name w:val="xl6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63">
    <w:name w:val="xl6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64">
    <w:name w:val="xl64"/>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新細明體"/>
      <w:kern w:val="0"/>
      <w:szCs w:val="24"/>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新細明體"/>
      <w:kern w:val="0"/>
      <w:szCs w:val="24"/>
    </w:rPr>
  </w:style>
  <w:style w:type="paragraph" w:customStyle="1" w:styleId="xl66">
    <w:name w:val="xl66"/>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67">
    <w:name w:val="xl67"/>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68">
    <w:name w:val="xl68"/>
    <w:basedOn w:val="a"/>
    <w:pPr>
      <w:widowControl/>
      <w:spacing w:before="100" w:after="100"/>
      <w:jc w:val="center"/>
      <w:textAlignment w:val="center"/>
    </w:pPr>
    <w:rPr>
      <w:rFonts w:ascii="Arial Unicode MS" w:eastAsia="Arial Unicode MS" w:hAnsi="Arial Unicode MS" w:cs="新細明體"/>
      <w:kern w:val="0"/>
      <w:szCs w:val="24"/>
    </w:rPr>
  </w:style>
  <w:style w:type="paragraph" w:customStyle="1" w:styleId="xl69">
    <w:name w:val="xl69"/>
    <w:basedOn w:val="a"/>
    <w:pPr>
      <w:widowControl/>
      <w:spacing w:before="100" w:after="100"/>
      <w:jc w:val="center"/>
      <w:textAlignment w:val="center"/>
    </w:pPr>
    <w:rPr>
      <w:rFonts w:ascii="Arial Unicode MS" w:eastAsia="Arial Unicode MS" w:hAnsi="Arial Unicode MS" w:cs="新細明體"/>
      <w:kern w:val="0"/>
      <w:szCs w:val="24"/>
    </w:rPr>
  </w:style>
  <w:style w:type="paragraph" w:customStyle="1" w:styleId="xl70">
    <w:name w:val="xl70"/>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71">
    <w:name w:val="xl71"/>
    <w:basedOn w:val="a"/>
    <w:pPr>
      <w:widowControl/>
      <w:spacing w:before="100" w:after="100"/>
      <w:textAlignment w:val="center"/>
    </w:pPr>
    <w:rPr>
      <w:rFonts w:ascii="Arial Unicode MS" w:eastAsia="Arial Unicode MS" w:hAnsi="Arial Unicode MS" w:cs="新細明體"/>
      <w:kern w:val="0"/>
      <w:szCs w:val="24"/>
    </w:rPr>
  </w:style>
  <w:style w:type="paragraph" w:customStyle="1" w:styleId="xl72">
    <w:name w:val="xl72"/>
    <w:basedOn w:val="a"/>
    <w:pPr>
      <w:widowControl/>
      <w:spacing w:before="100" w:after="100"/>
      <w:textAlignment w:val="center"/>
    </w:pPr>
    <w:rPr>
      <w:rFonts w:ascii="Arial Unicode MS" w:eastAsia="Arial Unicode MS" w:hAnsi="Arial Unicode MS" w:cs="新細明體"/>
      <w:kern w:val="0"/>
      <w:szCs w:val="24"/>
    </w:rPr>
  </w:style>
  <w:style w:type="paragraph" w:customStyle="1" w:styleId="xl73">
    <w:name w:val="xl73"/>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74">
    <w:name w:val="xl74"/>
    <w:basedOn w:val="a"/>
    <w:pPr>
      <w:widowControl/>
      <w:spacing w:before="100" w:after="100"/>
      <w:jc w:val="right"/>
      <w:textAlignment w:val="center"/>
    </w:pPr>
    <w:rPr>
      <w:rFonts w:ascii="華康中楷體" w:eastAsia="華康中楷體" w:hAnsi="華康中楷體" w:cs="新細明體"/>
      <w:kern w:val="0"/>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華康中楷體" w:eastAsia="華康中楷體" w:hAnsi="華康中楷體" w:cs="新細明體"/>
      <w:kern w:val="0"/>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華康中楷體" w:eastAsia="華康中楷體" w:hAnsi="華康中楷體" w:cs="新細明體"/>
      <w:kern w:val="0"/>
      <w:szCs w:val="24"/>
    </w:rPr>
  </w:style>
  <w:style w:type="paragraph" w:customStyle="1" w:styleId="xl77">
    <w:name w:val="xl77"/>
    <w:basedOn w:val="a"/>
    <w:pPr>
      <w:widowControl/>
      <w:spacing w:before="100" w:after="100"/>
      <w:jc w:val="right"/>
      <w:textAlignment w:val="center"/>
    </w:pPr>
    <w:rPr>
      <w:rFonts w:ascii="華康中楷體" w:eastAsia="華康中楷體" w:hAnsi="華康中楷體" w:cs="新細明體"/>
      <w:kern w:val="0"/>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79">
    <w:name w:val="xl79"/>
    <w:basedOn w:val="a"/>
    <w:pPr>
      <w:widowControl/>
      <w:spacing w:before="100" w:after="100"/>
      <w:jc w:val="center"/>
      <w:textAlignment w:val="center"/>
    </w:pPr>
    <w:rPr>
      <w:rFonts w:ascii="Arial Unicode MS" w:eastAsia="Arial Unicode MS" w:hAnsi="Arial Unicode MS" w:cs="新細明體"/>
      <w:kern w:val="0"/>
      <w:szCs w:val="24"/>
    </w:rPr>
  </w:style>
  <w:style w:type="paragraph" w:customStyle="1" w:styleId="xl80">
    <w:name w:val="xl80"/>
    <w:basedOn w:val="a"/>
    <w:pPr>
      <w:widowControl/>
      <w:spacing w:before="100" w:after="100"/>
      <w:jc w:val="center"/>
      <w:textAlignment w:val="center"/>
    </w:pPr>
    <w:rPr>
      <w:rFonts w:ascii="華康中楷體" w:eastAsia="華康中楷體" w:hAnsi="華康中楷體" w:cs="新細明體"/>
      <w:kern w:val="0"/>
      <w:szCs w:val="24"/>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新細明體"/>
      <w:kern w:val="0"/>
      <w:szCs w:val="24"/>
    </w:rPr>
  </w:style>
  <w:style w:type="paragraph" w:customStyle="1" w:styleId="xl82">
    <w:name w:val="xl82"/>
    <w:basedOn w:val="a"/>
    <w:pPr>
      <w:widowControl/>
      <w:spacing w:before="100" w:after="100"/>
      <w:jc w:val="center"/>
      <w:textAlignment w:val="center"/>
    </w:pPr>
    <w:rPr>
      <w:rFonts w:ascii="華康中楷體" w:eastAsia="華康中楷體" w:hAnsi="華康中楷體" w:cs="新細明體"/>
      <w:kern w:val="0"/>
      <w:szCs w:val="24"/>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楷體" w:eastAsia="華康中楷體" w:hAnsi="華康中楷體" w:cs="新細明體"/>
      <w:kern w:val="0"/>
      <w:szCs w:val="24"/>
    </w:rPr>
  </w:style>
  <w:style w:type="paragraph" w:customStyle="1" w:styleId="xl84">
    <w:name w:val="xl84"/>
    <w:basedOn w:val="a"/>
    <w:pPr>
      <w:widowControl/>
      <w:spacing w:before="100" w:after="100"/>
      <w:jc w:val="center"/>
      <w:textAlignment w:val="center"/>
    </w:pPr>
    <w:rPr>
      <w:rFonts w:ascii="華康中楷體" w:eastAsia="華康中楷體" w:hAnsi="華康中楷體" w:cs="新細明體"/>
      <w:kern w:val="0"/>
      <w:szCs w:val="24"/>
    </w:rPr>
  </w:style>
  <w:style w:type="paragraph" w:customStyle="1" w:styleId="xl85">
    <w:name w:val="xl85"/>
    <w:basedOn w:val="a"/>
    <w:pPr>
      <w:widowControl/>
      <w:spacing w:before="100" w:after="100"/>
      <w:jc w:val="center"/>
      <w:textAlignment w:val="center"/>
    </w:pPr>
    <w:rPr>
      <w:rFonts w:ascii="華康中楷體" w:eastAsia="華康中楷體" w:hAnsi="華康中楷體" w:cs="新細明體"/>
      <w:kern w:val="0"/>
      <w:szCs w:val="24"/>
    </w:rPr>
  </w:style>
  <w:style w:type="paragraph" w:customStyle="1" w:styleId="xl86">
    <w:name w:val="xl86"/>
    <w:basedOn w:val="a"/>
    <w:pPr>
      <w:widowControl/>
      <w:spacing w:before="100" w:after="100"/>
      <w:jc w:val="center"/>
      <w:textAlignment w:val="center"/>
    </w:pPr>
    <w:rPr>
      <w:rFonts w:ascii="華康中楷體" w:eastAsia="華康中楷體" w:hAnsi="華康中楷體" w:cs="新細明體"/>
      <w:kern w:val="0"/>
      <w:szCs w:val="24"/>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楷體" w:eastAsia="華康中楷體" w:hAnsi="華康中楷體" w:cs="新細明體"/>
      <w:kern w:val="0"/>
      <w:szCs w:val="24"/>
    </w:rPr>
  </w:style>
  <w:style w:type="paragraph" w:customStyle="1" w:styleId="xl88">
    <w:name w:val="xl88"/>
    <w:basedOn w:val="a"/>
    <w:pPr>
      <w:widowControl/>
      <w:spacing w:before="100" w:after="100"/>
      <w:jc w:val="right"/>
      <w:textAlignment w:val="center"/>
    </w:pPr>
    <w:rPr>
      <w:rFonts w:ascii="華康中楷體" w:eastAsia="華康中楷體" w:hAnsi="華康中楷體" w:cs="新細明體"/>
      <w:kern w:val="0"/>
      <w:szCs w:val="24"/>
    </w:rPr>
  </w:style>
  <w:style w:type="paragraph" w:customStyle="1" w:styleId="xl89">
    <w:name w:val="xl89"/>
    <w:basedOn w:val="a"/>
    <w:pPr>
      <w:widowControl/>
      <w:spacing w:before="100" w:after="100"/>
      <w:jc w:val="center"/>
      <w:textAlignment w:val="center"/>
    </w:pPr>
    <w:rPr>
      <w:rFonts w:ascii="華康中楷體" w:eastAsia="華康中楷體" w:hAnsi="華康中楷體" w:cs="新細明體"/>
      <w:kern w:val="0"/>
      <w:szCs w:val="24"/>
    </w:rPr>
  </w:style>
  <w:style w:type="paragraph" w:customStyle="1" w:styleId="xl90">
    <w:name w:val="xl90"/>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customStyle="1" w:styleId="xl92">
    <w:name w:val="xl92"/>
    <w:basedOn w:val="a"/>
    <w:pPr>
      <w:widowControl/>
      <w:spacing w:before="100" w:after="100"/>
      <w:jc w:val="right"/>
      <w:textAlignment w:val="center"/>
    </w:pPr>
    <w:rPr>
      <w:rFonts w:ascii="華康中楷體" w:eastAsia="華康中楷體" w:hAnsi="華康中楷體" w:cs="新細明體"/>
      <w:kern w:val="0"/>
      <w:szCs w:val="24"/>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華康中楷體" w:eastAsia="華康中楷體" w:hAnsi="華康中楷體" w:cs="新細明體"/>
      <w:kern w:val="0"/>
      <w:szCs w:val="24"/>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customStyle="1" w:styleId="xl95">
    <w:name w:val="xl95"/>
    <w:basedOn w:val="a"/>
    <w:pPr>
      <w:widowControl/>
      <w:spacing w:before="100" w:after="100"/>
      <w:jc w:val="right"/>
      <w:textAlignment w:val="center"/>
    </w:pPr>
    <w:rPr>
      <w:rFonts w:ascii="華康中楷體" w:eastAsia="華康中楷體" w:hAnsi="華康中楷體" w:cs="新細明體"/>
      <w:kern w:val="0"/>
      <w:szCs w:val="24"/>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華康中楷體" w:eastAsia="華康中楷體" w:hAnsi="華康中楷體" w:cs="新細明體"/>
      <w:kern w:val="0"/>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華康中楷體" w:eastAsia="華康中楷體" w:hAnsi="華康中楷體" w:cs="新細明體"/>
      <w:kern w:val="0"/>
      <w:szCs w:val="24"/>
    </w:rPr>
  </w:style>
  <w:style w:type="paragraph" w:customStyle="1" w:styleId="xl98">
    <w:name w:val="xl98"/>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華康中楷體" w:eastAsia="華康中楷體" w:hAnsi="華康中楷體" w:cs="新細明體"/>
      <w:kern w:val="0"/>
      <w:szCs w:val="24"/>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styleId="af4">
    <w:name w:val="Body Text Indent"/>
    <w:basedOn w:val="a"/>
    <w:pPr>
      <w:widowControl/>
      <w:tabs>
        <w:tab w:val="left" w:pos="1418"/>
      </w:tabs>
      <w:overflowPunct w:val="0"/>
      <w:autoSpaceDE w:val="0"/>
      <w:ind w:left="1419" w:hanging="1"/>
    </w:pPr>
    <w:rPr>
      <w:rFonts w:ascii="Times New Roman" w:eastAsia="標楷體" w:hAnsi="Times New Roman"/>
      <w:kern w:val="0"/>
      <w:sz w:val="28"/>
      <w:szCs w:val="20"/>
    </w:rPr>
  </w:style>
  <w:style w:type="character" w:customStyle="1" w:styleId="af5">
    <w:name w:val="本文縮排 字元"/>
    <w:basedOn w:val="a2"/>
    <w:rPr>
      <w:rFonts w:ascii="Times New Roman" w:eastAsia="標楷體" w:hAnsi="Times New Roman" w:cs="Times New Roman"/>
      <w:kern w:val="0"/>
      <w:sz w:val="28"/>
      <w:szCs w:val="20"/>
    </w:rPr>
  </w:style>
  <w:style w:type="paragraph" w:styleId="21">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ind w:firstLine="1680"/>
    </w:pPr>
    <w:rPr>
      <w:rFonts w:ascii="細明體" w:eastAsia="標楷體" w:hAnsi="細明體"/>
      <w:kern w:val="0"/>
      <w:sz w:val="28"/>
      <w:szCs w:val="20"/>
    </w:rPr>
  </w:style>
  <w:style w:type="character" w:customStyle="1" w:styleId="22">
    <w:name w:val="本文縮排 2 字元"/>
    <w:basedOn w:val="a2"/>
    <w:rPr>
      <w:rFonts w:ascii="細明體" w:eastAsia="標楷體" w:hAnsi="細明體" w:cs="Times New Roman"/>
      <w:kern w:val="0"/>
      <w:sz w:val="28"/>
      <w:szCs w:val="20"/>
    </w:rPr>
  </w:style>
  <w:style w:type="character" w:customStyle="1" w:styleId="tbtext111">
    <w:name w:val="tb_text111"/>
    <w:rPr>
      <w:rFonts w:ascii="Verdana" w:hAnsi="Verdana"/>
      <w:strike w:val="0"/>
      <w:dstrike w:val="0"/>
      <w:color w:val="333333"/>
      <w:spacing w:val="440"/>
      <w:sz w:val="22"/>
      <w:szCs w:val="22"/>
      <w:u w:val="none"/>
    </w:rPr>
  </w:style>
  <w:style w:type="paragraph" w:styleId="af6">
    <w:name w:val="Salutation"/>
    <w:basedOn w:val="a"/>
    <w:next w:val="a"/>
    <w:pPr>
      <w:widowControl/>
      <w:overflowPunct w:val="0"/>
      <w:autoSpaceDE w:val="0"/>
    </w:pPr>
    <w:rPr>
      <w:rFonts w:ascii="ө" w:eastAsia="標楷體" w:hAnsi="ө"/>
      <w:spacing w:val="20"/>
      <w:kern w:val="0"/>
      <w:sz w:val="28"/>
      <w:szCs w:val="20"/>
    </w:rPr>
  </w:style>
  <w:style w:type="character" w:customStyle="1" w:styleId="af7">
    <w:name w:val="問候 字元"/>
    <w:basedOn w:val="a2"/>
    <w:rPr>
      <w:rFonts w:ascii="ө" w:eastAsia="標楷體" w:hAnsi="ө" w:cs="Times New Roman"/>
      <w:spacing w:val="20"/>
      <w:kern w:val="0"/>
      <w:sz w:val="28"/>
      <w:szCs w:val="20"/>
    </w:rPr>
  </w:style>
  <w:style w:type="paragraph" w:styleId="af8">
    <w:name w:val="Closing"/>
    <w:basedOn w:val="a"/>
    <w:pPr>
      <w:widowControl/>
      <w:overflowPunct w:val="0"/>
      <w:autoSpaceDE w:val="0"/>
      <w:ind w:left="100"/>
    </w:pPr>
    <w:rPr>
      <w:rFonts w:ascii="ө" w:eastAsia="標楷體" w:hAnsi="ө"/>
      <w:spacing w:val="20"/>
      <w:kern w:val="0"/>
      <w:sz w:val="28"/>
      <w:szCs w:val="20"/>
    </w:rPr>
  </w:style>
  <w:style w:type="character" w:customStyle="1" w:styleId="af9">
    <w:name w:val="結語 字元"/>
    <w:basedOn w:val="a2"/>
    <w:rPr>
      <w:rFonts w:ascii="ө" w:eastAsia="標楷體" w:hAnsi="ө" w:cs="Times New Roman"/>
      <w:spacing w:val="20"/>
      <w:kern w:val="0"/>
      <w:sz w:val="28"/>
      <w:szCs w:val="20"/>
    </w:rPr>
  </w:style>
  <w:style w:type="paragraph" w:customStyle="1" w:styleId="afa">
    <w:name w:val="(一)黑"/>
    <w:basedOn w:val="a"/>
    <w:pPr>
      <w:autoSpaceDE w:val="0"/>
      <w:spacing w:after="280" w:line="432" w:lineRule="exact"/>
      <w:ind w:left="1576" w:hanging="560"/>
    </w:pPr>
    <w:rPr>
      <w:rFonts w:ascii="標楷體" w:eastAsia="標楷體" w:hAnsi="標楷體"/>
      <w:b/>
      <w:bCs/>
      <w:kern w:val="0"/>
      <w:sz w:val="28"/>
      <w:szCs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2"/>
    <w:rPr>
      <w:rFonts w:ascii="細明體" w:eastAsia="細明體" w:hAnsi="細明體" w:cs="Times New Roman"/>
      <w:kern w:val="0"/>
      <w:szCs w:val="24"/>
    </w:rPr>
  </w:style>
  <w:style w:type="paragraph" w:customStyle="1" w:styleId="17">
    <w:name w:val="1."/>
    <w:basedOn w:val="a"/>
    <w:pPr>
      <w:autoSpaceDE w:val="0"/>
      <w:spacing w:after="140" w:line="432" w:lineRule="exact"/>
      <w:ind w:left="1296" w:hanging="280"/>
    </w:pPr>
    <w:rPr>
      <w:rFonts w:ascii="標楷體" w:eastAsia="標楷體" w:hAnsi="標楷體"/>
      <w:kern w:val="0"/>
      <w:sz w:val="28"/>
      <w:szCs w:val="28"/>
    </w:rPr>
  </w:style>
  <w:style w:type="paragraph" w:customStyle="1" w:styleId="18">
    <w:name w:val="1.後項"/>
    <w:basedOn w:val="a"/>
    <w:pPr>
      <w:autoSpaceDE w:val="0"/>
      <w:spacing w:after="280" w:line="432" w:lineRule="exact"/>
      <w:ind w:left="1296" w:hanging="280"/>
    </w:pPr>
    <w:rPr>
      <w:rFonts w:ascii="標楷體" w:eastAsia="標楷體" w:hAnsi="標楷體"/>
      <w:kern w:val="0"/>
      <w:sz w:val="28"/>
      <w:szCs w:val="28"/>
    </w:rPr>
  </w:style>
  <w:style w:type="paragraph" w:customStyle="1" w:styleId="19">
    <w:name w:val="(1)"/>
    <w:basedOn w:val="a"/>
    <w:pPr>
      <w:autoSpaceDE w:val="0"/>
      <w:spacing w:after="140" w:line="432" w:lineRule="exact"/>
      <w:ind w:left="1576" w:hanging="280"/>
    </w:pPr>
    <w:rPr>
      <w:rFonts w:ascii="標楷體" w:eastAsia="標楷體" w:hAnsi="標楷體"/>
      <w:kern w:val="0"/>
      <w:sz w:val="28"/>
      <w:szCs w:val="28"/>
    </w:rPr>
  </w:style>
  <w:style w:type="paragraph" w:customStyle="1" w:styleId="afb">
    <w:name w:val="表頭"/>
    <w:basedOn w:val="a"/>
    <w:pPr>
      <w:autoSpaceDE w:val="0"/>
      <w:spacing w:after="120" w:line="432" w:lineRule="exact"/>
      <w:ind w:left="1016"/>
    </w:pPr>
    <w:rPr>
      <w:rFonts w:ascii="標楷體" w:eastAsia="標楷體" w:hAnsi="標楷體"/>
      <w:kern w:val="0"/>
      <w:szCs w:val="24"/>
    </w:rPr>
  </w:style>
  <w:style w:type="paragraph" w:customStyle="1" w:styleId="afc">
    <w:name w:val="一."/>
    <w:basedOn w:val="a"/>
    <w:pPr>
      <w:autoSpaceDE w:val="0"/>
      <w:spacing w:after="320" w:line="432" w:lineRule="exact"/>
      <w:ind w:left="332"/>
    </w:pPr>
    <w:rPr>
      <w:rFonts w:ascii="標楷體" w:eastAsia="標楷體" w:hAnsi="標楷體"/>
      <w:b/>
      <w:kern w:val="0"/>
      <w:sz w:val="32"/>
      <w:szCs w:val="20"/>
    </w:rPr>
  </w:style>
  <w:style w:type="paragraph" w:customStyle="1" w:styleId="TableText">
    <w:name w:val="Table Text"/>
    <w:basedOn w:val="a"/>
    <w:pPr>
      <w:tabs>
        <w:tab w:val="decimal" w:pos="0"/>
      </w:tabs>
      <w:autoSpaceDE w:val="0"/>
    </w:pPr>
    <w:rPr>
      <w:rFonts w:ascii="Times New Roman" w:hAnsi="Times New Roman"/>
      <w:kern w:val="0"/>
      <w:szCs w:val="20"/>
    </w:rPr>
  </w:style>
  <w:style w:type="paragraph" w:styleId="31">
    <w:name w:val="Body Text Indent 3"/>
    <w:basedOn w:val="a"/>
    <w:pPr>
      <w:widowControl/>
      <w:overflowPunct w:val="0"/>
      <w:autoSpaceDE w:val="0"/>
      <w:spacing w:line="432" w:lineRule="exact"/>
      <w:ind w:left="1420"/>
    </w:pPr>
    <w:rPr>
      <w:rFonts w:ascii="Times New Roman" w:eastAsia="標楷體" w:hAnsi="Times New Roman"/>
      <w:kern w:val="0"/>
      <w:sz w:val="28"/>
      <w:szCs w:val="20"/>
    </w:rPr>
  </w:style>
  <w:style w:type="character" w:customStyle="1" w:styleId="32">
    <w:name w:val="本文縮排 3 字元"/>
    <w:basedOn w:val="a2"/>
    <w:rPr>
      <w:rFonts w:ascii="Times New Roman" w:eastAsia="標楷體" w:hAnsi="Times New Roman" w:cs="Times New Roman"/>
      <w:kern w:val="0"/>
      <w:sz w:val="28"/>
      <w:szCs w:val="20"/>
    </w:rPr>
  </w:style>
  <w:style w:type="paragraph" w:styleId="afd">
    <w:name w:val="Body Text"/>
    <w:basedOn w:val="a"/>
    <w:pPr>
      <w:spacing w:line="360" w:lineRule="auto"/>
      <w:jc w:val="both"/>
    </w:pPr>
    <w:rPr>
      <w:rFonts w:ascii="Times New Roman" w:hAnsi="Times New Roman"/>
      <w:szCs w:val="20"/>
    </w:rPr>
  </w:style>
  <w:style w:type="character" w:customStyle="1" w:styleId="afe">
    <w:name w:val="本文 字元"/>
    <w:basedOn w:val="a2"/>
    <w:rPr>
      <w:rFonts w:ascii="Times New Roman" w:eastAsia="新細明體" w:hAnsi="Times New Roman" w:cs="Times New Roman"/>
      <w:kern w:val="3"/>
      <w:szCs w:val="20"/>
    </w:rPr>
  </w:style>
  <w:style w:type="paragraph" w:styleId="aff">
    <w:name w:val="Note Heading"/>
    <w:basedOn w:val="a"/>
    <w:next w:val="a"/>
    <w:pPr>
      <w:widowControl/>
      <w:overflowPunct w:val="0"/>
      <w:autoSpaceDE w:val="0"/>
      <w:jc w:val="center"/>
    </w:pPr>
    <w:rPr>
      <w:rFonts w:ascii="標楷體" w:eastAsia="標楷體" w:hAnsi="標楷體"/>
      <w:b/>
      <w:kern w:val="0"/>
      <w:sz w:val="28"/>
      <w:szCs w:val="20"/>
    </w:rPr>
  </w:style>
  <w:style w:type="character" w:customStyle="1" w:styleId="aff0">
    <w:name w:val="註釋標題 字元"/>
    <w:basedOn w:val="a2"/>
    <w:rPr>
      <w:rFonts w:ascii="標楷體" w:eastAsia="標楷體" w:hAnsi="標楷體" w:cs="Times New Roman"/>
      <w:b/>
      <w:kern w:val="0"/>
      <w:sz w:val="28"/>
      <w:szCs w:val="20"/>
    </w:rPr>
  </w:style>
  <w:style w:type="paragraph" w:customStyle="1" w:styleId="Title1">
    <w:name w:val="Title:1"/>
    <w:basedOn w:val="a"/>
    <w:pPr>
      <w:keepNext/>
      <w:keepLines/>
      <w:widowControl/>
      <w:overflowPunct w:val="0"/>
      <w:autoSpaceDE w:val="0"/>
      <w:spacing w:before="144" w:after="72"/>
      <w:jc w:val="center"/>
    </w:pPr>
    <w:rPr>
      <w:rFonts w:ascii="細明體" w:eastAsia="細明體" w:hAnsi="細明體"/>
      <w:b/>
      <w:kern w:val="0"/>
      <w:sz w:val="36"/>
      <w:szCs w:val="20"/>
    </w:rPr>
  </w:style>
  <w:style w:type="paragraph" w:customStyle="1" w:styleId="Subhead1">
    <w:name w:val="Subhead:1"/>
    <w:basedOn w:val="a"/>
    <w:pPr>
      <w:widowControl/>
      <w:overflowPunct w:val="0"/>
      <w:autoSpaceDE w:val="0"/>
      <w:spacing w:before="72" w:after="72"/>
    </w:pPr>
    <w:rPr>
      <w:rFonts w:ascii="細明體" w:eastAsia="細明體" w:hAnsi="細明體"/>
      <w:b/>
      <w:i/>
      <w:kern w:val="0"/>
      <w:szCs w:val="20"/>
    </w:rPr>
  </w:style>
  <w:style w:type="paragraph" w:customStyle="1" w:styleId="NumberList1">
    <w:name w:val="Number List:1"/>
    <w:basedOn w:val="a"/>
    <w:pPr>
      <w:widowControl/>
      <w:overflowPunct w:val="0"/>
      <w:autoSpaceDE w:val="0"/>
    </w:pPr>
    <w:rPr>
      <w:rFonts w:ascii="細明體" w:eastAsia="細明體" w:hAnsi="細明體"/>
      <w:kern w:val="0"/>
      <w:szCs w:val="20"/>
    </w:rPr>
  </w:style>
  <w:style w:type="paragraph" w:customStyle="1" w:styleId="Bullet11">
    <w:name w:val="Bullet 1:1"/>
    <w:basedOn w:val="a"/>
    <w:pPr>
      <w:widowControl/>
      <w:overflowPunct w:val="0"/>
      <w:autoSpaceDE w:val="0"/>
    </w:pPr>
    <w:rPr>
      <w:rFonts w:ascii="細明體" w:eastAsia="細明體" w:hAnsi="細明體"/>
      <w:kern w:val="0"/>
      <w:szCs w:val="20"/>
    </w:rPr>
  </w:style>
  <w:style w:type="paragraph" w:customStyle="1" w:styleId="Bullet10">
    <w:name w:val="Bullet:1"/>
    <w:basedOn w:val="a"/>
    <w:pPr>
      <w:widowControl/>
      <w:overflowPunct w:val="0"/>
      <w:autoSpaceDE w:val="0"/>
    </w:pPr>
    <w:rPr>
      <w:rFonts w:ascii="細明體" w:eastAsia="細明體" w:hAnsi="細明體"/>
      <w:kern w:val="0"/>
      <w:szCs w:val="20"/>
    </w:rPr>
  </w:style>
  <w:style w:type="paragraph" w:customStyle="1" w:styleId="BodySingle1">
    <w:name w:val="Body Single:1"/>
    <w:basedOn w:val="a"/>
    <w:pPr>
      <w:widowControl/>
      <w:overflowPunct w:val="0"/>
      <w:autoSpaceDE w:val="0"/>
    </w:pPr>
    <w:rPr>
      <w:rFonts w:ascii="細明體" w:eastAsia="細明體" w:hAnsi="細明體"/>
      <w:kern w:val="0"/>
      <w:szCs w:val="20"/>
    </w:rPr>
  </w:style>
  <w:style w:type="paragraph" w:customStyle="1" w:styleId="Title2">
    <w:name w:val="Title:2"/>
    <w:basedOn w:val="a"/>
    <w:pPr>
      <w:keepNext/>
      <w:keepLines/>
      <w:widowControl/>
      <w:overflowPunct w:val="0"/>
      <w:autoSpaceDE w:val="0"/>
      <w:spacing w:before="144" w:after="72"/>
      <w:jc w:val="center"/>
    </w:pPr>
    <w:rPr>
      <w:rFonts w:ascii="細明體" w:eastAsia="細明體" w:hAnsi="細明體"/>
      <w:b/>
      <w:kern w:val="0"/>
      <w:sz w:val="36"/>
      <w:szCs w:val="20"/>
    </w:rPr>
  </w:style>
  <w:style w:type="paragraph" w:customStyle="1" w:styleId="Subhead2">
    <w:name w:val="Subhead:2"/>
    <w:basedOn w:val="a"/>
    <w:pPr>
      <w:widowControl/>
      <w:overflowPunct w:val="0"/>
      <w:autoSpaceDE w:val="0"/>
      <w:spacing w:before="72" w:after="72"/>
    </w:pPr>
    <w:rPr>
      <w:rFonts w:ascii="細明體" w:eastAsia="細明體" w:hAnsi="細明體"/>
      <w:b/>
      <w:i/>
      <w:kern w:val="0"/>
      <w:szCs w:val="20"/>
    </w:rPr>
  </w:style>
  <w:style w:type="paragraph" w:customStyle="1" w:styleId="NumberList2">
    <w:name w:val="Number List:2"/>
    <w:basedOn w:val="a"/>
    <w:pPr>
      <w:widowControl/>
      <w:overflowPunct w:val="0"/>
      <w:autoSpaceDE w:val="0"/>
    </w:pPr>
    <w:rPr>
      <w:rFonts w:ascii="細明體" w:eastAsia="細明體" w:hAnsi="細明體"/>
      <w:kern w:val="0"/>
      <w:szCs w:val="20"/>
    </w:rPr>
  </w:style>
  <w:style w:type="paragraph" w:customStyle="1" w:styleId="Bullet12">
    <w:name w:val="Bullet 1:2"/>
    <w:basedOn w:val="a"/>
    <w:pPr>
      <w:widowControl/>
      <w:overflowPunct w:val="0"/>
      <w:autoSpaceDE w:val="0"/>
    </w:pPr>
    <w:rPr>
      <w:rFonts w:ascii="細明體" w:eastAsia="細明體" w:hAnsi="細明體"/>
      <w:kern w:val="0"/>
      <w:szCs w:val="20"/>
    </w:rPr>
  </w:style>
  <w:style w:type="paragraph" w:customStyle="1" w:styleId="Bullet2">
    <w:name w:val="Bullet:2"/>
    <w:basedOn w:val="a"/>
    <w:pPr>
      <w:widowControl/>
      <w:overflowPunct w:val="0"/>
      <w:autoSpaceDE w:val="0"/>
    </w:pPr>
    <w:rPr>
      <w:rFonts w:ascii="細明體" w:eastAsia="細明體" w:hAnsi="細明體"/>
      <w:kern w:val="0"/>
      <w:szCs w:val="20"/>
    </w:rPr>
  </w:style>
  <w:style w:type="paragraph" w:customStyle="1" w:styleId="BodySingle2">
    <w:name w:val="Body Single:2"/>
    <w:basedOn w:val="a"/>
    <w:pPr>
      <w:widowControl/>
      <w:overflowPunct w:val="0"/>
      <w:autoSpaceDE w:val="0"/>
    </w:pPr>
    <w:rPr>
      <w:rFonts w:ascii="細明體" w:eastAsia="細明體" w:hAnsi="細明體"/>
      <w:kern w:val="0"/>
      <w:szCs w:val="20"/>
    </w:rPr>
  </w:style>
  <w:style w:type="paragraph" w:customStyle="1" w:styleId="p1">
    <w:name w:val="¤p:1"/>
    <w:basedOn w:val="a"/>
    <w:pPr>
      <w:widowControl/>
      <w:overflowPunct w:val="0"/>
      <w:autoSpaceDE w:val="0"/>
      <w:spacing w:line="144" w:lineRule="exact"/>
    </w:pPr>
    <w:rPr>
      <w:rFonts w:ascii="華康中楷體" w:eastAsia="華康中楷體" w:hAnsi="華康中楷體"/>
      <w:kern w:val="0"/>
      <w:szCs w:val="20"/>
    </w:rPr>
  </w:style>
  <w:style w:type="paragraph" w:customStyle="1" w:styleId="1a">
    <w:name w:val="ªí$:1"/>
    <w:basedOn w:val="a"/>
    <w:pPr>
      <w:widowControl/>
      <w:overflowPunct w:val="0"/>
      <w:autoSpaceDE w:val="0"/>
    </w:pPr>
    <w:rPr>
      <w:rFonts w:ascii="華康中楷體" w:eastAsia="華康中楷體" w:hAnsi="華康中楷體"/>
      <w:kern w:val="0"/>
      <w:szCs w:val="20"/>
    </w:rPr>
  </w:style>
  <w:style w:type="paragraph" w:customStyle="1" w:styleId="R10">
    <w:name w:val="¤ÀªRªí:1"/>
    <w:basedOn w:val="a"/>
    <w:pPr>
      <w:widowControl/>
      <w:overflowPunct w:val="0"/>
      <w:autoSpaceDE w:val="0"/>
      <w:spacing w:line="288" w:lineRule="exact"/>
    </w:pPr>
    <w:rPr>
      <w:rFonts w:ascii="華康中楷體" w:eastAsia="華康中楷體" w:hAnsi="華康中楷體"/>
      <w:kern w:val="0"/>
      <w:szCs w:val="20"/>
    </w:rPr>
  </w:style>
  <w:style w:type="paragraph" w:customStyle="1" w:styleId="g1">
    <w:name w:val="¤g¶]ªí:1"/>
    <w:basedOn w:val="a"/>
    <w:pPr>
      <w:widowControl/>
      <w:overflowPunct w:val="0"/>
      <w:autoSpaceDE w:val="0"/>
      <w:spacing w:line="216" w:lineRule="exact"/>
    </w:pPr>
    <w:rPr>
      <w:rFonts w:ascii="華康中楷體" w:eastAsia="華康中楷體" w:hAnsi="華康中楷體"/>
      <w:kern w:val="0"/>
      <w:sz w:val="20"/>
      <w:szCs w:val="20"/>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New York"/>
      <w:kern w:val="0"/>
      <w:sz w:val="22"/>
    </w:rPr>
  </w:style>
  <w:style w:type="paragraph" w:customStyle="1" w:styleId="xl104">
    <w:name w:val="xl104"/>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New York"/>
      <w:b/>
      <w:bCs/>
      <w:kern w:val="0"/>
      <w:sz w:val="22"/>
    </w:rPr>
  </w:style>
  <w:style w:type="paragraph" w:customStyle="1" w:styleId="xl105">
    <w:name w:val="xl105"/>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新細明體" w:hAnsi="新細明體" w:cs="New York"/>
      <w:kern w:val="0"/>
      <w:sz w:val="22"/>
    </w:rPr>
  </w:style>
  <w:style w:type="paragraph" w:customStyle="1" w:styleId="xl106">
    <w:name w:val="xl106"/>
    <w:basedOn w:val="a"/>
    <w:pPr>
      <w:widowControl/>
      <w:spacing w:before="100" w:after="100"/>
      <w:jc w:val="center"/>
      <w:textAlignment w:val="center"/>
    </w:pPr>
    <w:rPr>
      <w:rFonts w:ascii="新細明體" w:hAnsi="新細明體" w:cs="New York"/>
      <w:kern w:val="0"/>
      <w:sz w:val="22"/>
    </w:rPr>
  </w:style>
  <w:style w:type="paragraph" w:customStyle="1" w:styleId="xl107">
    <w:name w:val="xl107"/>
    <w:basedOn w:val="a"/>
    <w:pPr>
      <w:widowControl/>
      <w:spacing w:before="100" w:after="100"/>
      <w:jc w:val="center"/>
      <w:textAlignment w:val="center"/>
    </w:pPr>
    <w:rPr>
      <w:rFonts w:ascii="新細明體" w:hAnsi="新細明體" w:cs="New York"/>
      <w:kern w:val="0"/>
      <w:sz w:val="22"/>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標楷體" w:eastAsia="標楷體" w:hAnsi="標楷體" w:cs="New York"/>
      <w:kern w:val="0"/>
      <w:sz w:val="22"/>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標楷體" w:eastAsia="標楷體" w:hAnsi="標楷體" w:cs="New York"/>
      <w:kern w:val="0"/>
      <w:sz w:val="22"/>
    </w:rPr>
  </w:style>
  <w:style w:type="paragraph" w:customStyle="1" w:styleId="xl110">
    <w:name w:val="xl110"/>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New York"/>
      <w:b/>
      <w:bCs/>
      <w:kern w:val="0"/>
      <w:sz w:val="22"/>
    </w:rPr>
  </w:style>
  <w:style w:type="paragraph" w:customStyle="1" w:styleId="xl111">
    <w:name w:val="xl111"/>
    <w:basedOn w:val="a"/>
    <w:pPr>
      <w:widowControl/>
      <w:spacing w:before="100" w:after="100"/>
      <w:jc w:val="center"/>
      <w:textAlignment w:val="center"/>
    </w:pPr>
    <w:rPr>
      <w:rFonts w:ascii="標楷體" w:eastAsia="標楷體" w:hAnsi="標楷體" w:cs="New York"/>
      <w:b/>
      <w:bCs/>
      <w:kern w:val="0"/>
      <w:sz w:val="22"/>
    </w:rPr>
  </w:style>
  <w:style w:type="paragraph" w:customStyle="1" w:styleId="xl112">
    <w:name w:val="xl112"/>
    <w:basedOn w:val="a"/>
    <w:pPr>
      <w:widowControl/>
      <w:spacing w:before="100" w:after="100"/>
      <w:jc w:val="center"/>
      <w:textAlignment w:val="center"/>
    </w:pPr>
    <w:rPr>
      <w:rFonts w:ascii="標楷體" w:eastAsia="標楷體" w:hAnsi="標楷體" w:cs="New York"/>
      <w:b/>
      <w:bCs/>
      <w:kern w:val="0"/>
      <w:sz w:val="22"/>
    </w:rPr>
  </w:style>
  <w:style w:type="paragraph" w:customStyle="1" w:styleId="xl113">
    <w:name w:val="xl11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New York"/>
      <w:b/>
      <w:bCs/>
      <w:kern w:val="0"/>
      <w:sz w:val="22"/>
    </w:rPr>
  </w:style>
  <w:style w:type="paragraph" w:customStyle="1" w:styleId="xl114">
    <w:name w:val="xl114"/>
    <w:basedOn w:val="a"/>
    <w:pPr>
      <w:widowControl/>
      <w:spacing w:before="100" w:after="100"/>
      <w:jc w:val="center"/>
      <w:textAlignment w:val="center"/>
    </w:pPr>
    <w:rPr>
      <w:rFonts w:ascii="新細明體" w:hAnsi="新細明體" w:cs="New York"/>
      <w:kern w:val="0"/>
      <w:sz w:val="22"/>
    </w:rPr>
  </w:style>
  <w:style w:type="paragraph" w:customStyle="1" w:styleId="xl115">
    <w:name w:val="xl115"/>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New York"/>
      <w:b/>
      <w:bCs/>
      <w:kern w:val="0"/>
      <w:sz w:val="28"/>
      <w:szCs w:val="28"/>
    </w:rPr>
  </w:style>
  <w:style w:type="paragraph" w:customStyle="1" w:styleId="font0">
    <w:name w:val="font0"/>
    <w:basedOn w:val="a"/>
    <w:pPr>
      <w:widowControl/>
      <w:spacing w:before="100" w:after="100"/>
    </w:pPr>
    <w:rPr>
      <w:rFonts w:ascii="新細明體" w:hAnsi="新細明體"/>
      <w:kern w:val="0"/>
      <w:szCs w:val="24"/>
    </w:rPr>
  </w:style>
  <w:style w:type="paragraph" w:customStyle="1" w:styleId="font10">
    <w:name w:val="font10"/>
    <w:basedOn w:val="a"/>
    <w:pPr>
      <w:widowControl/>
      <w:spacing w:before="100" w:after="100"/>
    </w:pPr>
    <w:rPr>
      <w:rFonts w:ascii="Times New Roman" w:hAnsi="Times New Roman"/>
      <w:color w:val="000000"/>
      <w:kern w:val="0"/>
      <w:sz w:val="16"/>
      <w:szCs w:val="16"/>
    </w:rPr>
  </w:style>
  <w:style w:type="paragraph" w:customStyle="1" w:styleId="aff1">
    <w:name w:val="文大"/>
    <w:basedOn w:val="a"/>
    <w:pPr>
      <w:autoSpaceDE w:val="0"/>
      <w:spacing w:line="475" w:lineRule="exact"/>
    </w:pPr>
    <w:rPr>
      <w:rFonts w:ascii="華康中楷體" w:eastAsia="華康中楷體" w:hAnsi="華康中楷體" w:cs="華康中楷體"/>
      <w:kern w:val="0"/>
      <w:sz w:val="28"/>
      <w:szCs w:val="28"/>
    </w:rPr>
  </w:style>
  <w:style w:type="character" w:styleId="aff2">
    <w:name w:val="page number"/>
    <w:basedOn w:val="a2"/>
  </w:style>
  <w:style w:type="character" w:styleId="aff3">
    <w:name w:val="Hyperlink"/>
    <w:rPr>
      <w:color w:val="0000FF"/>
      <w:u w:val="single"/>
    </w:rPr>
  </w:style>
  <w:style w:type="character" w:styleId="aff4">
    <w:name w:val="FollowedHyperlink"/>
    <w:rPr>
      <w:color w:val="800080"/>
      <w:u w:val="single"/>
    </w:rPr>
  </w:style>
  <w:style w:type="character" w:styleId="aff5">
    <w:name w:val="Strong"/>
    <w:rPr>
      <w:b/>
      <w:bCs/>
    </w:rPr>
  </w:style>
  <w:style w:type="paragraph" w:styleId="Web">
    <w:name w:val="Normal (Web)"/>
    <w:basedOn w:val="a"/>
    <w:pPr>
      <w:widowControl/>
      <w:spacing w:before="100" w:after="100"/>
    </w:pPr>
    <w:rPr>
      <w:rFonts w:ascii="新細明體" w:hAnsi="新細明體" w:cs="新細明體"/>
      <w:kern w:val="0"/>
      <w:szCs w:val="24"/>
    </w:rPr>
  </w:style>
  <w:style w:type="character" w:customStyle="1" w:styleId="font">
    <w:name w:val="font"/>
    <w:basedOn w:val="a2"/>
  </w:style>
  <w:style w:type="character" w:customStyle="1" w:styleId="newsc1">
    <w:name w:val="newsc1"/>
    <w:rPr>
      <w:sz w:val="23"/>
      <w:szCs w:val="23"/>
    </w:rPr>
  </w:style>
  <w:style w:type="character" w:styleId="aff6">
    <w:name w:val="annotation reference"/>
    <w:rPr>
      <w:sz w:val="18"/>
      <w:szCs w:val="18"/>
    </w:rPr>
  </w:style>
  <w:style w:type="paragraph" w:styleId="aff7">
    <w:name w:val="annotation text"/>
    <w:basedOn w:val="a"/>
    <w:pPr>
      <w:widowControl/>
      <w:overflowPunct w:val="0"/>
      <w:autoSpaceDE w:val="0"/>
    </w:pPr>
    <w:rPr>
      <w:rFonts w:ascii="Times New Roman" w:hAnsi="Times New Roman"/>
      <w:kern w:val="0"/>
      <w:sz w:val="20"/>
      <w:szCs w:val="20"/>
    </w:rPr>
  </w:style>
  <w:style w:type="character" w:customStyle="1" w:styleId="aff8">
    <w:name w:val="註解文字 字元"/>
    <w:basedOn w:val="a2"/>
    <w:rPr>
      <w:rFonts w:ascii="Times New Roman" w:eastAsia="新細明體" w:hAnsi="Times New Roman" w:cs="Times New Roman"/>
      <w:kern w:val="0"/>
      <w:sz w:val="20"/>
      <w:szCs w:val="20"/>
    </w:rPr>
  </w:style>
  <w:style w:type="paragraph" w:styleId="aff9">
    <w:name w:val="annotation subject"/>
    <w:basedOn w:val="aff7"/>
    <w:next w:val="aff7"/>
    <w:rPr>
      <w:b/>
      <w:bCs/>
    </w:rPr>
  </w:style>
  <w:style w:type="character" w:customStyle="1" w:styleId="affa">
    <w:name w:val="註解主旨 字元"/>
    <w:basedOn w:val="aff8"/>
    <w:rPr>
      <w:rFonts w:ascii="Times New Roman" w:eastAsia="新細明體" w:hAnsi="Times New Roman" w:cs="Times New Roman"/>
      <w:b/>
      <w:bCs/>
      <w:kern w:val="0"/>
      <w:sz w:val="20"/>
      <w:szCs w:val="20"/>
    </w:rPr>
  </w:style>
  <w:style w:type="paragraph" w:styleId="affb">
    <w:name w:val="Balloon Text"/>
    <w:basedOn w:val="a"/>
    <w:pPr>
      <w:widowControl/>
      <w:overflowPunct w:val="0"/>
      <w:autoSpaceDE w:val="0"/>
    </w:pPr>
    <w:rPr>
      <w:rFonts w:ascii="Arial" w:hAnsi="Arial"/>
      <w:kern w:val="0"/>
      <w:sz w:val="18"/>
      <w:szCs w:val="18"/>
    </w:rPr>
  </w:style>
  <w:style w:type="character" w:customStyle="1" w:styleId="affc">
    <w:name w:val="註解方塊文字 字元"/>
    <w:basedOn w:val="a2"/>
    <w:rPr>
      <w:rFonts w:ascii="Arial" w:eastAsia="新細明體" w:hAnsi="Arial" w:cs="Times New Roman"/>
      <w:kern w:val="0"/>
      <w:sz w:val="18"/>
      <w:szCs w:val="18"/>
    </w:rPr>
  </w:style>
  <w:style w:type="paragraph" w:styleId="affd">
    <w:name w:val="footnote text"/>
    <w:basedOn w:val="a"/>
    <w:pPr>
      <w:widowControl/>
      <w:overflowPunct w:val="0"/>
      <w:autoSpaceDE w:val="0"/>
      <w:snapToGrid w:val="0"/>
    </w:pPr>
    <w:rPr>
      <w:rFonts w:ascii="Times New Roman" w:hAnsi="Times New Roman"/>
      <w:kern w:val="0"/>
      <w:sz w:val="20"/>
      <w:szCs w:val="20"/>
    </w:rPr>
  </w:style>
  <w:style w:type="character" w:customStyle="1" w:styleId="affe">
    <w:name w:val="註腳文字 字元"/>
    <w:basedOn w:val="a2"/>
    <w:rPr>
      <w:rFonts w:ascii="Times New Roman" w:eastAsia="新細明體" w:hAnsi="Times New Roman" w:cs="Times New Roman"/>
      <w:kern w:val="0"/>
      <w:sz w:val="20"/>
      <w:szCs w:val="20"/>
    </w:rPr>
  </w:style>
  <w:style w:type="character" w:styleId="afff">
    <w:name w:val="footnote reference"/>
    <w:rPr>
      <w:position w:val="0"/>
      <w:vertAlign w:val="superscript"/>
    </w:rPr>
  </w:style>
  <w:style w:type="paragraph" w:customStyle="1" w:styleId="afff0">
    <w:name w:val="標題二"/>
    <w:basedOn w:val="DefaultText"/>
    <w:pPr>
      <w:spacing w:line="600" w:lineRule="exact"/>
      <w:ind w:left="403"/>
      <w:jc w:val="both"/>
    </w:pPr>
    <w:rPr>
      <w:rFonts w:ascii="Book Antiqua" w:eastAsia="標楷體" w:hAnsi="Book Antiqua"/>
      <w:b/>
      <w:bCs/>
      <w:sz w:val="32"/>
    </w:rPr>
  </w:style>
  <w:style w:type="character" w:customStyle="1" w:styleId="DefaultText0">
    <w:name w:val="Default Text 字元"/>
    <w:rPr>
      <w:rFonts w:ascii="華康中楷體" w:eastAsia="華康中楷體" w:hAnsi="華康中楷體"/>
      <w:sz w:val="28"/>
    </w:rPr>
  </w:style>
  <w:style w:type="character" w:customStyle="1" w:styleId="afff1">
    <w:name w:val="標題一 字元"/>
    <w:rPr>
      <w:rFonts w:ascii="Book Antiqua" w:eastAsia="標楷體" w:hAnsi="Book Antiqua"/>
      <w:b/>
      <w:sz w:val="36"/>
    </w:rPr>
  </w:style>
  <w:style w:type="paragraph" w:styleId="afff2">
    <w:name w:val="TOC Heading"/>
    <w:basedOn w:val="1"/>
    <w:next w:val="a"/>
    <w:pPr>
      <w:keepLines/>
      <w:spacing w:before="480" w:line="276" w:lineRule="auto"/>
      <w:jc w:val="left"/>
    </w:pPr>
    <w:rPr>
      <w:rFonts w:ascii="Cambria" w:eastAsia="新細明體" w:hAnsi="Cambria"/>
      <w:b w:val="0"/>
      <w:bCs/>
      <w:color w:val="365F91"/>
      <w:sz w:val="28"/>
      <w:szCs w:val="28"/>
    </w:rPr>
  </w:style>
  <w:style w:type="character" w:customStyle="1" w:styleId="afff3">
    <w:name w:val="標題二 字元"/>
    <w:rPr>
      <w:rFonts w:ascii="Book Antiqua" w:eastAsia="標楷體" w:hAnsi="Book Antiqua"/>
      <w:b/>
      <w:bCs/>
      <w:sz w:val="32"/>
    </w:rPr>
  </w:style>
  <w:style w:type="paragraph" w:styleId="1b">
    <w:name w:val="toc 1"/>
    <w:basedOn w:val="DefaultText"/>
    <w:next w:val="a"/>
    <w:autoRedefine/>
    <w:pPr>
      <w:tabs>
        <w:tab w:val="left" w:pos="850"/>
        <w:tab w:val="right" w:leader="dot" w:pos="9356"/>
      </w:tabs>
      <w:spacing w:line="320" w:lineRule="exact"/>
    </w:pPr>
    <w:rPr>
      <w:rFonts w:ascii="標楷體" w:eastAsia="標楷體" w:hAnsi="標楷體" w:cs="Arial"/>
      <w:szCs w:val="28"/>
    </w:rPr>
  </w:style>
  <w:style w:type="paragraph" w:styleId="23">
    <w:name w:val="toc 2"/>
    <w:basedOn w:val="DefaultText"/>
    <w:next w:val="a"/>
    <w:autoRedefine/>
    <w:pPr>
      <w:tabs>
        <w:tab w:val="right" w:leader="dot" w:pos="9356"/>
      </w:tabs>
      <w:spacing w:line="460" w:lineRule="exact"/>
      <w:ind w:left="1412" w:hanging="1412"/>
    </w:pPr>
    <w:rPr>
      <w:rFonts w:ascii="標楷體" w:eastAsia="標楷體" w:hAnsi="標楷體"/>
      <w:szCs w:val="28"/>
    </w:rPr>
  </w:style>
  <w:style w:type="paragraph" w:styleId="33">
    <w:name w:val="toc 3"/>
    <w:basedOn w:val="DefaultText"/>
    <w:next w:val="a"/>
    <w:autoRedefine/>
    <w:pPr>
      <w:tabs>
        <w:tab w:val="right" w:leader="dot" w:pos="2437"/>
        <w:tab w:val="right" w:leader="dot" w:pos="9356"/>
      </w:tabs>
      <w:spacing w:line="240" w:lineRule="auto"/>
      <w:ind w:left="1797"/>
    </w:pPr>
    <w:rPr>
      <w:rFonts w:ascii="Times New Roman" w:eastAsia="標楷體" w:hAnsi="Times New Roman"/>
      <w:szCs w:val="28"/>
    </w:rPr>
  </w:style>
  <w:style w:type="paragraph" w:styleId="4">
    <w:name w:val="toc 4"/>
    <w:basedOn w:val="a"/>
    <w:next w:val="a"/>
    <w:autoRedefine/>
    <w:pPr>
      <w:widowControl/>
      <w:overflowPunct w:val="0"/>
      <w:autoSpaceDE w:val="0"/>
      <w:ind w:left="600"/>
    </w:pPr>
    <w:rPr>
      <w:kern w:val="0"/>
      <w:sz w:val="18"/>
      <w:szCs w:val="18"/>
    </w:rPr>
  </w:style>
  <w:style w:type="paragraph" w:styleId="5">
    <w:name w:val="toc 5"/>
    <w:basedOn w:val="a"/>
    <w:next w:val="a"/>
    <w:autoRedefine/>
    <w:pPr>
      <w:widowControl/>
      <w:overflowPunct w:val="0"/>
      <w:autoSpaceDE w:val="0"/>
      <w:ind w:left="800"/>
    </w:pPr>
    <w:rPr>
      <w:kern w:val="0"/>
      <w:sz w:val="18"/>
      <w:szCs w:val="18"/>
    </w:rPr>
  </w:style>
  <w:style w:type="paragraph" w:styleId="6">
    <w:name w:val="toc 6"/>
    <w:basedOn w:val="a"/>
    <w:next w:val="a"/>
    <w:autoRedefine/>
    <w:pPr>
      <w:widowControl/>
      <w:overflowPunct w:val="0"/>
      <w:autoSpaceDE w:val="0"/>
      <w:ind w:left="1000"/>
    </w:pPr>
    <w:rPr>
      <w:kern w:val="0"/>
      <w:sz w:val="18"/>
      <w:szCs w:val="18"/>
    </w:rPr>
  </w:style>
  <w:style w:type="paragraph" w:styleId="7">
    <w:name w:val="toc 7"/>
    <w:basedOn w:val="a"/>
    <w:next w:val="a"/>
    <w:autoRedefine/>
    <w:pPr>
      <w:widowControl/>
      <w:overflowPunct w:val="0"/>
      <w:autoSpaceDE w:val="0"/>
      <w:ind w:left="1200"/>
    </w:pPr>
    <w:rPr>
      <w:kern w:val="0"/>
      <w:sz w:val="18"/>
      <w:szCs w:val="18"/>
    </w:rPr>
  </w:style>
  <w:style w:type="paragraph" w:styleId="8">
    <w:name w:val="toc 8"/>
    <w:basedOn w:val="a"/>
    <w:next w:val="a"/>
    <w:autoRedefine/>
    <w:pPr>
      <w:widowControl/>
      <w:overflowPunct w:val="0"/>
      <w:autoSpaceDE w:val="0"/>
      <w:ind w:left="1400"/>
    </w:pPr>
    <w:rPr>
      <w:kern w:val="0"/>
      <w:sz w:val="18"/>
      <w:szCs w:val="18"/>
    </w:rPr>
  </w:style>
  <w:style w:type="paragraph" w:styleId="9">
    <w:name w:val="toc 9"/>
    <w:basedOn w:val="a"/>
    <w:next w:val="a"/>
    <w:autoRedefine/>
    <w:pPr>
      <w:widowControl/>
      <w:overflowPunct w:val="0"/>
      <w:autoSpaceDE w:val="0"/>
      <w:ind w:left="1600"/>
    </w:pPr>
    <w:rPr>
      <w:kern w:val="0"/>
      <w:sz w:val="18"/>
      <w:szCs w:val="18"/>
    </w:rPr>
  </w:style>
  <w:style w:type="paragraph" w:customStyle="1" w:styleId="afff4">
    <w:name w:val="字元 字元 字元"/>
    <w:basedOn w:val="a"/>
    <w:pPr>
      <w:widowControl/>
      <w:spacing w:after="160" w:line="240" w:lineRule="exact"/>
    </w:pPr>
    <w:rPr>
      <w:rFonts w:ascii="Verdana" w:eastAsia="Times New Roman" w:hAnsi="Verdana" w:cs="Mangal"/>
      <w:sz w:val="20"/>
      <w:szCs w:val="24"/>
      <w:lang w:eastAsia="en-US" w:bidi="hi-IN"/>
    </w:rPr>
  </w:style>
  <w:style w:type="paragraph" w:styleId="afff5">
    <w:name w:val="List Paragraph"/>
    <w:basedOn w:val="a"/>
    <w:pPr>
      <w:widowControl/>
      <w:overflowPunct w:val="0"/>
      <w:autoSpaceDE w:val="0"/>
      <w:ind w:left="480"/>
    </w:pPr>
    <w:rPr>
      <w:rFonts w:ascii="Times New Roman" w:hAnsi="Times New Roman"/>
      <w:kern w:val="0"/>
      <w:sz w:val="20"/>
      <w:szCs w:val="20"/>
    </w:rPr>
  </w:style>
  <w:style w:type="paragraph" w:styleId="afff6">
    <w:name w:val="Document Map"/>
    <w:basedOn w:val="a"/>
    <w:pPr>
      <w:widowControl/>
      <w:overflowPunct w:val="0"/>
      <w:autoSpaceDE w:val="0"/>
    </w:pPr>
    <w:rPr>
      <w:rFonts w:ascii="新細明體" w:hAnsi="新細明體"/>
      <w:kern w:val="0"/>
      <w:sz w:val="18"/>
      <w:szCs w:val="18"/>
    </w:rPr>
  </w:style>
  <w:style w:type="character" w:customStyle="1" w:styleId="afff7">
    <w:name w:val="文件引導模式 字元"/>
    <w:basedOn w:val="a2"/>
    <w:rPr>
      <w:rFonts w:ascii="新細明體" w:eastAsia="新細明體" w:hAnsi="新細明體" w:cs="Times New Roman"/>
      <w:kern w:val="0"/>
      <w:sz w:val="18"/>
      <w:szCs w:val="18"/>
    </w:rPr>
  </w:style>
  <w:style w:type="paragraph" w:customStyle="1" w:styleId="24">
    <w:name w:val="字元 字元 字元2"/>
    <w:basedOn w:val="a"/>
    <w:pPr>
      <w:widowControl/>
      <w:spacing w:after="160" w:line="240" w:lineRule="exact"/>
    </w:pPr>
    <w:rPr>
      <w:rFonts w:ascii="Verdana" w:eastAsia="Times New Roman" w:hAnsi="Verdana" w:cs="Mangal"/>
      <w:sz w:val="20"/>
      <w:szCs w:val="24"/>
      <w:lang w:eastAsia="en-US" w:bidi="hi-IN"/>
    </w:rPr>
  </w:style>
  <w:style w:type="paragraph" w:customStyle="1" w:styleId="afff8">
    <w:name w:val="條文標"/>
    <w:basedOn w:val="afff9"/>
    <w:pPr>
      <w:widowControl w:val="0"/>
      <w:overflowPunct/>
      <w:autoSpaceDE/>
      <w:jc w:val="both"/>
      <w:textAlignment w:val="auto"/>
    </w:pPr>
    <w:rPr>
      <w:rFonts w:ascii="華康中明體" w:eastAsia="華康中明體" w:hAnsi="華康中明體"/>
      <w:b/>
      <w:kern w:val="3"/>
    </w:rPr>
  </w:style>
  <w:style w:type="paragraph" w:styleId="afff9">
    <w:name w:val="Plain Text"/>
    <w:basedOn w:val="a"/>
    <w:pPr>
      <w:widowControl/>
      <w:overflowPunct w:val="0"/>
      <w:autoSpaceDE w:val="0"/>
    </w:pPr>
    <w:rPr>
      <w:rFonts w:ascii="細明體" w:eastAsia="細明體" w:hAnsi="細明體"/>
      <w:kern w:val="0"/>
      <w:szCs w:val="24"/>
    </w:rPr>
  </w:style>
  <w:style w:type="character" w:customStyle="1" w:styleId="afffa">
    <w:name w:val="純文字 字元"/>
    <w:basedOn w:val="a2"/>
    <w:rPr>
      <w:rFonts w:ascii="細明體" w:eastAsia="細明體" w:hAnsi="細明體" w:cs="Times New Roman"/>
      <w:kern w:val="0"/>
      <w:szCs w:val="24"/>
    </w:rPr>
  </w:style>
  <w:style w:type="character" w:customStyle="1" w:styleId="1c">
    <w:name w:val="條文標 字元1"/>
    <w:rPr>
      <w:rFonts w:ascii="華康中明體" w:eastAsia="華康中明體" w:hAnsi="華康中明體" w:cs="Times New Roman"/>
      <w:b/>
      <w:szCs w:val="24"/>
    </w:rPr>
  </w:style>
  <w:style w:type="paragraph" w:customStyle="1" w:styleId="afffb">
    <w:name w:val="附件－一、"/>
    <w:basedOn w:val="afff9"/>
    <w:pPr>
      <w:widowControl w:val="0"/>
      <w:overflowPunct/>
      <w:autoSpaceDE/>
      <w:ind w:left="200" w:hanging="200"/>
      <w:jc w:val="both"/>
      <w:textAlignment w:val="auto"/>
    </w:pPr>
    <w:rPr>
      <w:rFonts w:ascii="華康中明體" w:eastAsia="華康中明體" w:hAnsi="華康中明體" w:cs="細明體"/>
      <w:kern w:val="3"/>
    </w:rPr>
  </w:style>
  <w:style w:type="paragraph" w:styleId="afffc">
    <w:name w:val="List"/>
    <w:basedOn w:val="a"/>
    <w:pPr>
      <w:ind w:left="100" w:hanging="200"/>
      <w:jc w:val="both"/>
    </w:pPr>
    <w:rPr>
      <w:rFonts w:ascii="華康中明體" w:eastAsia="華康中明體" w:hAnsi="華康中明體"/>
      <w:szCs w:val="24"/>
    </w:rPr>
  </w:style>
  <w:style w:type="paragraph" w:customStyle="1" w:styleId="1d">
    <w:name w:val="字元 字元 字元1"/>
    <w:basedOn w:val="a"/>
    <w:pPr>
      <w:widowControl/>
      <w:spacing w:after="160" w:line="240" w:lineRule="exact"/>
    </w:pPr>
    <w:rPr>
      <w:rFonts w:ascii="Verdana" w:eastAsia="Times New Roman" w:hAnsi="Verdana" w:cs="Mangal"/>
      <w:sz w:val="20"/>
      <w:szCs w:val="24"/>
      <w:lang w:eastAsia="en-US" w:bidi="hi-IN"/>
    </w:rPr>
  </w:style>
  <w:style w:type="paragraph" w:styleId="34">
    <w:name w:val="List 3"/>
    <w:basedOn w:val="a"/>
    <w:pPr>
      <w:widowControl/>
      <w:overflowPunct w:val="0"/>
      <w:autoSpaceDE w:val="0"/>
      <w:ind w:left="100" w:hanging="200"/>
    </w:pPr>
    <w:rPr>
      <w:rFonts w:ascii="Times New Roman" w:hAnsi="Times New Roman"/>
      <w:kern w:val="0"/>
      <w:sz w:val="20"/>
      <w:szCs w:val="20"/>
    </w:rPr>
  </w:style>
  <w:style w:type="paragraph" w:styleId="afffd">
    <w:name w:val="caption"/>
    <w:basedOn w:val="a"/>
    <w:next w:val="a"/>
    <w:pPr>
      <w:spacing w:before="120" w:after="120"/>
      <w:jc w:val="center"/>
    </w:pPr>
    <w:rPr>
      <w:rFonts w:ascii="標楷體" w:eastAsia="標楷體" w:hAnsi="標楷體"/>
      <w:szCs w:val="24"/>
    </w:rPr>
  </w:style>
  <w:style w:type="paragraph" w:customStyle="1" w:styleId="1e">
    <w:name w:val="清單段落1"/>
    <w:basedOn w:val="a"/>
    <w:pPr>
      <w:ind w:left="480"/>
    </w:pPr>
  </w:style>
  <w:style w:type="paragraph" w:customStyle="1" w:styleId="afffe">
    <w:name w:val="表文"/>
    <w:basedOn w:val="a"/>
    <w:pPr>
      <w:jc w:val="center"/>
    </w:pPr>
    <w:rPr>
      <w:rFonts w:ascii="標楷體" w:eastAsia="標楷體" w:hAnsi="標楷體"/>
      <w:szCs w:val="20"/>
    </w:rPr>
  </w:style>
  <w:style w:type="paragraph" w:customStyle="1" w:styleId="CCIS1">
    <w:name w:val="CCIS1"/>
    <w:basedOn w:val="a"/>
    <w:pPr>
      <w:spacing w:before="40" w:after="40" w:line="400" w:lineRule="exact"/>
      <w:jc w:val="both"/>
    </w:pPr>
    <w:rPr>
      <w:rFonts w:ascii="標楷體" w:eastAsia="標楷體" w:hAnsi="標楷體"/>
      <w:kern w:val="0"/>
      <w:szCs w:val="20"/>
    </w:rPr>
  </w:style>
  <w:style w:type="paragraph" w:customStyle="1" w:styleId="CCIS10">
    <w:name w:val="CCIS(1)"/>
    <w:basedOn w:val="a"/>
    <w:pPr>
      <w:spacing w:before="40" w:after="40" w:line="400" w:lineRule="exact"/>
      <w:jc w:val="both"/>
    </w:pPr>
    <w:rPr>
      <w:rFonts w:ascii="標楷體" w:eastAsia="標楷體" w:hAnsi="標楷體"/>
      <w:kern w:val="0"/>
      <w:szCs w:val="20"/>
    </w:rPr>
  </w:style>
  <w:style w:type="paragraph" w:customStyle="1" w:styleId="affff">
    <w:name w:val="內文１"/>
    <w:basedOn w:val="a"/>
    <w:pPr>
      <w:spacing w:before="40" w:after="40" w:line="400" w:lineRule="exact"/>
      <w:ind w:left="839" w:firstLine="567"/>
      <w:jc w:val="both"/>
    </w:pPr>
    <w:rPr>
      <w:rFonts w:ascii="標楷體" w:eastAsia="標楷體" w:hAnsi="標楷體"/>
      <w:kern w:val="0"/>
      <w:szCs w:val="20"/>
    </w:rPr>
  </w:style>
  <w:style w:type="paragraph" w:customStyle="1" w:styleId="CCISa">
    <w:name w:val="CCIS(a)"/>
    <w:basedOn w:val="a"/>
    <w:pPr>
      <w:spacing w:line="600" w:lineRule="exact"/>
      <w:jc w:val="both"/>
    </w:pPr>
    <w:rPr>
      <w:rFonts w:ascii="華康中楷體" w:eastAsia="華康中楷體" w:hAnsi="華康中楷體"/>
      <w:kern w:val="0"/>
      <w:sz w:val="26"/>
      <w:szCs w:val="20"/>
    </w:rPr>
  </w:style>
  <w:style w:type="paragraph" w:customStyle="1" w:styleId="CCIS0">
    <w:name w:val="CCIS一"/>
    <w:basedOn w:val="a"/>
    <w:pPr>
      <w:spacing w:after="120" w:line="500" w:lineRule="exact"/>
      <w:jc w:val="both"/>
    </w:pPr>
    <w:rPr>
      <w:rFonts w:ascii="標楷體" w:eastAsia="標楷體" w:hAnsi="標楷體"/>
      <w:kern w:val="0"/>
      <w:szCs w:val="20"/>
    </w:rPr>
  </w:style>
  <w:style w:type="paragraph" w:customStyle="1" w:styleId="CCIS">
    <w:name w:val="CCIS(一)"/>
    <w:basedOn w:val="a"/>
    <w:pPr>
      <w:numPr>
        <w:numId w:val="1"/>
      </w:numPr>
      <w:spacing w:before="40" w:after="40" w:line="400" w:lineRule="exact"/>
      <w:jc w:val="both"/>
    </w:pPr>
    <w:rPr>
      <w:rFonts w:ascii="標楷體" w:eastAsia="標楷體" w:hAnsi="標楷體"/>
      <w:kern w:val="0"/>
      <w:szCs w:val="20"/>
    </w:rPr>
  </w:style>
  <w:style w:type="paragraph" w:customStyle="1" w:styleId="Default">
    <w:name w:val="Default"/>
    <w:pPr>
      <w:widowControl w:val="0"/>
      <w:suppressAutoHyphens/>
      <w:autoSpaceDE w:val="0"/>
    </w:pPr>
    <w:rPr>
      <w:rFonts w:ascii="標楷體±踂." w:eastAsia="標楷體±踂." w:hAnsi="標楷體±踂." w:cs="標楷體±踂."/>
      <w:color w:val="000000"/>
      <w:kern w:val="0"/>
      <w:szCs w:val="24"/>
    </w:rPr>
  </w:style>
  <w:style w:type="paragraph" w:styleId="affff0">
    <w:name w:val="Revision"/>
    <w:pPr>
      <w:suppressAutoHyphens/>
    </w:pPr>
    <w:rPr>
      <w:rFonts w:ascii="Times New Roman" w:hAnsi="Times New Roman"/>
      <w:kern w:val="0"/>
      <w:sz w:val="20"/>
      <w:szCs w:val="20"/>
    </w:rPr>
  </w:style>
  <w:style w:type="paragraph" w:customStyle="1" w:styleId="25">
    <w:name w:val="(一)□        2階"/>
    <w:basedOn w:val="a"/>
    <w:pPr>
      <w:ind w:left="904" w:hanging="242"/>
      <w:jc w:val="both"/>
    </w:pPr>
    <w:rPr>
      <w:rFonts w:ascii="標楷體" w:eastAsia="標楷體" w:hAnsi="標楷體"/>
      <w:sz w:val="22"/>
    </w:rPr>
  </w:style>
  <w:style w:type="paragraph" w:customStyle="1" w:styleId="affff1">
    <w:name w:val="一、"/>
    <w:basedOn w:val="a"/>
    <w:pPr>
      <w:snapToGrid w:val="0"/>
      <w:spacing w:line="240" w:lineRule="atLeast"/>
      <w:ind w:left="634" w:hanging="634"/>
      <w:jc w:val="both"/>
    </w:pPr>
    <w:rPr>
      <w:rFonts w:ascii="標楷體" w:eastAsia="標楷體" w:hAnsi="標楷體"/>
      <w:b/>
      <w:sz w:val="22"/>
    </w:rPr>
  </w:style>
  <w:style w:type="paragraph" w:customStyle="1" w:styleId="26">
    <w:name w:val="清單段落2"/>
    <w:basedOn w:val="a"/>
    <w:pPr>
      <w:ind w:left="480"/>
    </w:pPr>
  </w:style>
  <w:style w:type="paragraph" w:styleId="affff2">
    <w:name w:val="No Spacing"/>
    <w:pPr>
      <w:widowControl w:val="0"/>
      <w:suppressAutoHyphens/>
    </w:pPr>
  </w:style>
  <w:style w:type="numbering" w:customStyle="1" w:styleId="LFO22">
    <w:name w:val="LFO22"/>
    <w:basedOn w:val="a4"/>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paragraph" w:styleId="1">
    <w:name w:val="heading 1"/>
    <w:basedOn w:val="a0"/>
    <w:next w:val="a"/>
    <w:uiPriority w:val="9"/>
    <w:qFormat/>
    <w:pPr>
      <w:outlineLvl w:val="0"/>
    </w:pPr>
  </w:style>
  <w:style w:type="paragraph" w:styleId="2">
    <w:name w:val="heading 2"/>
    <w:basedOn w:val="DefaultText"/>
    <w:next w:val="a"/>
    <w:uiPriority w:val="9"/>
    <w:unhideWhenUsed/>
    <w:qFormat/>
    <w:pPr>
      <w:ind w:left="403"/>
      <w:outlineLvl w:val="1"/>
    </w:pPr>
    <w:rPr>
      <w:rFonts w:ascii="Book Antiqua" w:eastAsia="標楷體" w:hAnsi="Book Antiqua"/>
      <w:b/>
      <w:sz w:val="32"/>
      <w:szCs w:val="32"/>
    </w:rPr>
  </w:style>
  <w:style w:type="paragraph" w:styleId="3">
    <w:name w:val="heading 3"/>
    <w:basedOn w:val="DefaultText"/>
    <w:next w:val="a1"/>
    <w:uiPriority w:val="9"/>
    <w:unhideWhenUsed/>
    <w:qFormat/>
    <w:pPr>
      <w:ind w:left="2801" w:hanging="1901"/>
      <w:outlineLvl w:val="2"/>
    </w:pPr>
    <w:rPr>
      <w:rFonts w:ascii="Book Antiqua" w:eastAsia="標楷體" w:hAnsi="Book Antiqua"/>
      <w:b/>
      <w:sz w:val="30"/>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2"/>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2"/>
    <w:rPr>
      <w:sz w:val="20"/>
      <w:szCs w:val="20"/>
    </w:rPr>
  </w:style>
  <w:style w:type="character" w:customStyle="1" w:styleId="10">
    <w:name w:val="標題 1 字元"/>
    <w:basedOn w:val="a2"/>
    <w:rPr>
      <w:rFonts w:ascii="Book Antiqua" w:eastAsia="標楷體" w:hAnsi="Book Antiqua" w:cs="Times New Roman"/>
      <w:b/>
      <w:kern w:val="0"/>
      <w:sz w:val="36"/>
      <w:szCs w:val="20"/>
    </w:rPr>
  </w:style>
  <w:style w:type="character" w:customStyle="1" w:styleId="20">
    <w:name w:val="標題 2 字元"/>
    <w:basedOn w:val="a2"/>
    <w:rPr>
      <w:rFonts w:ascii="Book Antiqua" w:eastAsia="標楷體" w:hAnsi="Book Antiqua" w:cs="Times New Roman"/>
      <w:b/>
      <w:kern w:val="0"/>
      <w:sz w:val="32"/>
      <w:szCs w:val="32"/>
    </w:rPr>
  </w:style>
  <w:style w:type="character" w:customStyle="1" w:styleId="30">
    <w:name w:val="標題 3 字元"/>
    <w:basedOn w:val="a2"/>
    <w:rPr>
      <w:rFonts w:ascii="Book Antiqua" w:eastAsia="標楷體" w:hAnsi="Book Antiqua" w:cs="Times New Roman"/>
      <w:b/>
      <w:kern w:val="0"/>
      <w:sz w:val="30"/>
      <w:szCs w:val="30"/>
    </w:rPr>
  </w:style>
  <w:style w:type="paragraph" w:customStyle="1" w:styleId="a0">
    <w:name w:val="標題一"/>
    <w:basedOn w:val="DefaultText"/>
    <w:pPr>
      <w:tabs>
        <w:tab w:val="left" w:pos="720"/>
        <w:tab w:val="left" w:pos="1440"/>
        <w:tab w:val="left" w:pos="2160"/>
        <w:tab w:val="left" w:pos="2472"/>
        <w:tab w:val="left" w:pos="2880"/>
        <w:tab w:val="left" w:pos="3600"/>
        <w:tab w:val="left" w:pos="4320"/>
        <w:tab w:val="left" w:pos="5040"/>
        <w:tab w:val="left" w:pos="5760"/>
        <w:tab w:val="left" w:pos="6480"/>
        <w:tab w:val="left" w:pos="7200"/>
        <w:tab w:val="left" w:pos="7920"/>
        <w:tab w:val="left" w:pos="8640"/>
      </w:tabs>
      <w:spacing w:before="50" w:line="600" w:lineRule="exact"/>
      <w:jc w:val="both"/>
    </w:pPr>
    <w:rPr>
      <w:rFonts w:ascii="Book Antiqua" w:eastAsia="標楷體" w:hAnsi="Book Antiqua"/>
      <w:b/>
      <w:sz w:val="36"/>
    </w:rPr>
  </w:style>
  <w:style w:type="paragraph" w:customStyle="1" w:styleId="DefaultText">
    <w:name w:val="Default Text"/>
    <w:basedOn w:val="a"/>
    <w:pPr>
      <w:widowControl/>
      <w:overflowPunct w:val="0"/>
      <w:autoSpaceDE w:val="0"/>
      <w:spacing w:line="432" w:lineRule="exact"/>
    </w:pPr>
    <w:rPr>
      <w:rFonts w:ascii="華康中楷體" w:eastAsia="華康中楷體" w:hAnsi="華康中楷體"/>
      <w:kern w:val="0"/>
      <w:sz w:val="28"/>
      <w:szCs w:val="20"/>
    </w:rPr>
  </w:style>
  <w:style w:type="paragraph" w:styleId="a1">
    <w:name w:val="Normal Indent"/>
    <w:basedOn w:val="a"/>
    <w:pPr>
      <w:widowControl/>
      <w:overflowPunct w:val="0"/>
      <w:autoSpaceDE w:val="0"/>
      <w:ind w:left="480"/>
    </w:pPr>
    <w:rPr>
      <w:rFonts w:ascii="Times New Roman" w:hAnsi="Times New Roman"/>
      <w:kern w:val="0"/>
      <w:sz w:val="20"/>
      <w:szCs w:val="20"/>
    </w:rPr>
  </w:style>
  <w:style w:type="paragraph" w:styleId="a9">
    <w:name w:val="Title"/>
    <w:basedOn w:val="a"/>
    <w:uiPriority w:val="10"/>
    <w:qFormat/>
    <w:pPr>
      <w:keepNext/>
      <w:keepLines/>
      <w:widowControl/>
      <w:overflowPunct w:val="0"/>
      <w:autoSpaceDE w:val="0"/>
      <w:spacing w:before="144" w:after="72"/>
      <w:jc w:val="center"/>
    </w:pPr>
    <w:rPr>
      <w:rFonts w:ascii="細明體" w:eastAsia="細明體" w:hAnsi="細明體"/>
      <w:b/>
      <w:kern w:val="0"/>
      <w:sz w:val="36"/>
      <w:szCs w:val="20"/>
    </w:rPr>
  </w:style>
  <w:style w:type="character" w:customStyle="1" w:styleId="aa">
    <w:name w:val="標題 字元"/>
    <w:basedOn w:val="a2"/>
    <w:rPr>
      <w:rFonts w:ascii="細明體" w:eastAsia="細明體" w:hAnsi="細明體" w:cs="Times New Roman"/>
      <w:b/>
      <w:kern w:val="0"/>
      <w:sz w:val="36"/>
      <w:szCs w:val="20"/>
    </w:rPr>
  </w:style>
  <w:style w:type="paragraph" w:customStyle="1" w:styleId="ab">
    <w:name w:val="ªí$"/>
    <w:basedOn w:val="a"/>
    <w:pPr>
      <w:widowControl/>
      <w:overflowPunct w:val="0"/>
      <w:autoSpaceDE w:val="0"/>
    </w:pPr>
    <w:rPr>
      <w:rFonts w:ascii="華康中楷體" w:eastAsia="華康中楷體" w:hAnsi="華康中楷體"/>
      <w:kern w:val="0"/>
      <w:szCs w:val="20"/>
    </w:rPr>
  </w:style>
  <w:style w:type="paragraph" w:customStyle="1" w:styleId="p">
    <w:name w:val="¤p"/>
    <w:basedOn w:val="a"/>
    <w:pPr>
      <w:widowControl/>
      <w:overflowPunct w:val="0"/>
      <w:autoSpaceDE w:val="0"/>
      <w:spacing w:line="144" w:lineRule="exact"/>
    </w:pPr>
    <w:rPr>
      <w:rFonts w:ascii="華康中楷體" w:eastAsia="華康中楷體" w:hAnsi="華康中楷體"/>
      <w:kern w:val="0"/>
      <w:szCs w:val="20"/>
    </w:rPr>
  </w:style>
  <w:style w:type="paragraph" w:customStyle="1" w:styleId="R">
    <w:name w:val="¤ÀªRªí"/>
    <w:basedOn w:val="a"/>
    <w:pPr>
      <w:widowControl/>
      <w:overflowPunct w:val="0"/>
      <w:autoSpaceDE w:val="0"/>
      <w:spacing w:line="288" w:lineRule="exact"/>
    </w:pPr>
    <w:rPr>
      <w:rFonts w:ascii="華康中楷體" w:eastAsia="華康中楷體" w:hAnsi="華康中楷體"/>
      <w:kern w:val="0"/>
      <w:szCs w:val="20"/>
    </w:rPr>
  </w:style>
  <w:style w:type="paragraph" w:customStyle="1" w:styleId="g">
    <w:name w:val="¤g¶]ªí"/>
    <w:basedOn w:val="a"/>
    <w:pPr>
      <w:widowControl/>
      <w:overflowPunct w:val="0"/>
      <w:autoSpaceDE w:val="0"/>
      <w:spacing w:line="216" w:lineRule="exact"/>
    </w:pPr>
    <w:rPr>
      <w:rFonts w:ascii="華康中楷體" w:eastAsia="華康中楷體" w:hAnsi="華康中楷體"/>
      <w:kern w:val="0"/>
      <w:sz w:val="20"/>
      <w:szCs w:val="20"/>
    </w:rPr>
  </w:style>
  <w:style w:type="paragraph" w:customStyle="1" w:styleId="ac">
    <w:name w:val="$"/>
    <w:basedOn w:val="a"/>
    <w:pPr>
      <w:widowControl/>
      <w:overflowPunct w:val="0"/>
      <w:autoSpaceDE w:val="0"/>
    </w:pPr>
    <w:rPr>
      <w:rFonts w:ascii="華康中楷體" w:eastAsia="華康中楷體" w:hAnsi="華康中楷體"/>
      <w:kern w:val="0"/>
      <w:szCs w:val="20"/>
    </w:rPr>
  </w:style>
  <w:style w:type="paragraph" w:customStyle="1" w:styleId="ad">
    <w:name w:val="°ª«×"/>
    <w:basedOn w:val="a"/>
    <w:pPr>
      <w:widowControl/>
      <w:overflowPunct w:val="0"/>
      <w:autoSpaceDE w:val="0"/>
    </w:pPr>
    <w:rPr>
      <w:rFonts w:ascii="華康中楷體" w:eastAsia="華康中楷體" w:hAnsi="華康中楷體"/>
      <w:kern w:val="0"/>
      <w:szCs w:val="20"/>
    </w:rPr>
  </w:style>
  <w:style w:type="paragraph" w:customStyle="1" w:styleId="ae">
    <w:name w:val="¦Ê¤À¤ñ"/>
    <w:basedOn w:val="a"/>
    <w:pPr>
      <w:widowControl/>
      <w:overflowPunct w:val="0"/>
      <w:autoSpaceDE w:val="0"/>
    </w:pPr>
    <w:rPr>
      <w:rFonts w:ascii="華康中楷體" w:eastAsia="華康中楷體" w:hAnsi="華康中楷體"/>
      <w:kern w:val="0"/>
      <w:szCs w:val="20"/>
    </w:rPr>
  </w:style>
  <w:style w:type="paragraph" w:customStyle="1" w:styleId="WZ">
    <w:name w:val="¤Wªí¶¡¶Z"/>
    <w:basedOn w:val="a"/>
    <w:pPr>
      <w:widowControl/>
      <w:overflowPunct w:val="0"/>
      <w:autoSpaceDE w:val="0"/>
      <w:spacing w:line="216" w:lineRule="exact"/>
    </w:pPr>
    <w:rPr>
      <w:rFonts w:ascii="華康中楷體" w:eastAsia="華康中楷體" w:hAnsi="華康中楷體"/>
      <w:kern w:val="0"/>
      <w:szCs w:val="20"/>
    </w:rPr>
  </w:style>
  <w:style w:type="paragraph" w:customStyle="1" w:styleId="af">
    <w:name w:val="«Ø¸¹"/>
    <w:basedOn w:val="a"/>
    <w:pPr>
      <w:widowControl/>
      <w:overflowPunct w:val="0"/>
      <w:autoSpaceDE w:val="0"/>
    </w:pPr>
    <w:rPr>
      <w:rFonts w:ascii="華康中楷體" w:eastAsia="華康中楷體" w:hAnsi="華康中楷體"/>
      <w:kern w:val="0"/>
      <w:szCs w:val="20"/>
    </w:rPr>
  </w:style>
  <w:style w:type="paragraph" w:customStyle="1" w:styleId="UZ">
    <w:name w:val="¤Uªí¶¡¶Z"/>
    <w:basedOn w:val="a"/>
    <w:pPr>
      <w:widowControl/>
      <w:overflowPunct w:val="0"/>
      <w:autoSpaceDE w:val="0"/>
      <w:spacing w:line="187" w:lineRule="exact"/>
    </w:pPr>
    <w:rPr>
      <w:rFonts w:ascii="華康中楷體" w:eastAsia="華康中楷體" w:hAnsi="華康中楷體"/>
      <w:kern w:val="0"/>
      <w:szCs w:val="20"/>
    </w:rPr>
  </w:style>
  <w:style w:type="paragraph" w:customStyle="1" w:styleId="WZ0">
    <w:name w:val="©W¶¡¶Z"/>
    <w:basedOn w:val="a"/>
    <w:pPr>
      <w:widowControl/>
      <w:overflowPunct w:val="0"/>
      <w:autoSpaceDE w:val="0"/>
      <w:spacing w:line="201" w:lineRule="exact"/>
    </w:pPr>
    <w:rPr>
      <w:rFonts w:ascii="華康中楷體" w:eastAsia="華康中楷體" w:hAnsi="華康中楷體"/>
      <w:kern w:val="0"/>
      <w:szCs w:val="20"/>
    </w:rPr>
  </w:style>
  <w:style w:type="paragraph" w:customStyle="1" w:styleId="af0">
    <w:name w:val="¥­¤è¤½¤Ø"/>
    <w:basedOn w:val="a"/>
    <w:pPr>
      <w:widowControl/>
      <w:overflowPunct w:val="0"/>
      <w:autoSpaceDE w:val="0"/>
    </w:pPr>
    <w:rPr>
      <w:rFonts w:ascii="華康中楷體" w:eastAsia="華康中楷體" w:hAnsi="華康中楷體"/>
      <w:kern w:val="0"/>
      <w:szCs w:val="20"/>
    </w:rPr>
  </w:style>
  <w:style w:type="paragraph" w:customStyle="1" w:styleId="W">
    <w:name w:val="©W"/>
    <w:basedOn w:val="a"/>
    <w:pPr>
      <w:widowControl/>
      <w:overflowPunct w:val="0"/>
      <w:autoSpaceDE w:val="0"/>
    </w:pPr>
    <w:rPr>
      <w:rFonts w:ascii="華康中楷體" w:eastAsia="華康中楷體" w:hAnsi="華康中楷體"/>
      <w:kern w:val="0"/>
      <w:szCs w:val="20"/>
    </w:rPr>
  </w:style>
  <w:style w:type="paragraph" w:customStyle="1" w:styleId="af1">
    <w:name w:val="ª«»ù«ü¼Æ"/>
    <w:basedOn w:val="a"/>
    <w:pPr>
      <w:widowControl/>
      <w:overflowPunct w:val="0"/>
      <w:autoSpaceDE w:val="0"/>
    </w:pPr>
    <w:rPr>
      <w:rFonts w:ascii="華康中楷體" w:eastAsia="華康中楷體" w:hAnsi="華康中楷體"/>
      <w:kern w:val="0"/>
      <w:szCs w:val="20"/>
    </w:rPr>
  </w:style>
  <w:style w:type="paragraph" w:customStyle="1" w:styleId="B">
    <w:name w:val="ª÷ÃB"/>
    <w:basedOn w:val="a"/>
    <w:pPr>
      <w:widowControl/>
      <w:overflowPunct w:val="0"/>
      <w:autoSpaceDE w:val="0"/>
    </w:pPr>
    <w:rPr>
      <w:rFonts w:ascii="華康中楷體" w:eastAsia="華康中楷體" w:hAnsi="華康中楷體"/>
      <w:kern w:val="0"/>
      <w:szCs w:val="20"/>
    </w:rPr>
  </w:style>
  <w:style w:type="paragraph" w:customStyle="1" w:styleId="Z">
    <w:name w:val="«ù­±¶¡¶Z"/>
    <w:basedOn w:val="a"/>
    <w:pPr>
      <w:widowControl/>
      <w:overflowPunct w:val="0"/>
      <w:autoSpaceDE w:val="0"/>
      <w:spacing w:line="230" w:lineRule="exact"/>
    </w:pPr>
    <w:rPr>
      <w:rFonts w:ascii="華康中楷體" w:eastAsia="華康中楷體" w:hAnsi="華康中楷體"/>
      <w:kern w:val="0"/>
      <w:szCs w:val="20"/>
    </w:rPr>
  </w:style>
  <w:style w:type="paragraph" w:customStyle="1" w:styleId="gZ">
    <w:name w:val="¤g­±¶¡¶Z"/>
    <w:basedOn w:val="a"/>
    <w:pPr>
      <w:widowControl/>
      <w:overflowPunct w:val="0"/>
      <w:autoSpaceDE w:val="0"/>
      <w:spacing w:line="388" w:lineRule="exact"/>
    </w:pPr>
    <w:rPr>
      <w:rFonts w:ascii="華康中楷體" w:eastAsia="華康中楷體" w:hAnsi="華康中楷體"/>
      <w:kern w:val="0"/>
      <w:sz w:val="28"/>
      <w:szCs w:val="20"/>
    </w:rPr>
  </w:style>
  <w:style w:type="paragraph" w:customStyle="1" w:styleId="af2">
    <w:name w:val="¦a¸¹"/>
    <w:basedOn w:val="a"/>
    <w:pPr>
      <w:widowControl/>
      <w:overflowPunct w:val="0"/>
      <w:autoSpaceDE w:val="0"/>
    </w:pPr>
    <w:rPr>
      <w:rFonts w:ascii="華康中楷體" w:eastAsia="華康中楷體" w:hAnsi="華康中楷體"/>
      <w:kern w:val="0"/>
      <w:szCs w:val="20"/>
    </w:rPr>
  </w:style>
  <w:style w:type="paragraph" w:customStyle="1" w:styleId="n">
    <w:name w:val="Á`­±¿n"/>
    <w:basedOn w:val="a"/>
    <w:pPr>
      <w:widowControl/>
      <w:overflowPunct w:val="0"/>
      <w:autoSpaceDE w:val="0"/>
    </w:pPr>
    <w:rPr>
      <w:rFonts w:ascii="華康中楷體" w:eastAsia="華康中楷體" w:hAnsi="華康中楷體"/>
      <w:kern w:val="0"/>
      <w:szCs w:val="20"/>
    </w:rPr>
  </w:style>
  <w:style w:type="paragraph" w:customStyle="1" w:styleId="Z0">
    <w:name w:val="ªí¥~¶¡¶Z"/>
    <w:basedOn w:val="a"/>
    <w:pPr>
      <w:widowControl/>
      <w:overflowPunct w:val="0"/>
      <w:autoSpaceDE w:val="0"/>
      <w:spacing w:line="288" w:lineRule="exact"/>
    </w:pPr>
    <w:rPr>
      <w:rFonts w:ascii="華康中楷體" w:eastAsia="華康中楷體" w:hAnsi="華康中楷體"/>
      <w:kern w:val="0"/>
      <w:sz w:val="28"/>
      <w:szCs w:val="20"/>
    </w:rPr>
  </w:style>
  <w:style w:type="paragraph" w:customStyle="1" w:styleId="Subhead">
    <w:name w:val="Subhead"/>
    <w:basedOn w:val="a"/>
    <w:pPr>
      <w:widowControl/>
      <w:overflowPunct w:val="0"/>
      <w:autoSpaceDE w:val="0"/>
      <w:spacing w:before="72" w:after="72"/>
    </w:pPr>
    <w:rPr>
      <w:rFonts w:ascii="細明體" w:eastAsia="細明體" w:hAnsi="細明體"/>
      <w:b/>
      <w:i/>
      <w:kern w:val="0"/>
      <w:szCs w:val="20"/>
    </w:rPr>
  </w:style>
  <w:style w:type="paragraph" w:customStyle="1" w:styleId="NumberList">
    <w:name w:val="Number List"/>
    <w:basedOn w:val="a"/>
    <w:pPr>
      <w:widowControl/>
      <w:overflowPunct w:val="0"/>
      <w:autoSpaceDE w:val="0"/>
    </w:pPr>
    <w:rPr>
      <w:rFonts w:ascii="細明體" w:eastAsia="細明體" w:hAnsi="細明體"/>
      <w:kern w:val="0"/>
      <w:szCs w:val="20"/>
    </w:rPr>
  </w:style>
  <w:style w:type="paragraph" w:customStyle="1" w:styleId="Bullet1">
    <w:name w:val="Bullet 1"/>
    <w:basedOn w:val="a"/>
    <w:pPr>
      <w:widowControl/>
      <w:overflowPunct w:val="0"/>
      <w:autoSpaceDE w:val="0"/>
    </w:pPr>
    <w:rPr>
      <w:rFonts w:ascii="細明體" w:eastAsia="細明體" w:hAnsi="細明體"/>
      <w:kern w:val="0"/>
      <w:szCs w:val="20"/>
    </w:rPr>
  </w:style>
  <w:style w:type="paragraph" w:customStyle="1" w:styleId="Bullet">
    <w:name w:val="Bullet"/>
    <w:basedOn w:val="a"/>
    <w:pPr>
      <w:widowControl/>
      <w:overflowPunct w:val="0"/>
      <w:autoSpaceDE w:val="0"/>
    </w:pPr>
    <w:rPr>
      <w:rFonts w:ascii="細明體" w:eastAsia="細明體" w:hAnsi="細明體"/>
      <w:kern w:val="0"/>
      <w:szCs w:val="20"/>
    </w:rPr>
  </w:style>
  <w:style w:type="paragraph" w:customStyle="1" w:styleId="BodySingle">
    <w:name w:val="Body Single"/>
    <w:basedOn w:val="a"/>
    <w:pPr>
      <w:widowControl/>
      <w:overflowPunct w:val="0"/>
      <w:autoSpaceDE w:val="0"/>
    </w:pPr>
    <w:rPr>
      <w:rFonts w:ascii="細明體" w:eastAsia="細明體" w:hAnsi="細明體"/>
      <w:kern w:val="0"/>
      <w:szCs w:val="20"/>
    </w:rPr>
  </w:style>
  <w:style w:type="paragraph" w:customStyle="1" w:styleId="r0">
    <w:name w:val="ªí®æ¤å¦r"/>
    <w:basedOn w:val="a"/>
    <w:pPr>
      <w:widowControl/>
      <w:overflowPunct w:val="0"/>
      <w:autoSpaceDE w:val="0"/>
    </w:pPr>
    <w:rPr>
      <w:rFonts w:ascii="華康中楷體" w:eastAsia="華康中楷體" w:hAnsi="華康中楷體"/>
      <w:kern w:val="0"/>
      <w:szCs w:val="20"/>
    </w:rPr>
  </w:style>
  <w:style w:type="paragraph" w:customStyle="1" w:styleId="X">
    <w:name w:val="ªáºX«Ê­±"/>
    <w:basedOn w:val="a"/>
    <w:pPr>
      <w:widowControl/>
      <w:overflowPunct w:val="0"/>
      <w:autoSpaceDE w:val="0"/>
      <w:spacing w:line="532" w:lineRule="exact"/>
    </w:pPr>
    <w:rPr>
      <w:rFonts w:ascii="華康中楷體" w:eastAsia="華康中楷體" w:hAnsi="華康中楷體"/>
      <w:kern w:val="0"/>
      <w:sz w:val="36"/>
      <w:szCs w:val="20"/>
    </w:rPr>
  </w:style>
  <w:style w:type="paragraph" w:customStyle="1" w:styleId="XG">
    <w:name w:val="ªáºX«Ê­±(¤G)"/>
    <w:basedOn w:val="a"/>
    <w:pPr>
      <w:widowControl/>
      <w:overflowPunct w:val="0"/>
      <w:autoSpaceDE w:val="0"/>
      <w:spacing w:line="432" w:lineRule="exact"/>
    </w:pPr>
    <w:rPr>
      <w:rFonts w:ascii="華康中楷體" w:eastAsia="華康中楷體" w:hAnsi="華康中楷體"/>
      <w:kern w:val="0"/>
      <w:sz w:val="36"/>
      <w:szCs w:val="20"/>
    </w:rPr>
  </w:style>
  <w:style w:type="paragraph" w:customStyle="1" w:styleId="11">
    <w:name w:val="$:1"/>
    <w:basedOn w:val="a"/>
    <w:pPr>
      <w:widowControl/>
      <w:overflowPunct w:val="0"/>
      <w:autoSpaceDE w:val="0"/>
    </w:pPr>
    <w:rPr>
      <w:rFonts w:ascii="華康中楷體" w:eastAsia="華康中楷體" w:hAnsi="華康中楷體"/>
      <w:kern w:val="0"/>
      <w:szCs w:val="20"/>
    </w:rPr>
  </w:style>
  <w:style w:type="paragraph" w:customStyle="1" w:styleId="12">
    <w:name w:val="°ª«×:1"/>
    <w:basedOn w:val="a"/>
    <w:pPr>
      <w:widowControl/>
      <w:overflowPunct w:val="0"/>
      <w:autoSpaceDE w:val="0"/>
    </w:pPr>
    <w:rPr>
      <w:rFonts w:ascii="華康中楷體" w:eastAsia="華康中楷體" w:hAnsi="華康中楷體"/>
      <w:kern w:val="0"/>
      <w:szCs w:val="20"/>
    </w:rPr>
  </w:style>
  <w:style w:type="paragraph" w:customStyle="1" w:styleId="13">
    <w:name w:val="¦Ê¤À¤ñ:1"/>
    <w:basedOn w:val="a"/>
    <w:pPr>
      <w:widowControl/>
      <w:overflowPunct w:val="0"/>
      <w:autoSpaceDE w:val="0"/>
    </w:pPr>
    <w:rPr>
      <w:rFonts w:ascii="華康中楷體" w:eastAsia="華康中楷體" w:hAnsi="華康中楷體"/>
      <w:kern w:val="0"/>
      <w:szCs w:val="20"/>
    </w:rPr>
  </w:style>
  <w:style w:type="paragraph" w:customStyle="1" w:styleId="WZ1">
    <w:name w:val="¤Wªí¶¡¶Z:1"/>
    <w:basedOn w:val="a"/>
    <w:pPr>
      <w:widowControl/>
      <w:overflowPunct w:val="0"/>
      <w:autoSpaceDE w:val="0"/>
      <w:spacing w:line="216" w:lineRule="exact"/>
    </w:pPr>
    <w:rPr>
      <w:rFonts w:ascii="華康中楷體" w:eastAsia="華康中楷體" w:hAnsi="華康中楷體"/>
      <w:kern w:val="0"/>
      <w:szCs w:val="20"/>
    </w:rPr>
  </w:style>
  <w:style w:type="paragraph" w:customStyle="1" w:styleId="14">
    <w:name w:val="«Ø¸¹:1"/>
    <w:basedOn w:val="a"/>
    <w:pPr>
      <w:widowControl/>
      <w:overflowPunct w:val="0"/>
      <w:autoSpaceDE w:val="0"/>
    </w:pPr>
    <w:rPr>
      <w:rFonts w:ascii="華康中楷體" w:eastAsia="華康中楷體" w:hAnsi="華康中楷體"/>
      <w:kern w:val="0"/>
      <w:szCs w:val="20"/>
    </w:rPr>
  </w:style>
  <w:style w:type="paragraph" w:customStyle="1" w:styleId="UZ1">
    <w:name w:val="¤Uªí¶¡¶Z:1"/>
    <w:basedOn w:val="a"/>
    <w:pPr>
      <w:widowControl/>
      <w:overflowPunct w:val="0"/>
      <w:autoSpaceDE w:val="0"/>
      <w:spacing w:line="187" w:lineRule="exact"/>
    </w:pPr>
    <w:rPr>
      <w:rFonts w:ascii="華康中楷體" w:eastAsia="華康中楷體" w:hAnsi="華康中楷體"/>
      <w:kern w:val="0"/>
      <w:szCs w:val="20"/>
    </w:rPr>
  </w:style>
  <w:style w:type="paragraph" w:customStyle="1" w:styleId="WZ10">
    <w:name w:val="©W¶¡¶Z:1"/>
    <w:basedOn w:val="a"/>
    <w:pPr>
      <w:widowControl/>
      <w:overflowPunct w:val="0"/>
      <w:autoSpaceDE w:val="0"/>
      <w:spacing w:line="201" w:lineRule="exact"/>
    </w:pPr>
    <w:rPr>
      <w:rFonts w:ascii="華康中楷體" w:eastAsia="華康中楷體" w:hAnsi="華康中楷體"/>
      <w:kern w:val="0"/>
      <w:szCs w:val="20"/>
    </w:rPr>
  </w:style>
  <w:style w:type="paragraph" w:customStyle="1" w:styleId="15">
    <w:name w:val="¥­¤è¤½¤Ø:1"/>
    <w:basedOn w:val="a"/>
    <w:pPr>
      <w:widowControl/>
      <w:overflowPunct w:val="0"/>
      <w:autoSpaceDE w:val="0"/>
    </w:pPr>
    <w:rPr>
      <w:rFonts w:ascii="華康中楷體" w:eastAsia="華康中楷體" w:hAnsi="華康中楷體"/>
      <w:kern w:val="0"/>
      <w:szCs w:val="20"/>
    </w:rPr>
  </w:style>
  <w:style w:type="paragraph" w:customStyle="1" w:styleId="W1">
    <w:name w:val="©W:1"/>
    <w:basedOn w:val="a"/>
    <w:pPr>
      <w:widowControl/>
      <w:overflowPunct w:val="0"/>
      <w:autoSpaceDE w:val="0"/>
    </w:pPr>
    <w:rPr>
      <w:rFonts w:ascii="華康中楷體" w:eastAsia="華康中楷體" w:hAnsi="華康中楷體"/>
      <w:kern w:val="0"/>
      <w:szCs w:val="20"/>
    </w:rPr>
  </w:style>
  <w:style w:type="paragraph" w:customStyle="1" w:styleId="16">
    <w:name w:val="ª«»ù«ü¼Æ:1"/>
    <w:basedOn w:val="a"/>
    <w:pPr>
      <w:widowControl/>
      <w:overflowPunct w:val="0"/>
      <w:autoSpaceDE w:val="0"/>
    </w:pPr>
    <w:rPr>
      <w:rFonts w:ascii="華康中楷體" w:eastAsia="華康中楷體" w:hAnsi="華康中楷體"/>
      <w:kern w:val="0"/>
      <w:szCs w:val="20"/>
    </w:rPr>
  </w:style>
  <w:style w:type="paragraph" w:customStyle="1" w:styleId="B1">
    <w:name w:val="ª÷ÃB:1"/>
    <w:basedOn w:val="a"/>
    <w:pPr>
      <w:widowControl/>
      <w:overflowPunct w:val="0"/>
      <w:autoSpaceDE w:val="0"/>
    </w:pPr>
    <w:rPr>
      <w:rFonts w:ascii="華康中楷體" w:eastAsia="華康中楷體" w:hAnsi="華康中楷體"/>
      <w:kern w:val="0"/>
      <w:szCs w:val="20"/>
    </w:rPr>
  </w:style>
  <w:style w:type="paragraph" w:customStyle="1" w:styleId="Z1">
    <w:name w:val="«ù­±¶¡¶Z:1"/>
    <w:basedOn w:val="a"/>
    <w:pPr>
      <w:widowControl/>
      <w:overflowPunct w:val="0"/>
      <w:autoSpaceDE w:val="0"/>
      <w:spacing w:line="230" w:lineRule="exact"/>
    </w:pPr>
    <w:rPr>
      <w:rFonts w:ascii="華康中楷體" w:eastAsia="華康中楷體" w:hAnsi="華康中楷體"/>
      <w:kern w:val="0"/>
      <w:szCs w:val="20"/>
    </w:rPr>
  </w:style>
  <w:style w:type="paragraph" w:customStyle="1" w:styleId="gZ1">
    <w:name w:val="¤g­±¶¡¶Z:1"/>
    <w:basedOn w:val="a"/>
    <w:pPr>
      <w:widowControl/>
      <w:overflowPunct w:val="0"/>
      <w:autoSpaceDE w:val="0"/>
      <w:spacing w:line="388" w:lineRule="exact"/>
    </w:pPr>
    <w:rPr>
      <w:rFonts w:ascii="華康中楷體" w:eastAsia="華康中楷體" w:hAnsi="華康中楷體"/>
      <w:kern w:val="0"/>
      <w:sz w:val="28"/>
      <w:szCs w:val="20"/>
    </w:rPr>
  </w:style>
  <w:style w:type="paragraph" w:customStyle="1" w:styleId="a10">
    <w:name w:val="¦a¸¹:1"/>
    <w:basedOn w:val="a"/>
    <w:pPr>
      <w:widowControl/>
      <w:overflowPunct w:val="0"/>
      <w:autoSpaceDE w:val="0"/>
    </w:pPr>
    <w:rPr>
      <w:rFonts w:ascii="華康中楷體" w:eastAsia="華康中楷體" w:hAnsi="華康中楷體"/>
      <w:kern w:val="0"/>
      <w:szCs w:val="20"/>
    </w:rPr>
  </w:style>
  <w:style w:type="paragraph" w:customStyle="1" w:styleId="n1">
    <w:name w:val="Á`­±¿n:1"/>
    <w:basedOn w:val="a"/>
    <w:pPr>
      <w:widowControl/>
      <w:overflowPunct w:val="0"/>
      <w:autoSpaceDE w:val="0"/>
    </w:pPr>
    <w:rPr>
      <w:rFonts w:ascii="華康中楷體" w:eastAsia="華康中楷體" w:hAnsi="華康中楷體"/>
      <w:kern w:val="0"/>
      <w:szCs w:val="20"/>
    </w:rPr>
  </w:style>
  <w:style w:type="paragraph" w:customStyle="1" w:styleId="Z10">
    <w:name w:val="ªí¥~¶¡¶Z:1"/>
    <w:basedOn w:val="a"/>
    <w:pPr>
      <w:widowControl/>
      <w:overflowPunct w:val="0"/>
      <w:autoSpaceDE w:val="0"/>
      <w:spacing w:line="288" w:lineRule="exact"/>
    </w:pPr>
    <w:rPr>
      <w:rFonts w:ascii="華康中楷體" w:eastAsia="華康中楷體" w:hAnsi="華康中楷體"/>
      <w:kern w:val="0"/>
      <w:sz w:val="28"/>
      <w:szCs w:val="20"/>
    </w:rPr>
  </w:style>
  <w:style w:type="paragraph" w:customStyle="1" w:styleId="r1">
    <w:name w:val="ªí®æ¤å¦r:1"/>
    <w:basedOn w:val="a"/>
    <w:pPr>
      <w:widowControl/>
      <w:overflowPunct w:val="0"/>
      <w:autoSpaceDE w:val="0"/>
    </w:pPr>
    <w:rPr>
      <w:rFonts w:ascii="華康中楷體" w:eastAsia="華康中楷體" w:hAnsi="華康中楷體"/>
      <w:kern w:val="0"/>
      <w:szCs w:val="20"/>
    </w:rPr>
  </w:style>
  <w:style w:type="paragraph" w:customStyle="1" w:styleId="DefaultText1">
    <w:name w:val="Default Text:1"/>
    <w:basedOn w:val="a"/>
    <w:pPr>
      <w:widowControl/>
      <w:overflowPunct w:val="0"/>
      <w:autoSpaceDE w:val="0"/>
      <w:spacing w:line="432" w:lineRule="exact"/>
    </w:pPr>
    <w:rPr>
      <w:rFonts w:ascii="華康中楷體" w:eastAsia="華康中楷體" w:hAnsi="華康中楷體"/>
      <w:kern w:val="0"/>
      <w:sz w:val="28"/>
      <w:szCs w:val="20"/>
    </w:rPr>
  </w:style>
  <w:style w:type="paragraph" w:customStyle="1" w:styleId="af3">
    <w:name w:val="表格文字"/>
    <w:basedOn w:val="a"/>
    <w:pPr>
      <w:autoSpaceDE w:val="0"/>
    </w:pPr>
    <w:rPr>
      <w:rFonts w:ascii="華康中楷體" w:eastAsia="華康中楷體" w:hAnsi="華康中楷體"/>
      <w:kern w:val="0"/>
      <w:szCs w:val="24"/>
    </w:rPr>
  </w:style>
  <w:style w:type="paragraph" w:customStyle="1" w:styleId="font5">
    <w:name w:val="font5"/>
    <w:basedOn w:val="a"/>
    <w:pPr>
      <w:widowControl/>
      <w:spacing w:before="100" w:after="100"/>
    </w:pPr>
    <w:rPr>
      <w:rFonts w:ascii="標楷體" w:eastAsia="標楷體" w:hAnsi="標楷體" w:cs="新細明體"/>
      <w:kern w:val="0"/>
      <w:sz w:val="28"/>
      <w:szCs w:val="28"/>
    </w:rPr>
  </w:style>
  <w:style w:type="paragraph" w:customStyle="1" w:styleId="font6">
    <w:name w:val="font6"/>
    <w:basedOn w:val="a"/>
    <w:pPr>
      <w:widowControl/>
      <w:spacing w:before="100" w:after="100"/>
    </w:pPr>
    <w:rPr>
      <w:rFonts w:ascii="標楷體" w:eastAsia="標楷體" w:hAnsi="標楷體" w:cs="新細明體"/>
      <w:b/>
      <w:bCs/>
      <w:kern w:val="0"/>
      <w:sz w:val="28"/>
      <w:szCs w:val="28"/>
    </w:rPr>
  </w:style>
  <w:style w:type="paragraph" w:customStyle="1" w:styleId="font7">
    <w:name w:val="font7"/>
    <w:basedOn w:val="a"/>
    <w:pPr>
      <w:widowControl/>
      <w:spacing w:before="100" w:after="100"/>
    </w:pPr>
    <w:rPr>
      <w:rFonts w:ascii="新細明體" w:hAnsi="新細明體" w:cs="新細明體"/>
      <w:kern w:val="0"/>
      <w:sz w:val="18"/>
      <w:szCs w:val="18"/>
    </w:rPr>
  </w:style>
  <w:style w:type="paragraph" w:customStyle="1" w:styleId="font8">
    <w:name w:val="font8"/>
    <w:basedOn w:val="a"/>
    <w:pPr>
      <w:widowControl/>
      <w:spacing w:before="100" w:after="100"/>
    </w:pPr>
    <w:rPr>
      <w:rFonts w:ascii="Times New Roman" w:eastAsia="Arial Unicode MS" w:hAnsi="Times New Roman"/>
      <w:b/>
      <w:bCs/>
      <w:kern w:val="0"/>
      <w:sz w:val="28"/>
      <w:szCs w:val="28"/>
    </w:rPr>
  </w:style>
  <w:style w:type="paragraph" w:customStyle="1" w:styleId="font9">
    <w:name w:val="font9"/>
    <w:basedOn w:val="a"/>
    <w:pPr>
      <w:widowControl/>
      <w:spacing w:before="100" w:after="100"/>
    </w:pPr>
    <w:rPr>
      <w:rFonts w:ascii="Times New Roman" w:eastAsia="Arial Unicode MS" w:hAnsi="Times New Roman"/>
      <w:kern w:val="0"/>
      <w:sz w:val="28"/>
      <w:szCs w:val="28"/>
    </w:rPr>
  </w:style>
  <w:style w:type="paragraph" w:customStyle="1" w:styleId="xl24">
    <w:name w:val="xl24"/>
    <w:basedOn w:val="a"/>
    <w:pPr>
      <w:widowControl/>
      <w:spacing w:before="100" w:after="100"/>
    </w:pPr>
    <w:rPr>
      <w:rFonts w:ascii="Arial Unicode MS" w:eastAsia="Arial Unicode MS" w:hAnsi="Arial Unicode MS" w:cs="新細明體"/>
      <w:kern w:val="0"/>
      <w:szCs w:val="24"/>
    </w:rPr>
  </w:style>
  <w:style w:type="paragraph" w:customStyle="1" w:styleId="xl25">
    <w:name w:val="xl25"/>
    <w:basedOn w:val="a"/>
    <w:pPr>
      <w:widowControl/>
      <w:spacing w:before="100" w:after="100"/>
      <w:jc w:val="center"/>
    </w:pPr>
    <w:rPr>
      <w:rFonts w:ascii="標楷體" w:eastAsia="標楷體" w:hAnsi="標楷體" w:cs="新細明體"/>
      <w:b/>
      <w:bCs/>
      <w:kern w:val="0"/>
      <w:sz w:val="36"/>
      <w:szCs w:val="36"/>
    </w:rPr>
  </w:style>
  <w:style w:type="paragraph" w:customStyle="1" w:styleId="xl26">
    <w:name w:val="xl26"/>
    <w:basedOn w:val="a"/>
    <w:pPr>
      <w:widowControl/>
      <w:spacing w:before="100" w:after="100"/>
    </w:pPr>
    <w:rPr>
      <w:rFonts w:ascii="Times New Roman" w:eastAsia="Arial Unicode MS" w:hAnsi="Times New Roman"/>
      <w:kern w:val="0"/>
      <w:sz w:val="28"/>
      <w:szCs w:val="28"/>
    </w:rPr>
  </w:style>
  <w:style w:type="paragraph" w:customStyle="1" w:styleId="xl27">
    <w:name w:val="xl27"/>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新細明體"/>
      <w:b/>
      <w:bCs/>
      <w:kern w:val="0"/>
      <w:szCs w:val="24"/>
    </w:rPr>
  </w:style>
  <w:style w:type="paragraph" w:customStyle="1" w:styleId="xl28">
    <w:name w:val="xl28"/>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新細明體"/>
      <w:b/>
      <w:bCs/>
      <w:kern w:val="0"/>
      <w:szCs w:val="24"/>
    </w:rPr>
  </w:style>
  <w:style w:type="paragraph" w:customStyle="1" w:styleId="xl29">
    <w:name w:val="xl29"/>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30">
    <w:name w:val="xl30"/>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新細明體"/>
      <w:b/>
      <w:bCs/>
      <w:kern w:val="0"/>
      <w:sz w:val="28"/>
      <w:szCs w:val="28"/>
    </w:rPr>
  </w:style>
  <w:style w:type="paragraph" w:customStyle="1" w:styleId="xl31">
    <w:name w:val="xl31"/>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32">
    <w:name w:val="xl32"/>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33">
    <w:name w:val="xl33"/>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34">
    <w:name w:val="xl34"/>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35">
    <w:name w:val="xl35"/>
    <w:basedOn w:val="a"/>
    <w:pPr>
      <w:widowControl/>
      <w:spacing w:before="100" w:after="100"/>
      <w:jc w:val="center"/>
      <w:textAlignment w:val="center"/>
    </w:pPr>
    <w:rPr>
      <w:rFonts w:ascii="Arial Unicode MS" w:eastAsia="Arial Unicode MS" w:hAnsi="Arial Unicode MS" w:cs="新細明體"/>
      <w:kern w:val="0"/>
      <w:szCs w:val="24"/>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38">
    <w:name w:val="xl3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39">
    <w:name w:val="xl3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40">
    <w:name w:val="xl40"/>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新細明體"/>
      <w:kern w:val="0"/>
      <w:szCs w:val="24"/>
    </w:rPr>
  </w:style>
  <w:style w:type="paragraph" w:customStyle="1" w:styleId="xl41">
    <w:name w:val="xl41"/>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新細明體"/>
      <w:kern w:val="0"/>
      <w:szCs w:val="24"/>
    </w:rPr>
  </w:style>
  <w:style w:type="paragraph" w:customStyle="1" w:styleId="xl42">
    <w:name w:val="xl4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43">
    <w:name w:val="xl43"/>
    <w:basedOn w:val="a"/>
    <w:pPr>
      <w:widowControl/>
      <w:spacing w:before="100" w:after="100"/>
      <w:jc w:val="center"/>
      <w:textAlignment w:val="center"/>
    </w:pPr>
    <w:rPr>
      <w:rFonts w:ascii="標楷體" w:eastAsia="標楷體" w:hAnsi="標楷體" w:cs="新細明體"/>
      <w:kern w:val="0"/>
      <w:szCs w:val="24"/>
    </w:rPr>
  </w:style>
  <w:style w:type="paragraph" w:customStyle="1" w:styleId="xl44">
    <w:name w:val="xl4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楷體" w:eastAsia="華康中楷體" w:hAnsi="華康中楷體" w:cs="新細明體"/>
      <w:kern w:val="0"/>
      <w:szCs w:val="24"/>
    </w:rPr>
  </w:style>
  <w:style w:type="paragraph" w:customStyle="1" w:styleId="xl45">
    <w:name w:val="xl4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Cs w:val="24"/>
    </w:rPr>
  </w:style>
  <w:style w:type="paragraph" w:customStyle="1" w:styleId="xl46">
    <w:name w:val="xl4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kern w:val="0"/>
      <w:szCs w:val="24"/>
    </w:rPr>
  </w:style>
  <w:style w:type="paragraph" w:customStyle="1" w:styleId="xl47">
    <w:name w:val="xl4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楷體" w:eastAsia="華康中楷體" w:hAnsi="華康中楷體" w:cs="新細明體"/>
      <w:kern w:val="0"/>
      <w:szCs w:val="24"/>
    </w:rPr>
  </w:style>
  <w:style w:type="paragraph" w:customStyle="1" w:styleId="xl48">
    <w:name w:val="xl4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楷體" w:eastAsia="華康中楷體" w:hAnsi="華康中楷體" w:cs="新細明體"/>
      <w:kern w:val="0"/>
      <w:szCs w:val="24"/>
    </w:rPr>
  </w:style>
  <w:style w:type="paragraph" w:customStyle="1" w:styleId="xl49">
    <w:name w:val="xl4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楷體" w:eastAsia="華康中楷體" w:hAnsi="華康中楷體" w:cs="新細明體"/>
      <w:kern w:val="0"/>
      <w:szCs w:val="24"/>
    </w:rPr>
  </w:style>
  <w:style w:type="paragraph" w:customStyle="1" w:styleId="xl50">
    <w:name w:val="xl50"/>
    <w:basedOn w:val="a"/>
    <w:pPr>
      <w:widowControl/>
      <w:spacing w:before="100" w:after="100"/>
      <w:textAlignment w:val="center"/>
    </w:pPr>
    <w:rPr>
      <w:rFonts w:ascii="標楷體" w:eastAsia="標楷體" w:hAnsi="標楷體" w:cs="新細明體"/>
      <w:kern w:val="0"/>
      <w:szCs w:val="24"/>
    </w:rPr>
  </w:style>
  <w:style w:type="paragraph" w:customStyle="1" w:styleId="xl51">
    <w:name w:val="xl51"/>
    <w:basedOn w:val="a"/>
    <w:pPr>
      <w:widowControl/>
      <w:spacing w:before="100" w:after="100"/>
      <w:textAlignment w:val="center"/>
    </w:pPr>
    <w:rPr>
      <w:rFonts w:ascii="Arial Unicode MS" w:eastAsia="Arial Unicode MS" w:hAnsi="Arial Unicode MS" w:cs="新細明體"/>
      <w:kern w:val="0"/>
      <w:szCs w:val="24"/>
    </w:rPr>
  </w:style>
  <w:style w:type="paragraph" w:customStyle="1" w:styleId="xl52">
    <w:name w:val="xl52"/>
    <w:basedOn w:val="a"/>
    <w:pPr>
      <w:widowControl/>
      <w:pBdr>
        <w:top w:val="double" w:sz="6" w:space="0" w:color="000000"/>
        <w:left w:val="double" w:sz="6" w:space="0" w:color="000000"/>
        <w:bottom w:val="double" w:sz="6" w:space="0" w:color="000000"/>
        <w:right w:val="double" w:sz="6" w:space="0" w:color="000000"/>
      </w:pBdr>
      <w:spacing w:before="100" w:after="100"/>
      <w:textAlignment w:val="center"/>
    </w:pPr>
    <w:rPr>
      <w:rFonts w:ascii="Arial Unicode MS" w:eastAsia="Arial Unicode MS" w:hAnsi="Arial Unicode MS" w:cs="新細明體"/>
      <w:kern w:val="0"/>
      <w:szCs w:val="24"/>
    </w:rPr>
  </w:style>
  <w:style w:type="paragraph" w:customStyle="1" w:styleId="xl53">
    <w:name w:val="xl53"/>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新細明體"/>
      <w:b/>
      <w:bCs/>
      <w:kern w:val="0"/>
      <w:sz w:val="28"/>
      <w:szCs w:val="28"/>
    </w:rPr>
  </w:style>
  <w:style w:type="paragraph" w:customStyle="1" w:styleId="xl54">
    <w:name w:val="xl54"/>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新細明體"/>
      <w:b/>
      <w:bCs/>
      <w:kern w:val="0"/>
      <w:sz w:val="28"/>
      <w:szCs w:val="28"/>
    </w:rPr>
  </w:style>
  <w:style w:type="paragraph" w:customStyle="1" w:styleId="xl55">
    <w:name w:val="xl55"/>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56">
    <w:name w:val="xl56"/>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57">
    <w:name w:val="xl57"/>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58">
    <w:name w:val="xl58"/>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59">
    <w:name w:val="xl5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60">
    <w:name w:val="xl6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61">
    <w:name w:val="xl6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62">
    <w:name w:val="xl6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63">
    <w:name w:val="xl6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新細明體"/>
      <w:b/>
      <w:bCs/>
      <w:kern w:val="0"/>
      <w:szCs w:val="24"/>
    </w:rPr>
  </w:style>
  <w:style w:type="paragraph" w:customStyle="1" w:styleId="xl64">
    <w:name w:val="xl64"/>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新細明體"/>
      <w:kern w:val="0"/>
      <w:szCs w:val="24"/>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新細明體"/>
      <w:kern w:val="0"/>
      <w:szCs w:val="24"/>
    </w:rPr>
  </w:style>
  <w:style w:type="paragraph" w:customStyle="1" w:styleId="xl66">
    <w:name w:val="xl66"/>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67">
    <w:name w:val="xl67"/>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68">
    <w:name w:val="xl68"/>
    <w:basedOn w:val="a"/>
    <w:pPr>
      <w:widowControl/>
      <w:spacing w:before="100" w:after="100"/>
      <w:jc w:val="center"/>
      <w:textAlignment w:val="center"/>
    </w:pPr>
    <w:rPr>
      <w:rFonts w:ascii="Arial Unicode MS" w:eastAsia="Arial Unicode MS" w:hAnsi="Arial Unicode MS" w:cs="新細明體"/>
      <w:kern w:val="0"/>
      <w:szCs w:val="24"/>
    </w:rPr>
  </w:style>
  <w:style w:type="paragraph" w:customStyle="1" w:styleId="xl69">
    <w:name w:val="xl69"/>
    <w:basedOn w:val="a"/>
    <w:pPr>
      <w:widowControl/>
      <w:spacing w:before="100" w:after="100"/>
      <w:jc w:val="center"/>
      <w:textAlignment w:val="center"/>
    </w:pPr>
    <w:rPr>
      <w:rFonts w:ascii="Arial Unicode MS" w:eastAsia="Arial Unicode MS" w:hAnsi="Arial Unicode MS" w:cs="新細明體"/>
      <w:kern w:val="0"/>
      <w:szCs w:val="24"/>
    </w:rPr>
  </w:style>
  <w:style w:type="paragraph" w:customStyle="1" w:styleId="xl70">
    <w:name w:val="xl70"/>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71">
    <w:name w:val="xl71"/>
    <w:basedOn w:val="a"/>
    <w:pPr>
      <w:widowControl/>
      <w:spacing w:before="100" w:after="100"/>
      <w:textAlignment w:val="center"/>
    </w:pPr>
    <w:rPr>
      <w:rFonts w:ascii="Arial Unicode MS" w:eastAsia="Arial Unicode MS" w:hAnsi="Arial Unicode MS" w:cs="新細明體"/>
      <w:kern w:val="0"/>
      <w:szCs w:val="24"/>
    </w:rPr>
  </w:style>
  <w:style w:type="paragraph" w:customStyle="1" w:styleId="xl72">
    <w:name w:val="xl72"/>
    <w:basedOn w:val="a"/>
    <w:pPr>
      <w:widowControl/>
      <w:spacing w:before="100" w:after="100"/>
      <w:textAlignment w:val="center"/>
    </w:pPr>
    <w:rPr>
      <w:rFonts w:ascii="Arial Unicode MS" w:eastAsia="Arial Unicode MS" w:hAnsi="Arial Unicode MS" w:cs="新細明體"/>
      <w:kern w:val="0"/>
      <w:szCs w:val="24"/>
    </w:rPr>
  </w:style>
  <w:style w:type="paragraph" w:customStyle="1" w:styleId="xl73">
    <w:name w:val="xl73"/>
    <w:basedOn w:val="a"/>
    <w:pPr>
      <w:widowControl/>
      <w:spacing w:before="100" w:after="100"/>
      <w:jc w:val="center"/>
      <w:textAlignment w:val="center"/>
    </w:pPr>
    <w:rPr>
      <w:rFonts w:ascii="標楷體" w:eastAsia="標楷體" w:hAnsi="標楷體" w:cs="新細明體"/>
      <w:b/>
      <w:bCs/>
      <w:kern w:val="0"/>
      <w:szCs w:val="24"/>
    </w:rPr>
  </w:style>
  <w:style w:type="paragraph" w:customStyle="1" w:styleId="xl74">
    <w:name w:val="xl74"/>
    <w:basedOn w:val="a"/>
    <w:pPr>
      <w:widowControl/>
      <w:spacing w:before="100" w:after="100"/>
      <w:jc w:val="right"/>
      <w:textAlignment w:val="center"/>
    </w:pPr>
    <w:rPr>
      <w:rFonts w:ascii="華康中楷體" w:eastAsia="華康中楷體" w:hAnsi="華康中楷體" w:cs="新細明體"/>
      <w:kern w:val="0"/>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華康中楷體" w:eastAsia="華康中楷體" w:hAnsi="華康中楷體" w:cs="新細明體"/>
      <w:kern w:val="0"/>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華康中楷體" w:eastAsia="華康中楷體" w:hAnsi="華康中楷體" w:cs="新細明體"/>
      <w:kern w:val="0"/>
      <w:szCs w:val="24"/>
    </w:rPr>
  </w:style>
  <w:style w:type="paragraph" w:customStyle="1" w:styleId="xl77">
    <w:name w:val="xl77"/>
    <w:basedOn w:val="a"/>
    <w:pPr>
      <w:widowControl/>
      <w:spacing w:before="100" w:after="100"/>
      <w:jc w:val="right"/>
      <w:textAlignment w:val="center"/>
    </w:pPr>
    <w:rPr>
      <w:rFonts w:ascii="華康中楷體" w:eastAsia="華康中楷體" w:hAnsi="華康中楷體" w:cs="新細明體"/>
      <w:kern w:val="0"/>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新細明體"/>
      <w:kern w:val="0"/>
      <w:szCs w:val="24"/>
    </w:rPr>
  </w:style>
  <w:style w:type="paragraph" w:customStyle="1" w:styleId="xl79">
    <w:name w:val="xl79"/>
    <w:basedOn w:val="a"/>
    <w:pPr>
      <w:widowControl/>
      <w:spacing w:before="100" w:after="100"/>
      <w:jc w:val="center"/>
      <w:textAlignment w:val="center"/>
    </w:pPr>
    <w:rPr>
      <w:rFonts w:ascii="Arial Unicode MS" w:eastAsia="Arial Unicode MS" w:hAnsi="Arial Unicode MS" w:cs="新細明體"/>
      <w:kern w:val="0"/>
      <w:szCs w:val="24"/>
    </w:rPr>
  </w:style>
  <w:style w:type="paragraph" w:customStyle="1" w:styleId="xl80">
    <w:name w:val="xl80"/>
    <w:basedOn w:val="a"/>
    <w:pPr>
      <w:widowControl/>
      <w:spacing w:before="100" w:after="100"/>
      <w:jc w:val="center"/>
      <w:textAlignment w:val="center"/>
    </w:pPr>
    <w:rPr>
      <w:rFonts w:ascii="華康中楷體" w:eastAsia="華康中楷體" w:hAnsi="華康中楷體" w:cs="新細明體"/>
      <w:kern w:val="0"/>
      <w:szCs w:val="24"/>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新細明體"/>
      <w:kern w:val="0"/>
      <w:szCs w:val="24"/>
    </w:rPr>
  </w:style>
  <w:style w:type="paragraph" w:customStyle="1" w:styleId="xl82">
    <w:name w:val="xl82"/>
    <w:basedOn w:val="a"/>
    <w:pPr>
      <w:widowControl/>
      <w:spacing w:before="100" w:after="100"/>
      <w:jc w:val="center"/>
      <w:textAlignment w:val="center"/>
    </w:pPr>
    <w:rPr>
      <w:rFonts w:ascii="華康中楷體" w:eastAsia="華康中楷體" w:hAnsi="華康中楷體" w:cs="新細明體"/>
      <w:kern w:val="0"/>
      <w:szCs w:val="24"/>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楷體" w:eastAsia="華康中楷體" w:hAnsi="華康中楷體" w:cs="新細明體"/>
      <w:kern w:val="0"/>
      <w:szCs w:val="24"/>
    </w:rPr>
  </w:style>
  <w:style w:type="paragraph" w:customStyle="1" w:styleId="xl84">
    <w:name w:val="xl84"/>
    <w:basedOn w:val="a"/>
    <w:pPr>
      <w:widowControl/>
      <w:spacing w:before="100" w:after="100"/>
      <w:jc w:val="center"/>
      <w:textAlignment w:val="center"/>
    </w:pPr>
    <w:rPr>
      <w:rFonts w:ascii="華康中楷體" w:eastAsia="華康中楷體" w:hAnsi="華康中楷體" w:cs="新細明體"/>
      <w:kern w:val="0"/>
      <w:szCs w:val="24"/>
    </w:rPr>
  </w:style>
  <w:style w:type="paragraph" w:customStyle="1" w:styleId="xl85">
    <w:name w:val="xl85"/>
    <w:basedOn w:val="a"/>
    <w:pPr>
      <w:widowControl/>
      <w:spacing w:before="100" w:after="100"/>
      <w:jc w:val="center"/>
      <w:textAlignment w:val="center"/>
    </w:pPr>
    <w:rPr>
      <w:rFonts w:ascii="華康中楷體" w:eastAsia="華康中楷體" w:hAnsi="華康中楷體" w:cs="新細明體"/>
      <w:kern w:val="0"/>
      <w:szCs w:val="24"/>
    </w:rPr>
  </w:style>
  <w:style w:type="paragraph" w:customStyle="1" w:styleId="xl86">
    <w:name w:val="xl86"/>
    <w:basedOn w:val="a"/>
    <w:pPr>
      <w:widowControl/>
      <w:spacing w:before="100" w:after="100"/>
      <w:jc w:val="center"/>
      <w:textAlignment w:val="center"/>
    </w:pPr>
    <w:rPr>
      <w:rFonts w:ascii="華康中楷體" w:eastAsia="華康中楷體" w:hAnsi="華康中楷體" w:cs="新細明體"/>
      <w:kern w:val="0"/>
      <w:szCs w:val="24"/>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華康中楷體" w:eastAsia="華康中楷體" w:hAnsi="華康中楷體" w:cs="新細明體"/>
      <w:kern w:val="0"/>
      <w:szCs w:val="24"/>
    </w:rPr>
  </w:style>
  <w:style w:type="paragraph" w:customStyle="1" w:styleId="xl88">
    <w:name w:val="xl88"/>
    <w:basedOn w:val="a"/>
    <w:pPr>
      <w:widowControl/>
      <w:spacing w:before="100" w:after="100"/>
      <w:jc w:val="right"/>
      <w:textAlignment w:val="center"/>
    </w:pPr>
    <w:rPr>
      <w:rFonts w:ascii="華康中楷體" w:eastAsia="華康中楷體" w:hAnsi="華康中楷體" w:cs="新細明體"/>
      <w:kern w:val="0"/>
      <w:szCs w:val="24"/>
    </w:rPr>
  </w:style>
  <w:style w:type="paragraph" w:customStyle="1" w:styleId="xl89">
    <w:name w:val="xl89"/>
    <w:basedOn w:val="a"/>
    <w:pPr>
      <w:widowControl/>
      <w:spacing w:before="100" w:after="100"/>
      <w:jc w:val="center"/>
      <w:textAlignment w:val="center"/>
    </w:pPr>
    <w:rPr>
      <w:rFonts w:ascii="華康中楷體" w:eastAsia="華康中楷體" w:hAnsi="華康中楷體" w:cs="新細明體"/>
      <w:kern w:val="0"/>
      <w:szCs w:val="24"/>
    </w:rPr>
  </w:style>
  <w:style w:type="paragraph" w:customStyle="1" w:styleId="xl90">
    <w:name w:val="xl90"/>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customStyle="1" w:styleId="xl92">
    <w:name w:val="xl92"/>
    <w:basedOn w:val="a"/>
    <w:pPr>
      <w:widowControl/>
      <w:spacing w:before="100" w:after="100"/>
      <w:jc w:val="right"/>
      <w:textAlignment w:val="center"/>
    </w:pPr>
    <w:rPr>
      <w:rFonts w:ascii="華康中楷體" w:eastAsia="華康中楷體" w:hAnsi="華康中楷體" w:cs="新細明體"/>
      <w:kern w:val="0"/>
      <w:szCs w:val="24"/>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華康中楷體" w:eastAsia="華康中楷體" w:hAnsi="華康中楷體" w:cs="新細明體"/>
      <w:kern w:val="0"/>
      <w:szCs w:val="24"/>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customStyle="1" w:styleId="xl95">
    <w:name w:val="xl95"/>
    <w:basedOn w:val="a"/>
    <w:pPr>
      <w:widowControl/>
      <w:spacing w:before="100" w:after="100"/>
      <w:jc w:val="right"/>
      <w:textAlignment w:val="center"/>
    </w:pPr>
    <w:rPr>
      <w:rFonts w:ascii="華康中楷體" w:eastAsia="華康中楷體" w:hAnsi="華康中楷體" w:cs="新細明體"/>
      <w:kern w:val="0"/>
      <w:szCs w:val="24"/>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華康中楷體" w:eastAsia="華康中楷體" w:hAnsi="華康中楷體" w:cs="新細明體"/>
      <w:kern w:val="0"/>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華康中楷體" w:eastAsia="華康中楷體" w:hAnsi="華康中楷體" w:cs="新細明體"/>
      <w:kern w:val="0"/>
      <w:szCs w:val="24"/>
    </w:rPr>
  </w:style>
  <w:style w:type="paragraph" w:customStyle="1" w:styleId="xl98">
    <w:name w:val="xl98"/>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華康中楷體" w:eastAsia="華康中楷體" w:hAnsi="華康中楷體" w:cs="新細明體"/>
      <w:kern w:val="0"/>
      <w:szCs w:val="24"/>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Unicode MS" w:eastAsia="Arial Unicode MS" w:hAnsi="Arial Unicode MS" w:cs="新細明體"/>
      <w:kern w:val="0"/>
      <w:szCs w:val="24"/>
    </w:rPr>
  </w:style>
  <w:style w:type="paragraph" w:styleId="af4">
    <w:name w:val="Body Text Indent"/>
    <w:basedOn w:val="a"/>
    <w:pPr>
      <w:widowControl/>
      <w:tabs>
        <w:tab w:val="left" w:pos="1418"/>
      </w:tabs>
      <w:overflowPunct w:val="0"/>
      <w:autoSpaceDE w:val="0"/>
      <w:ind w:left="1419" w:hanging="1"/>
    </w:pPr>
    <w:rPr>
      <w:rFonts w:ascii="Times New Roman" w:eastAsia="標楷體" w:hAnsi="Times New Roman"/>
      <w:kern w:val="0"/>
      <w:sz w:val="28"/>
      <w:szCs w:val="20"/>
    </w:rPr>
  </w:style>
  <w:style w:type="character" w:customStyle="1" w:styleId="af5">
    <w:name w:val="本文縮排 字元"/>
    <w:basedOn w:val="a2"/>
    <w:rPr>
      <w:rFonts w:ascii="Times New Roman" w:eastAsia="標楷體" w:hAnsi="Times New Roman" w:cs="Times New Roman"/>
      <w:kern w:val="0"/>
      <w:sz w:val="28"/>
      <w:szCs w:val="20"/>
    </w:rPr>
  </w:style>
  <w:style w:type="paragraph" w:styleId="21">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ind w:firstLine="1680"/>
    </w:pPr>
    <w:rPr>
      <w:rFonts w:ascii="細明體" w:eastAsia="標楷體" w:hAnsi="細明體"/>
      <w:kern w:val="0"/>
      <w:sz w:val="28"/>
      <w:szCs w:val="20"/>
    </w:rPr>
  </w:style>
  <w:style w:type="character" w:customStyle="1" w:styleId="22">
    <w:name w:val="本文縮排 2 字元"/>
    <w:basedOn w:val="a2"/>
    <w:rPr>
      <w:rFonts w:ascii="細明體" w:eastAsia="標楷體" w:hAnsi="細明體" w:cs="Times New Roman"/>
      <w:kern w:val="0"/>
      <w:sz w:val="28"/>
      <w:szCs w:val="20"/>
    </w:rPr>
  </w:style>
  <w:style w:type="character" w:customStyle="1" w:styleId="tbtext111">
    <w:name w:val="tb_text111"/>
    <w:rPr>
      <w:rFonts w:ascii="Verdana" w:hAnsi="Verdana"/>
      <w:strike w:val="0"/>
      <w:dstrike w:val="0"/>
      <w:color w:val="333333"/>
      <w:spacing w:val="440"/>
      <w:sz w:val="22"/>
      <w:szCs w:val="22"/>
      <w:u w:val="none"/>
    </w:rPr>
  </w:style>
  <w:style w:type="paragraph" w:styleId="af6">
    <w:name w:val="Salutation"/>
    <w:basedOn w:val="a"/>
    <w:next w:val="a"/>
    <w:pPr>
      <w:widowControl/>
      <w:overflowPunct w:val="0"/>
      <w:autoSpaceDE w:val="0"/>
    </w:pPr>
    <w:rPr>
      <w:rFonts w:ascii="ө" w:eastAsia="標楷體" w:hAnsi="ө"/>
      <w:spacing w:val="20"/>
      <w:kern w:val="0"/>
      <w:sz w:val="28"/>
      <w:szCs w:val="20"/>
    </w:rPr>
  </w:style>
  <w:style w:type="character" w:customStyle="1" w:styleId="af7">
    <w:name w:val="問候 字元"/>
    <w:basedOn w:val="a2"/>
    <w:rPr>
      <w:rFonts w:ascii="ө" w:eastAsia="標楷體" w:hAnsi="ө" w:cs="Times New Roman"/>
      <w:spacing w:val="20"/>
      <w:kern w:val="0"/>
      <w:sz w:val="28"/>
      <w:szCs w:val="20"/>
    </w:rPr>
  </w:style>
  <w:style w:type="paragraph" w:styleId="af8">
    <w:name w:val="Closing"/>
    <w:basedOn w:val="a"/>
    <w:pPr>
      <w:widowControl/>
      <w:overflowPunct w:val="0"/>
      <w:autoSpaceDE w:val="0"/>
      <w:ind w:left="100"/>
    </w:pPr>
    <w:rPr>
      <w:rFonts w:ascii="ө" w:eastAsia="標楷體" w:hAnsi="ө"/>
      <w:spacing w:val="20"/>
      <w:kern w:val="0"/>
      <w:sz w:val="28"/>
      <w:szCs w:val="20"/>
    </w:rPr>
  </w:style>
  <w:style w:type="character" w:customStyle="1" w:styleId="af9">
    <w:name w:val="結語 字元"/>
    <w:basedOn w:val="a2"/>
    <w:rPr>
      <w:rFonts w:ascii="ө" w:eastAsia="標楷體" w:hAnsi="ө" w:cs="Times New Roman"/>
      <w:spacing w:val="20"/>
      <w:kern w:val="0"/>
      <w:sz w:val="28"/>
      <w:szCs w:val="20"/>
    </w:rPr>
  </w:style>
  <w:style w:type="paragraph" w:customStyle="1" w:styleId="afa">
    <w:name w:val="(一)黑"/>
    <w:basedOn w:val="a"/>
    <w:pPr>
      <w:autoSpaceDE w:val="0"/>
      <w:spacing w:after="280" w:line="432" w:lineRule="exact"/>
      <w:ind w:left="1576" w:hanging="560"/>
    </w:pPr>
    <w:rPr>
      <w:rFonts w:ascii="標楷體" w:eastAsia="標楷體" w:hAnsi="標楷體"/>
      <w:b/>
      <w:bCs/>
      <w:kern w:val="0"/>
      <w:sz w:val="28"/>
      <w:szCs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2"/>
    <w:rPr>
      <w:rFonts w:ascii="細明體" w:eastAsia="細明體" w:hAnsi="細明體" w:cs="Times New Roman"/>
      <w:kern w:val="0"/>
      <w:szCs w:val="24"/>
    </w:rPr>
  </w:style>
  <w:style w:type="paragraph" w:customStyle="1" w:styleId="17">
    <w:name w:val="1."/>
    <w:basedOn w:val="a"/>
    <w:pPr>
      <w:autoSpaceDE w:val="0"/>
      <w:spacing w:after="140" w:line="432" w:lineRule="exact"/>
      <w:ind w:left="1296" w:hanging="280"/>
    </w:pPr>
    <w:rPr>
      <w:rFonts w:ascii="標楷體" w:eastAsia="標楷體" w:hAnsi="標楷體"/>
      <w:kern w:val="0"/>
      <w:sz w:val="28"/>
      <w:szCs w:val="28"/>
    </w:rPr>
  </w:style>
  <w:style w:type="paragraph" w:customStyle="1" w:styleId="18">
    <w:name w:val="1.後項"/>
    <w:basedOn w:val="a"/>
    <w:pPr>
      <w:autoSpaceDE w:val="0"/>
      <w:spacing w:after="280" w:line="432" w:lineRule="exact"/>
      <w:ind w:left="1296" w:hanging="280"/>
    </w:pPr>
    <w:rPr>
      <w:rFonts w:ascii="標楷體" w:eastAsia="標楷體" w:hAnsi="標楷體"/>
      <w:kern w:val="0"/>
      <w:sz w:val="28"/>
      <w:szCs w:val="28"/>
    </w:rPr>
  </w:style>
  <w:style w:type="paragraph" w:customStyle="1" w:styleId="19">
    <w:name w:val="(1)"/>
    <w:basedOn w:val="a"/>
    <w:pPr>
      <w:autoSpaceDE w:val="0"/>
      <w:spacing w:after="140" w:line="432" w:lineRule="exact"/>
      <w:ind w:left="1576" w:hanging="280"/>
    </w:pPr>
    <w:rPr>
      <w:rFonts w:ascii="標楷體" w:eastAsia="標楷體" w:hAnsi="標楷體"/>
      <w:kern w:val="0"/>
      <w:sz w:val="28"/>
      <w:szCs w:val="28"/>
    </w:rPr>
  </w:style>
  <w:style w:type="paragraph" w:customStyle="1" w:styleId="afb">
    <w:name w:val="表頭"/>
    <w:basedOn w:val="a"/>
    <w:pPr>
      <w:autoSpaceDE w:val="0"/>
      <w:spacing w:after="120" w:line="432" w:lineRule="exact"/>
      <w:ind w:left="1016"/>
    </w:pPr>
    <w:rPr>
      <w:rFonts w:ascii="標楷體" w:eastAsia="標楷體" w:hAnsi="標楷體"/>
      <w:kern w:val="0"/>
      <w:szCs w:val="24"/>
    </w:rPr>
  </w:style>
  <w:style w:type="paragraph" w:customStyle="1" w:styleId="afc">
    <w:name w:val="一."/>
    <w:basedOn w:val="a"/>
    <w:pPr>
      <w:autoSpaceDE w:val="0"/>
      <w:spacing w:after="320" w:line="432" w:lineRule="exact"/>
      <w:ind w:left="332"/>
    </w:pPr>
    <w:rPr>
      <w:rFonts w:ascii="標楷體" w:eastAsia="標楷體" w:hAnsi="標楷體"/>
      <w:b/>
      <w:kern w:val="0"/>
      <w:sz w:val="32"/>
      <w:szCs w:val="20"/>
    </w:rPr>
  </w:style>
  <w:style w:type="paragraph" w:customStyle="1" w:styleId="TableText">
    <w:name w:val="Table Text"/>
    <w:basedOn w:val="a"/>
    <w:pPr>
      <w:tabs>
        <w:tab w:val="decimal" w:pos="0"/>
      </w:tabs>
      <w:autoSpaceDE w:val="0"/>
    </w:pPr>
    <w:rPr>
      <w:rFonts w:ascii="Times New Roman" w:hAnsi="Times New Roman"/>
      <w:kern w:val="0"/>
      <w:szCs w:val="20"/>
    </w:rPr>
  </w:style>
  <w:style w:type="paragraph" w:styleId="31">
    <w:name w:val="Body Text Indent 3"/>
    <w:basedOn w:val="a"/>
    <w:pPr>
      <w:widowControl/>
      <w:overflowPunct w:val="0"/>
      <w:autoSpaceDE w:val="0"/>
      <w:spacing w:line="432" w:lineRule="exact"/>
      <w:ind w:left="1420"/>
    </w:pPr>
    <w:rPr>
      <w:rFonts w:ascii="Times New Roman" w:eastAsia="標楷體" w:hAnsi="Times New Roman"/>
      <w:kern w:val="0"/>
      <w:sz w:val="28"/>
      <w:szCs w:val="20"/>
    </w:rPr>
  </w:style>
  <w:style w:type="character" w:customStyle="1" w:styleId="32">
    <w:name w:val="本文縮排 3 字元"/>
    <w:basedOn w:val="a2"/>
    <w:rPr>
      <w:rFonts w:ascii="Times New Roman" w:eastAsia="標楷體" w:hAnsi="Times New Roman" w:cs="Times New Roman"/>
      <w:kern w:val="0"/>
      <w:sz w:val="28"/>
      <w:szCs w:val="20"/>
    </w:rPr>
  </w:style>
  <w:style w:type="paragraph" w:styleId="afd">
    <w:name w:val="Body Text"/>
    <w:basedOn w:val="a"/>
    <w:pPr>
      <w:spacing w:line="360" w:lineRule="auto"/>
      <w:jc w:val="both"/>
    </w:pPr>
    <w:rPr>
      <w:rFonts w:ascii="Times New Roman" w:hAnsi="Times New Roman"/>
      <w:szCs w:val="20"/>
    </w:rPr>
  </w:style>
  <w:style w:type="character" w:customStyle="1" w:styleId="afe">
    <w:name w:val="本文 字元"/>
    <w:basedOn w:val="a2"/>
    <w:rPr>
      <w:rFonts w:ascii="Times New Roman" w:eastAsia="新細明體" w:hAnsi="Times New Roman" w:cs="Times New Roman"/>
      <w:kern w:val="3"/>
      <w:szCs w:val="20"/>
    </w:rPr>
  </w:style>
  <w:style w:type="paragraph" w:styleId="aff">
    <w:name w:val="Note Heading"/>
    <w:basedOn w:val="a"/>
    <w:next w:val="a"/>
    <w:pPr>
      <w:widowControl/>
      <w:overflowPunct w:val="0"/>
      <w:autoSpaceDE w:val="0"/>
      <w:jc w:val="center"/>
    </w:pPr>
    <w:rPr>
      <w:rFonts w:ascii="標楷體" w:eastAsia="標楷體" w:hAnsi="標楷體"/>
      <w:b/>
      <w:kern w:val="0"/>
      <w:sz w:val="28"/>
      <w:szCs w:val="20"/>
    </w:rPr>
  </w:style>
  <w:style w:type="character" w:customStyle="1" w:styleId="aff0">
    <w:name w:val="註釋標題 字元"/>
    <w:basedOn w:val="a2"/>
    <w:rPr>
      <w:rFonts w:ascii="標楷體" w:eastAsia="標楷體" w:hAnsi="標楷體" w:cs="Times New Roman"/>
      <w:b/>
      <w:kern w:val="0"/>
      <w:sz w:val="28"/>
      <w:szCs w:val="20"/>
    </w:rPr>
  </w:style>
  <w:style w:type="paragraph" w:customStyle="1" w:styleId="Title1">
    <w:name w:val="Title:1"/>
    <w:basedOn w:val="a"/>
    <w:pPr>
      <w:keepNext/>
      <w:keepLines/>
      <w:widowControl/>
      <w:overflowPunct w:val="0"/>
      <w:autoSpaceDE w:val="0"/>
      <w:spacing w:before="144" w:after="72"/>
      <w:jc w:val="center"/>
    </w:pPr>
    <w:rPr>
      <w:rFonts w:ascii="細明體" w:eastAsia="細明體" w:hAnsi="細明體"/>
      <w:b/>
      <w:kern w:val="0"/>
      <w:sz w:val="36"/>
      <w:szCs w:val="20"/>
    </w:rPr>
  </w:style>
  <w:style w:type="paragraph" w:customStyle="1" w:styleId="Subhead1">
    <w:name w:val="Subhead:1"/>
    <w:basedOn w:val="a"/>
    <w:pPr>
      <w:widowControl/>
      <w:overflowPunct w:val="0"/>
      <w:autoSpaceDE w:val="0"/>
      <w:spacing w:before="72" w:after="72"/>
    </w:pPr>
    <w:rPr>
      <w:rFonts w:ascii="細明體" w:eastAsia="細明體" w:hAnsi="細明體"/>
      <w:b/>
      <w:i/>
      <w:kern w:val="0"/>
      <w:szCs w:val="20"/>
    </w:rPr>
  </w:style>
  <w:style w:type="paragraph" w:customStyle="1" w:styleId="NumberList1">
    <w:name w:val="Number List:1"/>
    <w:basedOn w:val="a"/>
    <w:pPr>
      <w:widowControl/>
      <w:overflowPunct w:val="0"/>
      <w:autoSpaceDE w:val="0"/>
    </w:pPr>
    <w:rPr>
      <w:rFonts w:ascii="細明體" w:eastAsia="細明體" w:hAnsi="細明體"/>
      <w:kern w:val="0"/>
      <w:szCs w:val="20"/>
    </w:rPr>
  </w:style>
  <w:style w:type="paragraph" w:customStyle="1" w:styleId="Bullet11">
    <w:name w:val="Bullet 1:1"/>
    <w:basedOn w:val="a"/>
    <w:pPr>
      <w:widowControl/>
      <w:overflowPunct w:val="0"/>
      <w:autoSpaceDE w:val="0"/>
    </w:pPr>
    <w:rPr>
      <w:rFonts w:ascii="細明體" w:eastAsia="細明體" w:hAnsi="細明體"/>
      <w:kern w:val="0"/>
      <w:szCs w:val="20"/>
    </w:rPr>
  </w:style>
  <w:style w:type="paragraph" w:customStyle="1" w:styleId="Bullet10">
    <w:name w:val="Bullet:1"/>
    <w:basedOn w:val="a"/>
    <w:pPr>
      <w:widowControl/>
      <w:overflowPunct w:val="0"/>
      <w:autoSpaceDE w:val="0"/>
    </w:pPr>
    <w:rPr>
      <w:rFonts w:ascii="細明體" w:eastAsia="細明體" w:hAnsi="細明體"/>
      <w:kern w:val="0"/>
      <w:szCs w:val="20"/>
    </w:rPr>
  </w:style>
  <w:style w:type="paragraph" w:customStyle="1" w:styleId="BodySingle1">
    <w:name w:val="Body Single:1"/>
    <w:basedOn w:val="a"/>
    <w:pPr>
      <w:widowControl/>
      <w:overflowPunct w:val="0"/>
      <w:autoSpaceDE w:val="0"/>
    </w:pPr>
    <w:rPr>
      <w:rFonts w:ascii="細明體" w:eastAsia="細明體" w:hAnsi="細明體"/>
      <w:kern w:val="0"/>
      <w:szCs w:val="20"/>
    </w:rPr>
  </w:style>
  <w:style w:type="paragraph" w:customStyle="1" w:styleId="Title2">
    <w:name w:val="Title:2"/>
    <w:basedOn w:val="a"/>
    <w:pPr>
      <w:keepNext/>
      <w:keepLines/>
      <w:widowControl/>
      <w:overflowPunct w:val="0"/>
      <w:autoSpaceDE w:val="0"/>
      <w:spacing w:before="144" w:after="72"/>
      <w:jc w:val="center"/>
    </w:pPr>
    <w:rPr>
      <w:rFonts w:ascii="細明體" w:eastAsia="細明體" w:hAnsi="細明體"/>
      <w:b/>
      <w:kern w:val="0"/>
      <w:sz w:val="36"/>
      <w:szCs w:val="20"/>
    </w:rPr>
  </w:style>
  <w:style w:type="paragraph" w:customStyle="1" w:styleId="Subhead2">
    <w:name w:val="Subhead:2"/>
    <w:basedOn w:val="a"/>
    <w:pPr>
      <w:widowControl/>
      <w:overflowPunct w:val="0"/>
      <w:autoSpaceDE w:val="0"/>
      <w:spacing w:before="72" w:after="72"/>
    </w:pPr>
    <w:rPr>
      <w:rFonts w:ascii="細明體" w:eastAsia="細明體" w:hAnsi="細明體"/>
      <w:b/>
      <w:i/>
      <w:kern w:val="0"/>
      <w:szCs w:val="20"/>
    </w:rPr>
  </w:style>
  <w:style w:type="paragraph" w:customStyle="1" w:styleId="NumberList2">
    <w:name w:val="Number List:2"/>
    <w:basedOn w:val="a"/>
    <w:pPr>
      <w:widowControl/>
      <w:overflowPunct w:val="0"/>
      <w:autoSpaceDE w:val="0"/>
    </w:pPr>
    <w:rPr>
      <w:rFonts w:ascii="細明體" w:eastAsia="細明體" w:hAnsi="細明體"/>
      <w:kern w:val="0"/>
      <w:szCs w:val="20"/>
    </w:rPr>
  </w:style>
  <w:style w:type="paragraph" w:customStyle="1" w:styleId="Bullet12">
    <w:name w:val="Bullet 1:2"/>
    <w:basedOn w:val="a"/>
    <w:pPr>
      <w:widowControl/>
      <w:overflowPunct w:val="0"/>
      <w:autoSpaceDE w:val="0"/>
    </w:pPr>
    <w:rPr>
      <w:rFonts w:ascii="細明體" w:eastAsia="細明體" w:hAnsi="細明體"/>
      <w:kern w:val="0"/>
      <w:szCs w:val="20"/>
    </w:rPr>
  </w:style>
  <w:style w:type="paragraph" w:customStyle="1" w:styleId="Bullet2">
    <w:name w:val="Bullet:2"/>
    <w:basedOn w:val="a"/>
    <w:pPr>
      <w:widowControl/>
      <w:overflowPunct w:val="0"/>
      <w:autoSpaceDE w:val="0"/>
    </w:pPr>
    <w:rPr>
      <w:rFonts w:ascii="細明體" w:eastAsia="細明體" w:hAnsi="細明體"/>
      <w:kern w:val="0"/>
      <w:szCs w:val="20"/>
    </w:rPr>
  </w:style>
  <w:style w:type="paragraph" w:customStyle="1" w:styleId="BodySingle2">
    <w:name w:val="Body Single:2"/>
    <w:basedOn w:val="a"/>
    <w:pPr>
      <w:widowControl/>
      <w:overflowPunct w:val="0"/>
      <w:autoSpaceDE w:val="0"/>
    </w:pPr>
    <w:rPr>
      <w:rFonts w:ascii="細明體" w:eastAsia="細明體" w:hAnsi="細明體"/>
      <w:kern w:val="0"/>
      <w:szCs w:val="20"/>
    </w:rPr>
  </w:style>
  <w:style w:type="paragraph" w:customStyle="1" w:styleId="p1">
    <w:name w:val="¤p:1"/>
    <w:basedOn w:val="a"/>
    <w:pPr>
      <w:widowControl/>
      <w:overflowPunct w:val="0"/>
      <w:autoSpaceDE w:val="0"/>
      <w:spacing w:line="144" w:lineRule="exact"/>
    </w:pPr>
    <w:rPr>
      <w:rFonts w:ascii="華康中楷體" w:eastAsia="華康中楷體" w:hAnsi="華康中楷體"/>
      <w:kern w:val="0"/>
      <w:szCs w:val="20"/>
    </w:rPr>
  </w:style>
  <w:style w:type="paragraph" w:customStyle="1" w:styleId="1a">
    <w:name w:val="ªí$:1"/>
    <w:basedOn w:val="a"/>
    <w:pPr>
      <w:widowControl/>
      <w:overflowPunct w:val="0"/>
      <w:autoSpaceDE w:val="0"/>
    </w:pPr>
    <w:rPr>
      <w:rFonts w:ascii="華康中楷體" w:eastAsia="華康中楷體" w:hAnsi="華康中楷體"/>
      <w:kern w:val="0"/>
      <w:szCs w:val="20"/>
    </w:rPr>
  </w:style>
  <w:style w:type="paragraph" w:customStyle="1" w:styleId="R10">
    <w:name w:val="¤ÀªRªí:1"/>
    <w:basedOn w:val="a"/>
    <w:pPr>
      <w:widowControl/>
      <w:overflowPunct w:val="0"/>
      <w:autoSpaceDE w:val="0"/>
      <w:spacing w:line="288" w:lineRule="exact"/>
    </w:pPr>
    <w:rPr>
      <w:rFonts w:ascii="華康中楷體" w:eastAsia="華康中楷體" w:hAnsi="華康中楷體"/>
      <w:kern w:val="0"/>
      <w:szCs w:val="20"/>
    </w:rPr>
  </w:style>
  <w:style w:type="paragraph" w:customStyle="1" w:styleId="g1">
    <w:name w:val="¤g¶]ªí:1"/>
    <w:basedOn w:val="a"/>
    <w:pPr>
      <w:widowControl/>
      <w:overflowPunct w:val="0"/>
      <w:autoSpaceDE w:val="0"/>
      <w:spacing w:line="216" w:lineRule="exact"/>
    </w:pPr>
    <w:rPr>
      <w:rFonts w:ascii="華康中楷體" w:eastAsia="華康中楷體" w:hAnsi="華康中楷體"/>
      <w:kern w:val="0"/>
      <w:sz w:val="20"/>
      <w:szCs w:val="20"/>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New York"/>
      <w:kern w:val="0"/>
      <w:sz w:val="22"/>
    </w:rPr>
  </w:style>
  <w:style w:type="paragraph" w:customStyle="1" w:styleId="xl104">
    <w:name w:val="xl104"/>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New York"/>
      <w:b/>
      <w:bCs/>
      <w:kern w:val="0"/>
      <w:sz w:val="22"/>
    </w:rPr>
  </w:style>
  <w:style w:type="paragraph" w:customStyle="1" w:styleId="xl105">
    <w:name w:val="xl105"/>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新細明體" w:hAnsi="新細明體" w:cs="New York"/>
      <w:kern w:val="0"/>
      <w:sz w:val="22"/>
    </w:rPr>
  </w:style>
  <w:style w:type="paragraph" w:customStyle="1" w:styleId="xl106">
    <w:name w:val="xl106"/>
    <w:basedOn w:val="a"/>
    <w:pPr>
      <w:widowControl/>
      <w:spacing w:before="100" w:after="100"/>
      <w:jc w:val="center"/>
      <w:textAlignment w:val="center"/>
    </w:pPr>
    <w:rPr>
      <w:rFonts w:ascii="新細明體" w:hAnsi="新細明體" w:cs="New York"/>
      <w:kern w:val="0"/>
      <w:sz w:val="22"/>
    </w:rPr>
  </w:style>
  <w:style w:type="paragraph" w:customStyle="1" w:styleId="xl107">
    <w:name w:val="xl107"/>
    <w:basedOn w:val="a"/>
    <w:pPr>
      <w:widowControl/>
      <w:spacing w:before="100" w:after="100"/>
      <w:jc w:val="center"/>
      <w:textAlignment w:val="center"/>
    </w:pPr>
    <w:rPr>
      <w:rFonts w:ascii="新細明體" w:hAnsi="新細明體" w:cs="New York"/>
      <w:kern w:val="0"/>
      <w:sz w:val="22"/>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標楷體" w:eastAsia="標楷體" w:hAnsi="標楷體" w:cs="New York"/>
      <w:kern w:val="0"/>
      <w:sz w:val="22"/>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標楷體" w:eastAsia="標楷體" w:hAnsi="標楷體" w:cs="New York"/>
      <w:kern w:val="0"/>
      <w:sz w:val="22"/>
    </w:rPr>
  </w:style>
  <w:style w:type="paragraph" w:customStyle="1" w:styleId="xl110">
    <w:name w:val="xl110"/>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New York"/>
      <w:b/>
      <w:bCs/>
      <w:kern w:val="0"/>
      <w:sz w:val="22"/>
    </w:rPr>
  </w:style>
  <w:style w:type="paragraph" w:customStyle="1" w:styleId="xl111">
    <w:name w:val="xl111"/>
    <w:basedOn w:val="a"/>
    <w:pPr>
      <w:widowControl/>
      <w:spacing w:before="100" w:after="100"/>
      <w:jc w:val="center"/>
      <w:textAlignment w:val="center"/>
    </w:pPr>
    <w:rPr>
      <w:rFonts w:ascii="標楷體" w:eastAsia="標楷體" w:hAnsi="標楷體" w:cs="New York"/>
      <w:b/>
      <w:bCs/>
      <w:kern w:val="0"/>
      <w:sz w:val="22"/>
    </w:rPr>
  </w:style>
  <w:style w:type="paragraph" w:customStyle="1" w:styleId="xl112">
    <w:name w:val="xl112"/>
    <w:basedOn w:val="a"/>
    <w:pPr>
      <w:widowControl/>
      <w:spacing w:before="100" w:after="100"/>
      <w:jc w:val="center"/>
      <w:textAlignment w:val="center"/>
    </w:pPr>
    <w:rPr>
      <w:rFonts w:ascii="標楷體" w:eastAsia="標楷體" w:hAnsi="標楷體" w:cs="New York"/>
      <w:b/>
      <w:bCs/>
      <w:kern w:val="0"/>
      <w:sz w:val="22"/>
    </w:rPr>
  </w:style>
  <w:style w:type="paragraph" w:customStyle="1" w:styleId="xl113">
    <w:name w:val="xl11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標楷體" w:eastAsia="標楷體" w:hAnsi="標楷體" w:cs="New York"/>
      <w:b/>
      <w:bCs/>
      <w:kern w:val="0"/>
      <w:sz w:val="22"/>
    </w:rPr>
  </w:style>
  <w:style w:type="paragraph" w:customStyle="1" w:styleId="xl114">
    <w:name w:val="xl114"/>
    <w:basedOn w:val="a"/>
    <w:pPr>
      <w:widowControl/>
      <w:spacing w:before="100" w:after="100"/>
      <w:jc w:val="center"/>
      <w:textAlignment w:val="center"/>
    </w:pPr>
    <w:rPr>
      <w:rFonts w:ascii="新細明體" w:hAnsi="新細明體" w:cs="New York"/>
      <w:kern w:val="0"/>
      <w:sz w:val="22"/>
    </w:rPr>
  </w:style>
  <w:style w:type="paragraph" w:customStyle="1" w:styleId="xl115">
    <w:name w:val="xl115"/>
    <w:basedOn w:val="a"/>
    <w:pPr>
      <w:widowControl/>
      <w:pBdr>
        <w:top w:val="double" w:sz="6" w:space="0" w:color="000000"/>
        <w:left w:val="double" w:sz="6" w:space="0" w:color="000000"/>
        <w:bottom w:val="double" w:sz="6" w:space="0" w:color="000000"/>
        <w:right w:val="double" w:sz="6" w:space="0" w:color="000000"/>
      </w:pBdr>
      <w:spacing w:before="100" w:after="100"/>
      <w:jc w:val="center"/>
      <w:textAlignment w:val="center"/>
    </w:pPr>
    <w:rPr>
      <w:rFonts w:ascii="標楷體" w:eastAsia="標楷體" w:hAnsi="標楷體" w:cs="New York"/>
      <w:b/>
      <w:bCs/>
      <w:kern w:val="0"/>
      <w:sz w:val="28"/>
      <w:szCs w:val="28"/>
    </w:rPr>
  </w:style>
  <w:style w:type="paragraph" w:customStyle="1" w:styleId="font0">
    <w:name w:val="font0"/>
    <w:basedOn w:val="a"/>
    <w:pPr>
      <w:widowControl/>
      <w:spacing w:before="100" w:after="100"/>
    </w:pPr>
    <w:rPr>
      <w:rFonts w:ascii="新細明體" w:hAnsi="新細明體"/>
      <w:kern w:val="0"/>
      <w:szCs w:val="24"/>
    </w:rPr>
  </w:style>
  <w:style w:type="paragraph" w:customStyle="1" w:styleId="font10">
    <w:name w:val="font10"/>
    <w:basedOn w:val="a"/>
    <w:pPr>
      <w:widowControl/>
      <w:spacing w:before="100" w:after="100"/>
    </w:pPr>
    <w:rPr>
      <w:rFonts w:ascii="Times New Roman" w:hAnsi="Times New Roman"/>
      <w:color w:val="000000"/>
      <w:kern w:val="0"/>
      <w:sz w:val="16"/>
      <w:szCs w:val="16"/>
    </w:rPr>
  </w:style>
  <w:style w:type="paragraph" w:customStyle="1" w:styleId="aff1">
    <w:name w:val="文大"/>
    <w:basedOn w:val="a"/>
    <w:pPr>
      <w:autoSpaceDE w:val="0"/>
      <w:spacing w:line="475" w:lineRule="exact"/>
    </w:pPr>
    <w:rPr>
      <w:rFonts w:ascii="華康中楷體" w:eastAsia="華康中楷體" w:hAnsi="華康中楷體" w:cs="華康中楷體"/>
      <w:kern w:val="0"/>
      <w:sz w:val="28"/>
      <w:szCs w:val="28"/>
    </w:rPr>
  </w:style>
  <w:style w:type="character" w:styleId="aff2">
    <w:name w:val="page number"/>
    <w:basedOn w:val="a2"/>
  </w:style>
  <w:style w:type="character" w:styleId="aff3">
    <w:name w:val="Hyperlink"/>
    <w:rPr>
      <w:color w:val="0000FF"/>
      <w:u w:val="single"/>
    </w:rPr>
  </w:style>
  <w:style w:type="character" w:styleId="aff4">
    <w:name w:val="FollowedHyperlink"/>
    <w:rPr>
      <w:color w:val="800080"/>
      <w:u w:val="single"/>
    </w:rPr>
  </w:style>
  <w:style w:type="character" w:styleId="aff5">
    <w:name w:val="Strong"/>
    <w:rPr>
      <w:b/>
      <w:bCs/>
    </w:rPr>
  </w:style>
  <w:style w:type="paragraph" w:styleId="Web">
    <w:name w:val="Normal (Web)"/>
    <w:basedOn w:val="a"/>
    <w:pPr>
      <w:widowControl/>
      <w:spacing w:before="100" w:after="100"/>
    </w:pPr>
    <w:rPr>
      <w:rFonts w:ascii="新細明體" w:hAnsi="新細明體" w:cs="新細明體"/>
      <w:kern w:val="0"/>
      <w:szCs w:val="24"/>
    </w:rPr>
  </w:style>
  <w:style w:type="character" w:customStyle="1" w:styleId="font">
    <w:name w:val="font"/>
    <w:basedOn w:val="a2"/>
  </w:style>
  <w:style w:type="character" w:customStyle="1" w:styleId="newsc1">
    <w:name w:val="newsc1"/>
    <w:rPr>
      <w:sz w:val="23"/>
      <w:szCs w:val="23"/>
    </w:rPr>
  </w:style>
  <w:style w:type="character" w:styleId="aff6">
    <w:name w:val="annotation reference"/>
    <w:rPr>
      <w:sz w:val="18"/>
      <w:szCs w:val="18"/>
    </w:rPr>
  </w:style>
  <w:style w:type="paragraph" w:styleId="aff7">
    <w:name w:val="annotation text"/>
    <w:basedOn w:val="a"/>
    <w:pPr>
      <w:widowControl/>
      <w:overflowPunct w:val="0"/>
      <w:autoSpaceDE w:val="0"/>
    </w:pPr>
    <w:rPr>
      <w:rFonts w:ascii="Times New Roman" w:hAnsi="Times New Roman"/>
      <w:kern w:val="0"/>
      <w:sz w:val="20"/>
      <w:szCs w:val="20"/>
    </w:rPr>
  </w:style>
  <w:style w:type="character" w:customStyle="1" w:styleId="aff8">
    <w:name w:val="註解文字 字元"/>
    <w:basedOn w:val="a2"/>
    <w:rPr>
      <w:rFonts w:ascii="Times New Roman" w:eastAsia="新細明體" w:hAnsi="Times New Roman" w:cs="Times New Roman"/>
      <w:kern w:val="0"/>
      <w:sz w:val="20"/>
      <w:szCs w:val="20"/>
    </w:rPr>
  </w:style>
  <w:style w:type="paragraph" w:styleId="aff9">
    <w:name w:val="annotation subject"/>
    <w:basedOn w:val="aff7"/>
    <w:next w:val="aff7"/>
    <w:rPr>
      <w:b/>
      <w:bCs/>
    </w:rPr>
  </w:style>
  <w:style w:type="character" w:customStyle="1" w:styleId="affa">
    <w:name w:val="註解主旨 字元"/>
    <w:basedOn w:val="aff8"/>
    <w:rPr>
      <w:rFonts w:ascii="Times New Roman" w:eastAsia="新細明體" w:hAnsi="Times New Roman" w:cs="Times New Roman"/>
      <w:b/>
      <w:bCs/>
      <w:kern w:val="0"/>
      <w:sz w:val="20"/>
      <w:szCs w:val="20"/>
    </w:rPr>
  </w:style>
  <w:style w:type="paragraph" w:styleId="affb">
    <w:name w:val="Balloon Text"/>
    <w:basedOn w:val="a"/>
    <w:pPr>
      <w:widowControl/>
      <w:overflowPunct w:val="0"/>
      <w:autoSpaceDE w:val="0"/>
    </w:pPr>
    <w:rPr>
      <w:rFonts w:ascii="Arial" w:hAnsi="Arial"/>
      <w:kern w:val="0"/>
      <w:sz w:val="18"/>
      <w:szCs w:val="18"/>
    </w:rPr>
  </w:style>
  <w:style w:type="character" w:customStyle="1" w:styleId="affc">
    <w:name w:val="註解方塊文字 字元"/>
    <w:basedOn w:val="a2"/>
    <w:rPr>
      <w:rFonts w:ascii="Arial" w:eastAsia="新細明體" w:hAnsi="Arial" w:cs="Times New Roman"/>
      <w:kern w:val="0"/>
      <w:sz w:val="18"/>
      <w:szCs w:val="18"/>
    </w:rPr>
  </w:style>
  <w:style w:type="paragraph" w:styleId="affd">
    <w:name w:val="footnote text"/>
    <w:basedOn w:val="a"/>
    <w:pPr>
      <w:widowControl/>
      <w:overflowPunct w:val="0"/>
      <w:autoSpaceDE w:val="0"/>
      <w:snapToGrid w:val="0"/>
    </w:pPr>
    <w:rPr>
      <w:rFonts w:ascii="Times New Roman" w:hAnsi="Times New Roman"/>
      <w:kern w:val="0"/>
      <w:sz w:val="20"/>
      <w:szCs w:val="20"/>
    </w:rPr>
  </w:style>
  <w:style w:type="character" w:customStyle="1" w:styleId="affe">
    <w:name w:val="註腳文字 字元"/>
    <w:basedOn w:val="a2"/>
    <w:rPr>
      <w:rFonts w:ascii="Times New Roman" w:eastAsia="新細明體" w:hAnsi="Times New Roman" w:cs="Times New Roman"/>
      <w:kern w:val="0"/>
      <w:sz w:val="20"/>
      <w:szCs w:val="20"/>
    </w:rPr>
  </w:style>
  <w:style w:type="character" w:styleId="afff">
    <w:name w:val="footnote reference"/>
    <w:rPr>
      <w:position w:val="0"/>
      <w:vertAlign w:val="superscript"/>
    </w:rPr>
  </w:style>
  <w:style w:type="paragraph" w:customStyle="1" w:styleId="afff0">
    <w:name w:val="標題二"/>
    <w:basedOn w:val="DefaultText"/>
    <w:pPr>
      <w:spacing w:line="600" w:lineRule="exact"/>
      <w:ind w:left="403"/>
      <w:jc w:val="both"/>
    </w:pPr>
    <w:rPr>
      <w:rFonts w:ascii="Book Antiqua" w:eastAsia="標楷體" w:hAnsi="Book Antiqua"/>
      <w:b/>
      <w:bCs/>
      <w:sz w:val="32"/>
    </w:rPr>
  </w:style>
  <w:style w:type="character" w:customStyle="1" w:styleId="DefaultText0">
    <w:name w:val="Default Text 字元"/>
    <w:rPr>
      <w:rFonts w:ascii="華康中楷體" w:eastAsia="華康中楷體" w:hAnsi="華康中楷體"/>
      <w:sz w:val="28"/>
    </w:rPr>
  </w:style>
  <w:style w:type="character" w:customStyle="1" w:styleId="afff1">
    <w:name w:val="標題一 字元"/>
    <w:rPr>
      <w:rFonts w:ascii="Book Antiqua" w:eastAsia="標楷體" w:hAnsi="Book Antiqua"/>
      <w:b/>
      <w:sz w:val="36"/>
    </w:rPr>
  </w:style>
  <w:style w:type="paragraph" w:styleId="afff2">
    <w:name w:val="TOC Heading"/>
    <w:basedOn w:val="1"/>
    <w:next w:val="a"/>
    <w:pPr>
      <w:keepLines/>
      <w:spacing w:before="480" w:line="276" w:lineRule="auto"/>
      <w:jc w:val="left"/>
    </w:pPr>
    <w:rPr>
      <w:rFonts w:ascii="Cambria" w:eastAsia="新細明體" w:hAnsi="Cambria"/>
      <w:b w:val="0"/>
      <w:bCs/>
      <w:color w:val="365F91"/>
      <w:sz w:val="28"/>
      <w:szCs w:val="28"/>
    </w:rPr>
  </w:style>
  <w:style w:type="character" w:customStyle="1" w:styleId="afff3">
    <w:name w:val="標題二 字元"/>
    <w:rPr>
      <w:rFonts w:ascii="Book Antiqua" w:eastAsia="標楷體" w:hAnsi="Book Antiqua"/>
      <w:b/>
      <w:bCs/>
      <w:sz w:val="32"/>
    </w:rPr>
  </w:style>
  <w:style w:type="paragraph" w:styleId="1b">
    <w:name w:val="toc 1"/>
    <w:basedOn w:val="DefaultText"/>
    <w:next w:val="a"/>
    <w:autoRedefine/>
    <w:pPr>
      <w:tabs>
        <w:tab w:val="left" w:pos="850"/>
        <w:tab w:val="right" w:leader="dot" w:pos="9356"/>
      </w:tabs>
      <w:spacing w:line="320" w:lineRule="exact"/>
    </w:pPr>
    <w:rPr>
      <w:rFonts w:ascii="標楷體" w:eastAsia="標楷體" w:hAnsi="標楷體" w:cs="Arial"/>
      <w:szCs w:val="28"/>
    </w:rPr>
  </w:style>
  <w:style w:type="paragraph" w:styleId="23">
    <w:name w:val="toc 2"/>
    <w:basedOn w:val="DefaultText"/>
    <w:next w:val="a"/>
    <w:autoRedefine/>
    <w:pPr>
      <w:tabs>
        <w:tab w:val="right" w:leader="dot" w:pos="9356"/>
      </w:tabs>
      <w:spacing w:line="460" w:lineRule="exact"/>
      <w:ind w:left="1412" w:hanging="1412"/>
    </w:pPr>
    <w:rPr>
      <w:rFonts w:ascii="標楷體" w:eastAsia="標楷體" w:hAnsi="標楷體"/>
      <w:szCs w:val="28"/>
    </w:rPr>
  </w:style>
  <w:style w:type="paragraph" w:styleId="33">
    <w:name w:val="toc 3"/>
    <w:basedOn w:val="DefaultText"/>
    <w:next w:val="a"/>
    <w:autoRedefine/>
    <w:pPr>
      <w:tabs>
        <w:tab w:val="right" w:leader="dot" w:pos="2437"/>
        <w:tab w:val="right" w:leader="dot" w:pos="9356"/>
      </w:tabs>
      <w:spacing w:line="240" w:lineRule="auto"/>
      <w:ind w:left="1797"/>
    </w:pPr>
    <w:rPr>
      <w:rFonts w:ascii="Times New Roman" w:eastAsia="標楷體" w:hAnsi="Times New Roman"/>
      <w:szCs w:val="28"/>
    </w:rPr>
  </w:style>
  <w:style w:type="paragraph" w:styleId="4">
    <w:name w:val="toc 4"/>
    <w:basedOn w:val="a"/>
    <w:next w:val="a"/>
    <w:autoRedefine/>
    <w:pPr>
      <w:widowControl/>
      <w:overflowPunct w:val="0"/>
      <w:autoSpaceDE w:val="0"/>
      <w:ind w:left="600"/>
    </w:pPr>
    <w:rPr>
      <w:kern w:val="0"/>
      <w:sz w:val="18"/>
      <w:szCs w:val="18"/>
    </w:rPr>
  </w:style>
  <w:style w:type="paragraph" w:styleId="5">
    <w:name w:val="toc 5"/>
    <w:basedOn w:val="a"/>
    <w:next w:val="a"/>
    <w:autoRedefine/>
    <w:pPr>
      <w:widowControl/>
      <w:overflowPunct w:val="0"/>
      <w:autoSpaceDE w:val="0"/>
      <w:ind w:left="800"/>
    </w:pPr>
    <w:rPr>
      <w:kern w:val="0"/>
      <w:sz w:val="18"/>
      <w:szCs w:val="18"/>
    </w:rPr>
  </w:style>
  <w:style w:type="paragraph" w:styleId="6">
    <w:name w:val="toc 6"/>
    <w:basedOn w:val="a"/>
    <w:next w:val="a"/>
    <w:autoRedefine/>
    <w:pPr>
      <w:widowControl/>
      <w:overflowPunct w:val="0"/>
      <w:autoSpaceDE w:val="0"/>
      <w:ind w:left="1000"/>
    </w:pPr>
    <w:rPr>
      <w:kern w:val="0"/>
      <w:sz w:val="18"/>
      <w:szCs w:val="18"/>
    </w:rPr>
  </w:style>
  <w:style w:type="paragraph" w:styleId="7">
    <w:name w:val="toc 7"/>
    <w:basedOn w:val="a"/>
    <w:next w:val="a"/>
    <w:autoRedefine/>
    <w:pPr>
      <w:widowControl/>
      <w:overflowPunct w:val="0"/>
      <w:autoSpaceDE w:val="0"/>
      <w:ind w:left="1200"/>
    </w:pPr>
    <w:rPr>
      <w:kern w:val="0"/>
      <w:sz w:val="18"/>
      <w:szCs w:val="18"/>
    </w:rPr>
  </w:style>
  <w:style w:type="paragraph" w:styleId="8">
    <w:name w:val="toc 8"/>
    <w:basedOn w:val="a"/>
    <w:next w:val="a"/>
    <w:autoRedefine/>
    <w:pPr>
      <w:widowControl/>
      <w:overflowPunct w:val="0"/>
      <w:autoSpaceDE w:val="0"/>
      <w:ind w:left="1400"/>
    </w:pPr>
    <w:rPr>
      <w:kern w:val="0"/>
      <w:sz w:val="18"/>
      <w:szCs w:val="18"/>
    </w:rPr>
  </w:style>
  <w:style w:type="paragraph" w:styleId="9">
    <w:name w:val="toc 9"/>
    <w:basedOn w:val="a"/>
    <w:next w:val="a"/>
    <w:autoRedefine/>
    <w:pPr>
      <w:widowControl/>
      <w:overflowPunct w:val="0"/>
      <w:autoSpaceDE w:val="0"/>
      <w:ind w:left="1600"/>
    </w:pPr>
    <w:rPr>
      <w:kern w:val="0"/>
      <w:sz w:val="18"/>
      <w:szCs w:val="18"/>
    </w:rPr>
  </w:style>
  <w:style w:type="paragraph" w:customStyle="1" w:styleId="afff4">
    <w:name w:val="字元 字元 字元"/>
    <w:basedOn w:val="a"/>
    <w:pPr>
      <w:widowControl/>
      <w:spacing w:after="160" w:line="240" w:lineRule="exact"/>
    </w:pPr>
    <w:rPr>
      <w:rFonts w:ascii="Verdana" w:eastAsia="Times New Roman" w:hAnsi="Verdana" w:cs="Mangal"/>
      <w:sz w:val="20"/>
      <w:szCs w:val="24"/>
      <w:lang w:eastAsia="en-US" w:bidi="hi-IN"/>
    </w:rPr>
  </w:style>
  <w:style w:type="paragraph" w:styleId="afff5">
    <w:name w:val="List Paragraph"/>
    <w:basedOn w:val="a"/>
    <w:pPr>
      <w:widowControl/>
      <w:overflowPunct w:val="0"/>
      <w:autoSpaceDE w:val="0"/>
      <w:ind w:left="480"/>
    </w:pPr>
    <w:rPr>
      <w:rFonts w:ascii="Times New Roman" w:hAnsi="Times New Roman"/>
      <w:kern w:val="0"/>
      <w:sz w:val="20"/>
      <w:szCs w:val="20"/>
    </w:rPr>
  </w:style>
  <w:style w:type="paragraph" w:styleId="afff6">
    <w:name w:val="Document Map"/>
    <w:basedOn w:val="a"/>
    <w:pPr>
      <w:widowControl/>
      <w:overflowPunct w:val="0"/>
      <w:autoSpaceDE w:val="0"/>
    </w:pPr>
    <w:rPr>
      <w:rFonts w:ascii="新細明體" w:hAnsi="新細明體"/>
      <w:kern w:val="0"/>
      <w:sz w:val="18"/>
      <w:szCs w:val="18"/>
    </w:rPr>
  </w:style>
  <w:style w:type="character" w:customStyle="1" w:styleId="afff7">
    <w:name w:val="文件引導模式 字元"/>
    <w:basedOn w:val="a2"/>
    <w:rPr>
      <w:rFonts w:ascii="新細明體" w:eastAsia="新細明體" w:hAnsi="新細明體" w:cs="Times New Roman"/>
      <w:kern w:val="0"/>
      <w:sz w:val="18"/>
      <w:szCs w:val="18"/>
    </w:rPr>
  </w:style>
  <w:style w:type="paragraph" w:customStyle="1" w:styleId="24">
    <w:name w:val="字元 字元 字元2"/>
    <w:basedOn w:val="a"/>
    <w:pPr>
      <w:widowControl/>
      <w:spacing w:after="160" w:line="240" w:lineRule="exact"/>
    </w:pPr>
    <w:rPr>
      <w:rFonts w:ascii="Verdana" w:eastAsia="Times New Roman" w:hAnsi="Verdana" w:cs="Mangal"/>
      <w:sz w:val="20"/>
      <w:szCs w:val="24"/>
      <w:lang w:eastAsia="en-US" w:bidi="hi-IN"/>
    </w:rPr>
  </w:style>
  <w:style w:type="paragraph" w:customStyle="1" w:styleId="afff8">
    <w:name w:val="條文標"/>
    <w:basedOn w:val="afff9"/>
    <w:pPr>
      <w:widowControl w:val="0"/>
      <w:overflowPunct/>
      <w:autoSpaceDE/>
      <w:jc w:val="both"/>
      <w:textAlignment w:val="auto"/>
    </w:pPr>
    <w:rPr>
      <w:rFonts w:ascii="華康中明體" w:eastAsia="華康中明體" w:hAnsi="華康中明體"/>
      <w:b/>
      <w:kern w:val="3"/>
    </w:rPr>
  </w:style>
  <w:style w:type="paragraph" w:styleId="afff9">
    <w:name w:val="Plain Text"/>
    <w:basedOn w:val="a"/>
    <w:pPr>
      <w:widowControl/>
      <w:overflowPunct w:val="0"/>
      <w:autoSpaceDE w:val="0"/>
    </w:pPr>
    <w:rPr>
      <w:rFonts w:ascii="細明體" w:eastAsia="細明體" w:hAnsi="細明體"/>
      <w:kern w:val="0"/>
      <w:szCs w:val="24"/>
    </w:rPr>
  </w:style>
  <w:style w:type="character" w:customStyle="1" w:styleId="afffa">
    <w:name w:val="純文字 字元"/>
    <w:basedOn w:val="a2"/>
    <w:rPr>
      <w:rFonts w:ascii="細明體" w:eastAsia="細明體" w:hAnsi="細明體" w:cs="Times New Roman"/>
      <w:kern w:val="0"/>
      <w:szCs w:val="24"/>
    </w:rPr>
  </w:style>
  <w:style w:type="character" w:customStyle="1" w:styleId="1c">
    <w:name w:val="條文標 字元1"/>
    <w:rPr>
      <w:rFonts w:ascii="華康中明體" w:eastAsia="華康中明體" w:hAnsi="華康中明體" w:cs="Times New Roman"/>
      <w:b/>
      <w:szCs w:val="24"/>
    </w:rPr>
  </w:style>
  <w:style w:type="paragraph" w:customStyle="1" w:styleId="afffb">
    <w:name w:val="附件－一、"/>
    <w:basedOn w:val="afff9"/>
    <w:pPr>
      <w:widowControl w:val="0"/>
      <w:overflowPunct/>
      <w:autoSpaceDE/>
      <w:ind w:left="200" w:hanging="200"/>
      <w:jc w:val="both"/>
      <w:textAlignment w:val="auto"/>
    </w:pPr>
    <w:rPr>
      <w:rFonts w:ascii="華康中明體" w:eastAsia="華康中明體" w:hAnsi="華康中明體" w:cs="細明體"/>
      <w:kern w:val="3"/>
    </w:rPr>
  </w:style>
  <w:style w:type="paragraph" w:styleId="afffc">
    <w:name w:val="List"/>
    <w:basedOn w:val="a"/>
    <w:pPr>
      <w:ind w:left="100" w:hanging="200"/>
      <w:jc w:val="both"/>
    </w:pPr>
    <w:rPr>
      <w:rFonts w:ascii="華康中明體" w:eastAsia="華康中明體" w:hAnsi="華康中明體"/>
      <w:szCs w:val="24"/>
    </w:rPr>
  </w:style>
  <w:style w:type="paragraph" w:customStyle="1" w:styleId="1d">
    <w:name w:val="字元 字元 字元1"/>
    <w:basedOn w:val="a"/>
    <w:pPr>
      <w:widowControl/>
      <w:spacing w:after="160" w:line="240" w:lineRule="exact"/>
    </w:pPr>
    <w:rPr>
      <w:rFonts w:ascii="Verdana" w:eastAsia="Times New Roman" w:hAnsi="Verdana" w:cs="Mangal"/>
      <w:sz w:val="20"/>
      <w:szCs w:val="24"/>
      <w:lang w:eastAsia="en-US" w:bidi="hi-IN"/>
    </w:rPr>
  </w:style>
  <w:style w:type="paragraph" w:styleId="34">
    <w:name w:val="List 3"/>
    <w:basedOn w:val="a"/>
    <w:pPr>
      <w:widowControl/>
      <w:overflowPunct w:val="0"/>
      <w:autoSpaceDE w:val="0"/>
      <w:ind w:left="100" w:hanging="200"/>
    </w:pPr>
    <w:rPr>
      <w:rFonts w:ascii="Times New Roman" w:hAnsi="Times New Roman"/>
      <w:kern w:val="0"/>
      <w:sz w:val="20"/>
      <w:szCs w:val="20"/>
    </w:rPr>
  </w:style>
  <w:style w:type="paragraph" w:styleId="afffd">
    <w:name w:val="caption"/>
    <w:basedOn w:val="a"/>
    <w:next w:val="a"/>
    <w:pPr>
      <w:spacing w:before="120" w:after="120"/>
      <w:jc w:val="center"/>
    </w:pPr>
    <w:rPr>
      <w:rFonts w:ascii="標楷體" w:eastAsia="標楷體" w:hAnsi="標楷體"/>
      <w:szCs w:val="24"/>
    </w:rPr>
  </w:style>
  <w:style w:type="paragraph" w:customStyle="1" w:styleId="1e">
    <w:name w:val="清單段落1"/>
    <w:basedOn w:val="a"/>
    <w:pPr>
      <w:ind w:left="480"/>
    </w:pPr>
  </w:style>
  <w:style w:type="paragraph" w:customStyle="1" w:styleId="afffe">
    <w:name w:val="表文"/>
    <w:basedOn w:val="a"/>
    <w:pPr>
      <w:jc w:val="center"/>
    </w:pPr>
    <w:rPr>
      <w:rFonts w:ascii="標楷體" w:eastAsia="標楷體" w:hAnsi="標楷體"/>
      <w:szCs w:val="20"/>
    </w:rPr>
  </w:style>
  <w:style w:type="paragraph" w:customStyle="1" w:styleId="CCIS1">
    <w:name w:val="CCIS1"/>
    <w:basedOn w:val="a"/>
    <w:pPr>
      <w:spacing w:before="40" w:after="40" w:line="400" w:lineRule="exact"/>
      <w:jc w:val="both"/>
    </w:pPr>
    <w:rPr>
      <w:rFonts w:ascii="標楷體" w:eastAsia="標楷體" w:hAnsi="標楷體"/>
      <w:kern w:val="0"/>
      <w:szCs w:val="20"/>
    </w:rPr>
  </w:style>
  <w:style w:type="paragraph" w:customStyle="1" w:styleId="CCIS10">
    <w:name w:val="CCIS(1)"/>
    <w:basedOn w:val="a"/>
    <w:pPr>
      <w:spacing w:before="40" w:after="40" w:line="400" w:lineRule="exact"/>
      <w:jc w:val="both"/>
    </w:pPr>
    <w:rPr>
      <w:rFonts w:ascii="標楷體" w:eastAsia="標楷體" w:hAnsi="標楷體"/>
      <w:kern w:val="0"/>
      <w:szCs w:val="20"/>
    </w:rPr>
  </w:style>
  <w:style w:type="paragraph" w:customStyle="1" w:styleId="affff">
    <w:name w:val="內文１"/>
    <w:basedOn w:val="a"/>
    <w:pPr>
      <w:spacing w:before="40" w:after="40" w:line="400" w:lineRule="exact"/>
      <w:ind w:left="839" w:firstLine="567"/>
      <w:jc w:val="both"/>
    </w:pPr>
    <w:rPr>
      <w:rFonts w:ascii="標楷體" w:eastAsia="標楷體" w:hAnsi="標楷體"/>
      <w:kern w:val="0"/>
      <w:szCs w:val="20"/>
    </w:rPr>
  </w:style>
  <w:style w:type="paragraph" w:customStyle="1" w:styleId="CCISa">
    <w:name w:val="CCIS(a)"/>
    <w:basedOn w:val="a"/>
    <w:pPr>
      <w:spacing w:line="600" w:lineRule="exact"/>
      <w:jc w:val="both"/>
    </w:pPr>
    <w:rPr>
      <w:rFonts w:ascii="華康中楷體" w:eastAsia="華康中楷體" w:hAnsi="華康中楷體"/>
      <w:kern w:val="0"/>
      <w:sz w:val="26"/>
      <w:szCs w:val="20"/>
    </w:rPr>
  </w:style>
  <w:style w:type="paragraph" w:customStyle="1" w:styleId="CCIS0">
    <w:name w:val="CCIS一"/>
    <w:basedOn w:val="a"/>
    <w:pPr>
      <w:spacing w:after="120" w:line="500" w:lineRule="exact"/>
      <w:jc w:val="both"/>
    </w:pPr>
    <w:rPr>
      <w:rFonts w:ascii="標楷體" w:eastAsia="標楷體" w:hAnsi="標楷體"/>
      <w:kern w:val="0"/>
      <w:szCs w:val="20"/>
    </w:rPr>
  </w:style>
  <w:style w:type="paragraph" w:customStyle="1" w:styleId="CCIS">
    <w:name w:val="CCIS(一)"/>
    <w:basedOn w:val="a"/>
    <w:pPr>
      <w:numPr>
        <w:numId w:val="1"/>
      </w:numPr>
      <w:spacing w:before="40" w:after="40" w:line="400" w:lineRule="exact"/>
      <w:jc w:val="both"/>
    </w:pPr>
    <w:rPr>
      <w:rFonts w:ascii="標楷體" w:eastAsia="標楷體" w:hAnsi="標楷體"/>
      <w:kern w:val="0"/>
      <w:szCs w:val="20"/>
    </w:rPr>
  </w:style>
  <w:style w:type="paragraph" w:customStyle="1" w:styleId="Default">
    <w:name w:val="Default"/>
    <w:pPr>
      <w:widowControl w:val="0"/>
      <w:suppressAutoHyphens/>
      <w:autoSpaceDE w:val="0"/>
    </w:pPr>
    <w:rPr>
      <w:rFonts w:ascii="標楷體±踂." w:eastAsia="標楷體±踂." w:hAnsi="標楷體±踂." w:cs="標楷體±踂."/>
      <w:color w:val="000000"/>
      <w:kern w:val="0"/>
      <w:szCs w:val="24"/>
    </w:rPr>
  </w:style>
  <w:style w:type="paragraph" w:styleId="affff0">
    <w:name w:val="Revision"/>
    <w:pPr>
      <w:suppressAutoHyphens/>
    </w:pPr>
    <w:rPr>
      <w:rFonts w:ascii="Times New Roman" w:hAnsi="Times New Roman"/>
      <w:kern w:val="0"/>
      <w:sz w:val="20"/>
      <w:szCs w:val="20"/>
    </w:rPr>
  </w:style>
  <w:style w:type="paragraph" w:customStyle="1" w:styleId="25">
    <w:name w:val="(一)□        2階"/>
    <w:basedOn w:val="a"/>
    <w:pPr>
      <w:ind w:left="904" w:hanging="242"/>
      <w:jc w:val="both"/>
    </w:pPr>
    <w:rPr>
      <w:rFonts w:ascii="標楷體" w:eastAsia="標楷體" w:hAnsi="標楷體"/>
      <w:sz w:val="22"/>
    </w:rPr>
  </w:style>
  <w:style w:type="paragraph" w:customStyle="1" w:styleId="affff1">
    <w:name w:val="一、"/>
    <w:basedOn w:val="a"/>
    <w:pPr>
      <w:snapToGrid w:val="0"/>
      <w:spacing w:line="240" w:lineRule="atLeast"/>
      <w:ind w:left="634" w:hanging="634"/>
      <w:jc w:val="both"/>
    </w:pPr>
    <w:rPr>
      <w:rFonts w:ascii="標楷體" w:eastAsia="標楷體" w:hAnsi="標楷體"/>
      <w:b/>
      <w:sz w:val="22"/>
    </w:rPr>
  </w:style>
  <w:style w:type="paragraph" w:customStyle="1" w:styleId="26">
    <w:name w:val="清單段落2"/>
    <w:basedOn w:val="a"/>
    <w:pPr>
      <w:ind w:left="480"/>
    </w:pPr>
  </w:style>
  <w:style w:type="paragraph" w:styleId="affff2">
    <w:name w:val="No Spacing"/>
    <w:pPr>
      <w:widowControl w:val="0"/>
      <w:suppressAutoHyphens/>
    </w:pPr>
  </w:style>
  <w:style w:type="numbering" w:customStyle="1" w:styleId="LFO22">
    <w:name w:val="LFO22"/>
    <w:basedOn w:val="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5087</Words>
  <Characters>28999</Characters>
  <Application>Microsoft Office Word</Application>
  <DocSecurity>0</DocSecurity>
  <Lines>241</Lines>
  <Paragraphs>68</Paragraphs>
  <ScaleCrop>false</ScaleCrop>
  <Company/>
  <LinksUpToDate>false</LinksUpToDate>
  <CharactersWithSpaces>34018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2018-01-02T01:44:00Z</cp:lastPrinted>
  <dcterms:created xsi:type="dcterms:W3CDTF">2022-05-23T03:44:00Z</dcterms:created>
  <dcterms:modified xsi:type="dcterms:W3CDTF">2022-06-30T23:52:00Z</dcterms:modified>
</cp:coreProperties>
</file>