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07" w:type="dxa"/>
        <w:jc w:val="left"/>
        <w:tblInd w:w="-3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"/>
        <w:gridCol w:w="1360"/>
        <w:gridCol w:w="400"/>
        <w:gridCol w:w="1470"/>
        <w:gridCol w:w="1530"/>
        <w:gridCol w:w="120"/>
        <w:gridCol w:w="1020"/>
        <w:gridCol w:w="390"/>
        <w:gridCol w:w="60"/>
        <w:gridCol w:w="1080"/>
        <w:gridCol w:w="2385"/>
        <w:gridCol w:w="5037"/>
      </w:tblGrid>
      <w:tr>
        <w:trPr>
          <w:trHeight w:val="425" w:hRule="atLeast"/>
        </w:trPr>
        <w:tc>
          <w:tcPr>
            <w:tcW w:w="1490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exact" w:line="400"/>
              <w:rPr/>
            </w:pPr>
            <w:r>
              <w:rPr>
                <w:rStyle w:val="Style14"/>
                <w:rFonts w:ascii="標楷體" w:hAnsi="標楷體" w:cs="新細明體;PMingLiU" w:eastAsia="標楷體"/>
                <w:sz w:val="40"/>
                <w:szCs w:val="40"/>
              </w:rPr>
              <w:t xml:space="preserve">       </w:t>
            </w:r>
            <w:r>
              <w:rPr>
                <w:rStyle w:val="Style14"/>
                <w:rFonts w:ascii="標楷體" w:hAnsi="標楷體" w:cs="新細明體;PMingLiU" w:eastAsia="標楷體"/>
                <w:sz w:val="40"/>
                <w:szCs w:val="40"/>
              </w:rPr>
              <w:t>臺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 w:val="40"/>
                <w:szCs w:val="40"/>
              </w:rPr>
              <w:t>南市麻豆區公所起掘許可證申請書</w:t>
            </w:r>
          </w:p>
          <w:p>
            <w:pPr>
              <w:pStyle w:val="Normal"/>
              <w:widowControl/>
              <w:spacing w:lineRule="exact" w:line="400"/>
              <w:rPr/>
            </w:pPr>
            <w:r>
              <w:rPr>
                <w:rStyle w:val="Style14"/>
                <w:rFonts w:ascii="標楷體" w:hAnsi="標楷體" w:cs="新細明體;PMingLiU" w:eastAsia="標楷體"/>
                <w:color w:val="000000"/>
                <w:sz w:val="40"/>
                <w:szCs w:val="40"/>
              </w:rPr>
              <w:t xml:space="preserve">                                </w:t>
            </w:r>
            <w:r>
              <w:rPr>
                <w:rStyle w:val="Style14"/>
                <w:rFonts w:ascii="標楷體;DF Kai Shu" w:hAnsi="標楷體;DF Kai Shu" w:cs="新細明體;PMingLiU" w:eastAsia="標楷體;DF Kai Shu"/>
                <w:color w:val="000000"/>
                <w:sz w:val="20"/>
                <w:szCs w:val="20"/>
              </w:rPr>
              <w:t>中華民國　　　年　　月　　日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 w:val="40"/>
                <w:szCs w:val="40"/>
              </w:rPr>
              <w:t xml:space="preserve">                                            </w:t>
            </w:r>
          </w:p>
        </w:tc>
      </w:tr>
      <w:tr>
        <w:trPr>
          <w:trHeight w:val="1182" w:hRule="atLeast"/>
          <w:cantSplit w:val="true"/>
        </w:trPr>
        <w:tc>
          <w:tcPr>
            <w:tcW w:w="18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申 請 人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（墓主）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ind w:firstLine="224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pacing w:lineRule="exact" w:line="500"/>
              <w:ind w:firstLine="2240"/>
              <w:jc w:val="right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（簽章）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08" w:hRule="atLeast"/>
          <w:cantSplit w:val="true"/>
        </w:trPr>
        <w:tc>
          <w:tcPr>
            <w:tcW w:w="18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280"/>
              <w:rPr>
                <w:rFonts w:ascii="標楷體" w:hAnsi="標楷體" w:eastAsia="標楷體" w:cs="新細明體;PMingLiU"/>
                <w:color w:val="000000"/>
                <w:szCs w:val="24"/>
              </w:rPr>
            </w:pPr>
            <w:r>
              <w:rPr>
                <w:rFonts w:ascii="標楷體" w:hAnsi="標楷體" w:cs="新細明體;PMingLiU" w:eastAsia="標楷體"/>
                <w:color w:val="000000"/>
                <w:szCs w:val="24"/>
              </w:rPr>
              <w:t>市內：</w:t>
            </w:r>
          </w:p>
          <w:p>
            <w:pPr>
              <w:pStyle w:val="Normal"/>
              <w:widowControl/>
              <w:spacing w:lineRule="exact" w:line="280"/>
              <w:rPr>
                <w:rFonts w:ascii="標楷體" w:hAnsi="標楷體" w:eastAsia="標楷體" w:cs="新細明體;PMingLiU"/>
                <w:color w:val="000000"/>
                <w:szCs w:val="24"/>
              </w:rPr>
            </w:pPr>
            <w:r>
              <w:rPr>
                <w:rFonts w:ascii="標楷體" w:hAnsi="標楷體" w:cs="新細明體;PMingLiU" w:eastAsia="標楷體"/>
                <w:color w:val="000000"/>
                <w:szCs w:val="24"/>
              </w:rPr>
              <w:t>手機：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/>
            </w:pPr>
            <w:r>
              <w:rPr>
                <w:rStyle w:val="Style14"/>
                <w:rFonts w:ascii="標楷體" w:hAnsi="標楷體" w:cs="新細明體;PMingLiU" w:eastAsia="標楷體"/>
                <w:color w:val="000000"/>
                <w:spacing w:val="12"/>
                <w:w w:val="93"/>
                <w:sz w:val="28"/>
                <w:szCs w:val="28"/>
              </w:rPr>
              <w:t>與亡者關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pacing w:val="1"/>
                <w:w w:val="93"/>
                <w:sz w:val="28"/>
                <w:szCs w:val="28"/>
              </w:rPr>
              <w:t>係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8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53" w:hRule="atLeast"/>
          <w:cantSplit w:val="true"/>
        </w:trPr>
        <w:tc>
          <w:tcPr>
            <w:tcW w:w="18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6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exact" w:line="280"/>
              <w:jc w:val="distribute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Cs w:val="24"/>
              </w:rPr>
              <w:t>同戶籍地址</w:t>
            </w:r>
          </w:p>
          <w:p>
            <w:pPr>
              <w:pStyle w:val="Normal"/>
              <w:widowControl/>
              <w:spacing w:lineRule="exact" w:line="280"/>
              <w:jc w:val="distribute"/>
              <w:rPr>
                <w:rFonts w:ascii="標楷體" w:hAnsi="標楷體" w:eastAsia="標楷體" w:cs="新細明體;PMingLiU"/>
                <w:color w:val="000000"/>
                <w:szCs w:val="24"/>
              </w:rPr>
            </w:pPr>
            <w:r>
              <w:rPr>
                <w:rFonts w:eastAsia="標楷體" w:cs="新細明體;PMingLiU" w:ascii="標楷體" w:hAnsi="標楷體"/>
                <w:color w:val="000000"/>
                <w:szCs w:val="24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1389" w:hRule="atLeast"/>
          <w:cantSplit w:val="true"/>
        </w:trPr>
        <w:tc>
          <w:tcPr>
            <w:tcW w:w="18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代理人</w:t>
            </w:r>
          </w:p>
          <w:p>
            <w:pPr>
              <w:pStyle w:val="Normal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申請人免填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pacing w:lineRule="exact" w:line="500"/>
              <w:ind w:firstLine="2240"/>
              <w:jc w:val="right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（簽章）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61" w:hRule="atLeast"/>
          <w:cantSplit w:val="true"/>
        </w:trPr>
        <w:tc>
          <w:tcPr>
            <w:tcW w:w="18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181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亡者資料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br/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受葬者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19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性      別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 w:val="28"/>
                <w:szCs w:val="28"/>
              </w:rPr>
              <w:t>男  □女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648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死亡日期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/>
            </w:pPr>
            <w:r>
              <w:rPr>
                <w:rStyle w:val="Style14"/>
                <w:rFonts w:ascii="標楷體" w:hAnsi="標楷體" w:cs="新細明體;PMingLiU" w:eastAsia="標楷體"/>
                <w:color w:val="000000"/>
                <w:spacing w:val="46"/>
                <w:sz w:val="28"/>
                <w:szCs w:val="28"/>
              </w:rPr>
              <w:t>起掘日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pacing w:val="2"/>
                <w:sz w:val="28"/>
                <w:szCs w:val="28"/>
              </w:rPr>
              <w:t>期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年   月    日   </w:t>
            </w:r>
          </w:p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時   分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829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原葬地點</w:t>
            </w:r>
          </w:p>
        </w:tc>
        <w:tc>
          <w:tcPr>
            <w:tcW w:w="6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57" w:leader="none"/>
              </w:tabs>
              <w:spacing w:lineRule="exact" w:line="400"/>
              <w:ind w:left="357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本市公立公墓範圍內（位置或編號）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57" w:leader="none"/>
              </w:tabs>
              <w:spacing w:lineRule="exact" w:line="400"/>
              <w:ind w:left="357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本市私立公墓範圍內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地段地號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):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57" w:leader="none"/>
              </w:tabs>
              <w:spacing w:lineRule="exact" w:line="400"/>
              <w:ind w:left="357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本市公墓範圍外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地段地號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657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身分證統號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性     別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 w:val="28"/>
                <w:szCs w:val="28"/>
              </w:rPr>
              <w:t>男  □女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5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32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死亡日期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/>
            </w:pPr>
            <w:r>
              <w:rPr>
                <w:rStyle w:val="Style14"/>
                <w:rFonts w:ascii="標楷體" w:hAnsi="標楷體" w:cs="新細明體;PMingLiU" w:eastAsia="標楷體"/>
                <w:color w:val="000000"/>
                <w:spacing w:val="46"/>
                <w:sz w:val="28"/>
                <w:szCs w:val="28"/>
              </w:rPr>
              <w:t>起掘日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pacing w:val="2"/>
                <w:sz w:val="28"/>
                <w:szCs w:val="28"/>
              </w:rPr>
              <w:t>期</w:t>
            </w:r>
          </w:p>
        </w:tc>
        <w:tc>
          <w:tcPr>
            <w:tcW w:w="35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年   月    日   </w:t>
            </w:r>
          </w:p>
          <w:p>
            <w:pPr>
              <w:pStyle w:val="Normal"/>
              <w:widowControl/>
              <w:tabs>
                <w:tab w:val="clear" w:pos="720"/>
              </w:tabs>
              <w:spacing w:lineRule="exact" w:line="5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時   分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983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原葬地點</w:t>
            </w:r>
          </w:p>
        </w:tc>
        <w:tc>
          <w:tcPr>
            <w:tcW w:w="65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57" w:leader="none"/>
              </w:tabs>
              <w:spacing w:lineRule="exact" w:line="400"/>
              <w:ind w:left="357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本市公立公墓範圍內（位置或編號）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57" w:leader="none"/>
              </w:tabs>
              <w:spacing w:lineRule="exact" w:line="400"/>
              <w:ind w:left="357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本市私立公墓範圍內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地段地號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):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357" w:leader="none"/>
              </w:tabs>
              <w:spacing w:lineRule="exact" w:line="400"/>
              <w:ind w:left="357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本市公墓範圍外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地段地號</w:t>
            </w: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54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安奉納骨堂地點</w:t>
            </w:r>
          </w:p>
        </w:tc>
        <w:tc>
          <w:tcPr>
            <w:tcW w:w="65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4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79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ind w:right="-170" w:hanging="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承辦葬儀社</w:t>
            </w:r>
          </w:p>
        </w:tc>
        <w:tc>
          <w:tcPr>
            <w:tcW w:w="65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65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20"/>
              </w:tabs>
              <w:spacing w:lineRule="exact" w:line="400"/>
              <w:ind w:left="357" w:hanging="357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81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Style w:val="Style14"/>
                <w:rFonts w:eastAsia="標楷體" w:cs="新細明體;PMingLiU" w:ascii="標楷體" w:hAnsi="標楷體"/>
                <w:color w:val="000000"/>
                <w:sz w:val="22"/>
              </w:rPr>
              <w:t>(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 w:val="22"/>
              </w:rPr>
              <w:t>請依申請亡者人數，自行向下新增受葬者欄位</w:t>
            </w:r>
            <w:r>
              <w:rPr>
                <w:rStyle w:val="Style14"/>
                <w:rFonts w:eastAsia="標楷體" w:cs="新細明體;PMingLiU" w:ascii="標楷體" w:hAnsi="標楷體"/>
                <w:color w:val="000000"/>
                <w:sz w:val="22"/>
              </w:rPr>
              <w:t>)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1257" w:hRule="atLeast"/>
        </w:trPr>
        <w:tc>
          <w:tcPr>
            <w:tcW w:w="5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8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檢附證件</w:t>
            </w:r>
          </w:p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8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36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Cs w:val="24"/>
              </w:rPr>
              <w:t>申請人身分證正、反面影本及印章   □委託證明書</w:t>
            </w:r>
          </w:p>
          <w:p>
            <w:pPr>
              <w:pStyle w:val="Normal"/>
              <w:widowControl/>
              <w:spacing w:lineRule="exact" w:line="36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Cs w:val="24"/>
              </w:rPr>
              <w:t xml:space="preserve">或簽名                           □原埋葬許可申請人相關證明文件      </w:t>
            </w:r>
          </w:p>
          <w:p>
            <w:pPr>
              <w:pStyle w:val="Normal"/>
              <w:widowControl/>
              <w:spacing w:lineRule="exact" w:line="36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Cs w:val="24"/>
              </w:rPr>
              <w:t>申請人與亡者關係證明文件         □除戶謄本</w:t>
            </w:r>
          </w:p>
          <w:p>
            <w:pPr>
              <w:pStyle w:val="Normal"/>
              <w:widowControl/>
              <w:spacing w:lineRule="exact" w:line="36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>□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Cs w:val="24"/>
              </w:rPr>
              <w:t>代理人身分證明文件               □其他證明文件</w:t>
            </w:r>
            <w:r>
              <w:rPr>
                <w:rStyle w:val="Style14"/>
                <w:rFonts w:ascii="標楷體" w:hAnsi="標楷體" w:cs="新細明體;PMingLiU" w:eastAsia="標楷體"/>
                <w:color w:val="000000"/>
                <w:szCs w:val="24"/>
                <w:u w:val="single"/>
              </w:rPr>
              <w:t xml:space="preserve">             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590" w:hRule="atLeast"/>
        </w:trPr>
        <w:tc>
          <w:tcPr>
            <w:tcW w:w="5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8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500"/>
              <w:jc w:val="distribut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切結事項</w:t>
            </w:r>
          </w:p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pacing w:val="-20"/>
                <w:sz w:val="28"/>
                <w:szCs w:val="28"/>
              </w:rPr>
              <w:t>（申請人為原埋葬許可申請人者，免填寫本欄位）</w:t>
            </w:r>
          </w:p>
        </w:tc>
        <w:tc>
          <w:tcPr>
            <w:tcW w:w="8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distribute"/>
              <w:rPr>
                <w:rFonts w:ascii="標楷體;DF Kai Shu" w:hAnsi="標楷體;DF Kai Shu" w:eastAsia="標楷體;DF Kai Shu" w:cs="標楷體;DF Kai Shu"/>
                <w:color w:val="000000"/>
                <w:szCs w:val="24"/>
              </w:rPr>
            </w:pP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 xml:space="preserve">   </w:t>
            </w: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本人非示範公墓原埋葬許可申請人或一般公墓無原埋葬申請人，為辦理起掘（遷出），謹就下列事項切結，並願負一切法律責任：</w:t>
            </w:r>
          </w:p>
          <w:p>
            <w:pPr>
              <w:pStyle w:val="Normal"/>
              <w:spacing w:lineRule="auto"/>
              <w:ind w:firstLine="480"/>
              <w:jc w:val="distribute"/>
              <w:rPr>
                <w:rFonts w:ascii="標楷體;DF Kai Shu" w:hAnsi="標楷體;DF Kai Shu" w:eastAsia="標楷體;DF Kai Shu" w:cs="標楷體;DF Kai Shu"/>
                <w:color w:val="000000"/>
                <w:szCs w:val="24"/>
              </w:rPr>
            </w:pP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□</w:t>
            </w: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已取得亡者之配偶或最近親等之血親同意。</w:t>
            </w:r>
          </w:p>
          <w:p>
            <w:pPr>
              <w:pStyle w:val="Normal"/>
              <w:tabs>
                <w:tab w:val="clear" w:pos="720"/>
              </w:tabs>
              <w:spacing w:lineRule="auto"/>
              <w:ind w:left="481" w:right="481" w:hanging="0"/>
              <w:jc w:val="distribute"/>
              <w:rPr/>
            </w:pPr>
            <w:r>
              <w:rPr>
                <w:rStyle w:val="Style14"/>
                <w:rFonts w:ascii="標楷體;DF Kai Shu" w:hAnsi="標楷體;DF Kai Shu" w:cs="標楷體;DF Kai Shu" w:eastAsia="標楷體;DF Kai Shu"/>
                <w:color w:val="000000"/>
                <w:szCs w:val="24"/>
              </w:rPr>
              <w:t>□</w:t>
            </w:r>
            <w:r>
              <w:rPr>
                <w:rStyle w:val="Style14"/>
                <w:rFonts w:ascii="標楷體;DF Kai Shu" w:hAnsi="標楷體;DF Kai Shu" w:cs="標楷體;DF Kai Shu" w:eastAsia="標楷體;DF Kai Shu"/>
                <w:color w:val="000000"/>
                <w:szCs w:val="24"/>
              </w:rPr>
              <w:t>經向戶政單位申請確實無法核發亡者除戶謄本，檢附</w:t>
            </w:r>
            <w:r>
              <w:rPr>
                <w:rStyle w:val="Style14"/>
                <w:rFonts w:ascii="標楷體;DF Kai Shu" w:hAnsi="標楷體;DF Kai Shu" w:cs="標楷體;DF Kai Shu" w:eastAsia="標楷體;DF Kai Shu"/>
                <w:b/>
                <w:bCs/>
                <w:color w:val="000000"/>
                <w:szCs w:val="24"/>
              </w:rPr>
              <w:t>相關佐證資料或切 結書</w:t>
            </w:r>
            <w:r>
              <w:rPr>
                <w:rStyle w:val="Style14"/>
                <w:rFonts w:ascii="標楷體;DF Kai Shu" w:hAnsi="標楷體;DF Kai Shu" w:cs="標楷體;DF Kai Shu" w:eastAsia="標楷體;DF Kai Shu"/>
                <w:color w:val="000000"/>
                <w:szCs w:val="24"/>
              </w:rPr>
              <w:t>如後附。後續倘有親屬或其他第三人提出異議時，均由本人負責，與  貴單位無涉。</w:t>
            </w:r>
          </w:p>
          <w:p>
            <w:pPr>
              <w:pStyle w:val="Normal"/>
              <w:spacing w:lineRule="auto"/>
              <w:ind w:firstLine="480"/>
              <w:jc w:val="distribute"/>
              <w:rPr>
                <w:rFonts w:ascii="標楷體;DF Kai Shu" w:hAnsi="標楷體;DF Kai Shu" w:eastAsia="標楷體;DF Kai Shu" w:cs="標楷體;DF Kai Shu"/>
                <w:color w:val="000000"/>
                <w:szCs w:val="24"/>
              </w:rPr>
            </w:pP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□</w:t>
            </w: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一般公墓</w:t>
            </w:r>
            <w:r>
              <w:rPr>
                <w:rFonts w:eastAsia="標楷體;DF Kai Shu" w:cs="標楷體;DF Kai Shu" w:ascii="標楷體;DF Kai Shu" w:hAnsi="標楷體;DF Kai Shu"/>
                <w:color w:val="000000"/>
                <w:szCs w:val="24"/>
              </w:rPr>
              <w:t>:</w:t>
            </w: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檢具與亡者關係證明文件。</w:t>
            </w:r>
          </w:p>
          <w:p>
            <w:pPr>
              <w:pStyle w:val="Normal"/>
              <w:spacing w:lineRule="auto"/>
              <w:rPr>
                <w:rFonts w:ascii="標楷體" w:hAnsi="標楷體" w:eastAsia="標楷體" w:cs="標楷體"/>
                <w:color w:val="00000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szCs w:val="24"/>
              </w:rPr>
              <w:t xml:space="preserve">    </w:t>
            </w:r>
          </w:p>
          <w:p>
            <w:pPr>
              <w:pStyle w:val="Normal"/>
              <w:spacing w:lineRule="exact" w:line="50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 xml:space="preserve">此致 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  <w:u w:val="single"/>
              </w:rPr>
              <w:t>臺南市麻豆區公所</w:t>
            </w:r>
          </w:p>
          <w:p>
            <w:pPr>
              <w:pStyle w:val="Normal"/>
              <w:spacing w:lineRule="exact" w:line="500"/>
              <w:ind w:firstLine="420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Cs w:val="24"/>
              </w:rPr>
              <w:t>立同意書人（簽章）：</w:t>
            </w:r>
            <w:r>
              <w:rPr>
                <w:rStyle w:val="Style14"/>
                <w:rFonts w:cs="Calibri" w:eastAsia="Calibri"/>
                <w:color w:val="000000"/>
                <w:szCs w:val="24"/>
                <w:u w:val="single"/>
              </w:rPr>
              <w:t xml:space="preserve">              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260" w:hRule="atLeast"/>
        </w:trPr>
        <w:tc>
          <w:tcPr>
            <w:tcW w:w="5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8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pacing w:lineRule="exact" w:line="500"/>
              <w:jc w:val="center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color w:val="000000"/>
                <w:sz w:val="28"/>
                <w:szCs w:val="28"/>
              </w:rPr>
              <w:t>注意事項</w:t>
            </w:r>
          </w:p>
          <w:p>
            <w:pPr>
              <w:pStyle w:val="Normal"/>
              <w:widowControl/>
              <w:spacing w:lineRule="exact" w:line="500"/>
              <w:rPr>
                <w:rFonts w:ascii="標楷體" w:hAnsi="標楷體" w:eastAsia="標楷體" w:cs="新細明體;PMingLiU"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exact" w:line="400"/>
              <w:ind w:left="0" w:hanging="0"/>
              <w:jc w:val="distribute"/>
              <w:rPr>
                <w:rFonts w:ascii="標楷體;DF Kai Shu" w:hAnsi="標楷體;DF Kai Shu" w:eastAsia="標楷體;DF Kai Shu" w:cs="新細明體;PMingLiU"/>
                <w:color w:val="000000"/>
                <w:szCs w:val="24"/>
              </w:rPr>
            </w:pPr>
            <w:r>
              <w:rPr>
                <w:rFonts w:ascii="標楷體;DF Kai Shu" w:hAnsi="標楷體;DF Kai Shu" w:cs="新細明體;PMingLiU" w:eastAsia="標楷體;DF Kai Shu"/>
                <w:color w:val="000000"/>
                <w:szCs w:val="24"/>
              </w:rPr>
              <w:t>殯葬管理條例第</w:t>
            </w:r>
            <w:r>
              <w:rPr>
                <w:rFonts w:eastAsia="標楷體;DF Kai Shu" w:cs="新細明體;PMingLiU" w:ascii="標楷體;DF Kai Shu" w:hAnsi="標楷體;DF Kai Shu"/>
                <w:color w:val="000000"/>
                <w:szCs w:val="24"/>
              </w:rPr>
              <w:t>25</w:t>
            </w:r>
            <w:r>
              <w:rPr>
                <w:rFonts w:ascii="標楷體;DF Kai Shu" w:hAnsi="標楷體;DF Kai Shu" w:cs="新細明體;PMingLiU" w:eastAsia="標楷體;DF Kai Shu"/>
                <w:color w:val="000000"/>
                <w:szCs w:val="24"/>
              </w:rPr>
              <w:t>條規定骨灰（骸）存放設施不得收存未檢附火化許可證明、起掘許可證明或其他相關證明之骨灰（骸）；第</w:t>
            </w:r>
            <w:r>
              <w:rPr>
                <w:rFonts w:eastAsia="標楷體;DF Kai Shu" w:cs="新細明體;PMingLiU" w:ascii="標楷體;DF Kai Shu" w:hAnsi="標楷體;DF Kai Shu"/>
                <w:color w:val="000000"/>
                <w:szCs w:val="24"/>
              </w:rPr>
              <w:t>70</w:t>
            </w:r>
            <w:r>
              <w:rPr>
                <w:rFonts w:ascii="標楷體;DF Kai Shu" w:hAnsi="標楷體;DF Kai Shu" w:cs="新細明體;PMingLiU" w:eastAsia="標楷體;DF Kai Shu"/>
                <w:color w:val="000000"/>
                <w:szCs w:val="24"/>
              </w:rPr>
              <w:t>條規定骨灰或起掘之骨骸除本條例另有規定外，應存放於骨灰（骸）存放設施或火化處理。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exact" w:line="400"/>
              <w:ind w:left="0" w:hanging="0"/>
              <w:jc w:val="distribute"/>
              <w:rPr>
                <w:rFonts w:ascii="標楷體;DF Kai Shu" w:hAnsi="標楷體;DF Kai Shu" w:eastAsia="標楷體;DF Kai Shu" w:cs="新細明體;PMingLiU"/>
                <w:color w:val="000000"/>
                <w:szCs w:val="24"/>
              </w:rPr>
            </w:pPr>
            <w:r>
              <w:rPr>
                <w:rFonts w:ascii="標楷體;DF Kai Shu" w:hAnsi="標楷體;DF Kai Shu" w:cs="新細明體;PMingLiU" w:eastAsia="標楷體;DF Kai Shu"/>
                <w:color w:val="000000"/>
                <w:szCs w:val="24"/>
              </w:rPr>
              <w:t>申請起掘許可證明，應繳納行政規費新臺幣</w:t>
            </w:r>
            <w:r>
              <w:rPr>
                <w:rFonts w:eastAsia="標楷體;DF Kai Shu" w:cs="新細明體;PMingLiU" w:ascii="標楷體;DF Kai Shu" w:hAnsi="標楷體;DF Kai Shu"/>
                <w:color w:val="000000"/>
                <w:szCs w:val="24"/>
              </w:rPr>
              <w:t>100</w:t>
            </w:r>
            <w:r>
              <w:rPr>
                <w:rFonts w:ascii="標楷體;DF Kai Shu" w:hAnsi="標楷體;DF Kai Shu" w:cs="新細明體;PMingLiU" w:eastAsia="標楷體;DF Kai Shu"/>
                <w:color w:val="000000"/>
                <w:szCs w:val="24"/>
              </w:rPr>
              <w:t>元。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exact" w:line="400"/>
              <w:ind w:left="0" w:hanging="0"/>
              <w:jc w:val="distribute"/>
              <w:rPr>
                <w:rFonts w:ascii="標楷體;DF Kai Shu" w:hAnsi="標楷體;DF Kai Shu" w:eastAsia="標楷體;DF Kai Shu" w:cs="標楷體;DF Kai Shu"/>
                <w:color w:val="000000"/>
                <w:szCs w:val="24"/>
              </w:rPr>
            </w:pP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起掘遷出證明得申請火化許可或骨灰</w:t>
            </w:r>
            <w:r>
              <w:rPr>
                <w:rFonts w:eastAsia="標楷體;DF Kai Shu" w:cs="標楷體;DF Kai Shu" w:ascii="標楷體;DF Kai Shu" w:hAnsi="標楷體;DF Kai Shu"/>
                <w:color w:val="000000"/>
                <w:szCs w:val="24"/>
              </w:rPr>
              <w:t>(</w:t>
            </w: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骸</w:t>
            </w:r>
            <w:r>
              <w:rPr>
                <w:rFonts w:eastAsia="標楷體;DF Kai Shu" w:cs="標楷體;DF Kai Shu" w:ascii="標楷體;DF Kai Shu" w:hAnsi="標楷體;DF Kai Shu"/>
                <w:color w:val="000000"/>
                <w:szCs w:val="24"/>
              </w:rPr>
              <w:t>)</w:t>
            </w:r>
            <w:r>
              <w:rPr>
                <w:rFonts w:ascii="標楷體;DF Kai Shu" w:hAnsi="標楷體;DF Kai Shu" w:cs="標楷體;DF Kai Shu" w:eastAsia="標楷體;DF Kai Shu"/>
                <w:color w:val="000000"/>
                <w:szCs w:val="24"/>
              </w:rPr>
              <w:t>安厝入塔使用，不得作為其他證明用途。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exact" w:line="400"/>
              <w:ind w:left="0" w:hanging="0"/>
              <w:jc w:val="distribute"/>
              <w:rPr/>
            </w:pPr>
            <w:r>
              <w:rPr>
                <w:rStyle w:val="Style14"/>
                <w:rFonts w:ascii="標楷體;DF Kai Shu" w:hAnsi="標楷體;DF Kai Shu" w:cs="新細明體;PMingLiU" w:eastAsia="標楷體;DF Kai Shu"/>
                <w:color w:val="000000"/>
                <w:szCs w:val="24"/>
                <w:u w:val="single"/>
              </w:rPr>
              <w:t>一般公墓起掘後應整、填平骨骸起掘孔、洞處，避免影響人員行走安全，倘發生安全問題須由申請人自行負相關責任</w:t>
            </w:r>
            <w:r>
              <w:rPr>
                <w:rStyle w:val="Style14"/>
                <w:rFonts w:ascii="標楷體;DF Kai Shu" w:hAnsi="標楷體;DF Kai Shu" w:cs="新細明體;PMingLiU" w:eastAsia="標楷體;DF Kai Shu"/>
                <w:color w:val="000000"/>
                <w:szCs w:val="24"/>
              </w:rPr>
              <w:t>；</w:t>
            </w:r>
            <w:r>
              <w:rPr>
                <w:rStyle w:val="Style14"/>
                <w:rFonts w:ascii="標楷體;DF Kai Shu" w:hAnsi="標楷體;DF Kai Shu" w:cs="標楷體;DF Kai Shu" w:eastAsia="標楷體;DF Kai Shu"/>
                <w:color w:val="000000"/>
                <w:szCs w:val="24"/>
              </w:rPr>
              <w:t>公園化公墓墳墓遷葬應繳納墳墓廢棄物清除保證金。墳墓遷葬後三十日內，自行完成廢棄物清除，並將墓穴填土整平者，保證金無息退還，原墓基無條件收回；逾期未完成者，由管理機關代為清除，保證金不予退還，原墓基無條件收回。</w:t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color w:val="000000"/>
                <w:szCs w:val="24"/>
              </w:rPr>
            </w:pPr>
            <w:r>
              <w:rPr>
                <w:rFonts w:eastAsia="標楷體" w:cs="新細明體;PMingLiU" w:ascii="標楷體" w:hAnsi="標楷體"/>
                <w:color w:val="000000"/>
                <w:szCs w:val="24"/>
              </w:rPr>
            </w:r>
          </w:p>
        </w:tc>
      </w:tr>
      <w:tr>
        <w:trPr>
          <w:trHeight w:val="1565" w:hRule="atLeast"/>
          <w:cantSplit w:val="true"/>
        </w:trPr>
        <w:tc>
          <w:tcPr>
            <w:tcW w:w="5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8"/>
              <w:rPr>
                <w:rFonts w:ascii="標楷體" w:hAnsi="標楷體" w:eastAsia="標楷體" w:cs="新細明體;PMingLiU"/>
                <w:color w:val="000000"/>
                <w:szCs w:val="24"/>
              </w:rPr>
            </w:pPr>
            <w:r>
              <w:rPr>
                <w:rFonts w:eastAsia="標楷體" w:cs="新細明體;PMingLiU" w:ascii="標楷體" w:hAnsi="標楷體"/>
                <w:color w:val="000000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exact" w:line="400"/>
              <w:ind w:left="113" w:right="113" w:hanging="0"/>
              <w:jc w:val="distribute"/>
              <w:rPr>
                <w:rFonts w:ascii="標楷體" w:hAnsi="標楷體" w:eastAsia="標楷體" w:cs="新細明體;PMingLiU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b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napToGrid w:val="false"/>
              <w:spacing w:lineRule="exact" w:line="400"/>
              <w:ind w:left="113" w:right="113" w:hanging="0"/>
              <w:jc w:val="distribute"/>
              <w:rPr>
                <w:rFonts w:ascii="標楷體" w:hAnsi="標楷體" w:eastAsia="標楷體" w:cs="新細明體;PMingLiU"/>
                <w:b/>
                <w:b/>
                <w:color w:val="000000"/>
                <w:szCs w:val="24"/>
              </w:rPr>
            </w:pPr>
            <w:r>
              <w:rPr>
                <w:rFonts w:eastAsia="標楷體" w:cs="新細明體;PMingLiU" w:ascii="標楷體" w:hAnsi="標楷體"/>
                <w:b/>
                <w:color w:val="000000"/>
                <w:szCs w:val="24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exact" w:line="400"/>
              <w:ind w:left="113" w:right="113" w:hanging="0"/>
              <w:jc w:val="distribute"/>
              <w:rPr>
                <w:rFonts w:ascii="標楷體" w:hAnsi="標楷體" w:eastAsia="標楷體" w:cs="新細明體;PMingLiU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新細明體;PMingLiU" w:eastAsia="標楷體"/>
                <w:b/>
                <w:color w:val="000000"/>
                <w:sz w:val="28"/>
                <w:szCs w:val="28"/>
              </w:rPr>
              <w:t>單位主官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napToGrid w:val="false"/>
              <w:spacing w:lineRule="exact" w:line="400"/>
              <w:ind w:left="113" w:right="113" w:hanging="0"/>
              <w:jc w:val="distribute"/>
              <w:rPr>
                <w:rFonts w:ascii="標楷體" w:hAnsi="標楷體" w:eastAsia="標楷體" w:cs="新細明體;PMingLiU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ind w:right="113" w:hanging="0"/>
              <w:jc w:val="distribute"/>
              <w:rPr>
                <w:rFonts w:ascii="標楷體" w:hAnsi="標楷體" w:eastAsia="標楷體" w:cs="新細明體;PMingLiU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標楷體" w:cs="新細明體;PMingLiU" w:ascii="標楷體" w:hAnsi="標楷體"/>
                <w:b/>
                <w:color w:val="000000"/>
                <w:sz w:val="28"/>
                <w:szCs w:val="28"/>
              </w:rPr>
            </w:r>
          </w:p>
        </w:tc>
        <w:tc>
          <w:tcPr>
            <w:tcW w:w="5037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標楷體" w:hAnsi="標楷體" w:eastAsia="標楷體" w:cs="新細明體;PMingLiU"/>
                <w:b/>
                <w:b/>
                <w:color w:val="000000"/>
                <w:szCs w:val="24"/>
              </w:rPr>
            </w:pPr>
            <w:r>
              <w:rPr>
                <w:rFonts w:eastAsia="標楷體" w:cs="新細明體;PMingLiU" w:ascii="標楷體" w:hAnsi="標楷體"/>
                <w:b/>
                <w:color w:val="000000"/>
                <w:szCs w:val="24"/>
              </w:rPr>
            </w:r>
          </w:p>
        </w:tc>
      </w:tr>
    </w:tbl>
    <w:p>
      <w:pPr>
        <w:pStyle w:val="Normal"/>
        <w:spacing w:lineRule="exact" w:line="500"/>
        <w:rPr/>
      </w:pPr>
      <w:r>
        <w:rPr>
          <w:rStyle w:val="Style14"/>
          <w:color w:val="000000"/>
        </w:rPr>
        <w:t xml:space="preserve">           </w:t>
      </w:r>
      <w:r>
        <w:rPr>
          <w:rStyle w:val="Style14"/>
          <w:rFonts w:eastAsia="標楷體;DF Kai Shu"/>
          <w:color w:val="000000"/>
        </w:rPr>
        <w:t xml:space="preserve"> </w:t>
      </w:r>
      <w:r>
        <w:rPr>
          <w:rStyle w:val="Style14"/>
          <w:rFonts w:eastAsia="標楷體;DF Kai Shu"/>
          <w:color w:val="000000"/>
          <w:sz w:val="23"/>
        </w:rPr>
        <w:t>※</w:t>
      </w:r>
      <w:r>
        <w:rPr>
          <w:rStyle w:val="Style14"/>
          <w:rFonts w:eastAsia="標楷體;DF Kai Shu"/>
          <w:color w:val="000000"/>
          <w:sz w:val="23"/>
        </w:rPr>
        <w:t>簽呈欄位請核章，若核章人差假或已業務授權，請代理人核章並註明簽核日期</w:t>
      </w:r>
    </w:p>
    <w:sectPr>
      <w:headerReference w:type="default" r:id="rId2"/>
      <w:type w:val="nextPage"/>
      <w:pgSz w:w="11906" w:h="16838"/>
      <w:pgMar w:left="1134" w:right="1134" w:header="510" w:top="793" w:footer="0" w:bottom="72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altName w:val="DF Kai Shu"/>
    <w:charset w:val="88"/>
    <w:family w:val="script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eastAsia="Calibri" w:cs="Calibri"/>
      </w:rPr>
    </w:pPr>
    <w:r>
      <w:rPr>
        <w:rFonts w:cs="Calibri" w:eastAsia="Calibri"/>
      </w:rPr>
      <w:t xml:space="preserve">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□"/>
      <w:lvlJc w:val="left"/>
      <w:pPr>
        <w:ind w:left="0" w:hanging="0"/>
      </w:pPr>
      <w:rPr>
        <w:rFonts w:ascii="標楷體" w:hAnsi="標楷體" w:cs="標楷體" w:hint="default"/>
        <w:sz w:val="28"/>
        <w:kern w:val="2"/>
        <w:szCs w:val="28"/>
        <w:rFonts w:cs="新細明體;PMingLiU"/>
        <w:color w:val="000000"/>
      </w:rPr>
    </w:lvl>
    <w:lvl w:ilvl="1">
      <w:start w:val="1"/>
      <w:numFmt w:val="bullet"/>
      <w:suff w:val="nothing"/>
      <w:lvlText w:val="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suff w:val="nothing"/>
      <w:lvlText w:val="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suff w:val="nothing"/>
      <w:lvlText w:val="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suff w:val="nothing"/>
      <w:lvlText w:val="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suff w:val="nothing"/>
      <w:lvlText w:val="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suff w:val="nothing"/>
      <w:lvlText w:val="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>
        <w:kern w:val="2"/>
        <w:szCs w:val="24"/>
        <w:rFonts w:ascii="標楷體" w:hAnsi="標楷體" w:eastAsia="標楷體" w:cs="新細明體;PMingLiU"/>
      </w:rPr>
    </w:lvl>
    <w:lvl w:ilvl="1">
      <w:start w:val="1"/>
      <w:numFmt w:val="ideographTraditional"/>
      <w:suff w:val="nothing"/>
      <w:lvlText w:val="%2、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ideographTraditional"/>
      <w:suff w:val="nothing"/>
      <w:lvlText w:val="%5、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ideographTraditional"/>
      <w:suff w:val="nothing"/>
      <w:lvlText w:val="%8、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0"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ascii="標楷體" w:hAnsi="標楷體" w:eastAsia="標楷體" w:cs="新細明體;PMingLiU"/>
      <w:color w:val="000000"/>
      <w:kern w:val="2"/>
      <w:sz w:val="28"/>
      <w:szCs w:val="28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標楷體" w:hAnsi="標楷體" w:eastAsia="標楷體" w:cs="新細明體;PMingLiU"/>
      <w:kern w:val="2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頁首 字元"/>
    <w:qFormat/>
    <w:rPr>
      <w:rFonts w:cs="Times New Roman"/>
      <w:sz w:val="20"/>
      <w:szCs w:val="20"/>
    </w:rPr>
  </w:style>
  <w:style w:type="character" w:styleId="Style16">
    <w:name w:val="頁尾 字元"/>
    <w:qFormat/>
    <w:rPr>
      <w:rFonts w:cs="Times New Roman"/>
      <w:sz w:val="20"/>
      <w:szCs w:val="20"/>
    </w:rPr>
  </w:style>
  <w:style w:type="character" w:styleId="Style17">
    <w:name w:val="頁碼"/>
    <w:basedOn w:val="Style14"/>
    <w:rPr/>
  </w:style>
  <w:style w:type="character" w:styleId="Style18">
    <w:name w:val="註解方塊文字 字元"/>
    <w:qFormat/>
    <w:rPr>
      <w:rFonts w:ascii="Cambria" w:hAnsi="Cambria" w:eastAsia="新細明體;PMingLiU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 w:cs="新細明體;PMingLiU"/>
      <w:color w:val="000000"/>
      <w:kern w:val="2"/>
      <w:sz w:val="28"/>
      <w:szCs w:val="28"/>
    </w:rPr>
  </w:style>
  <w:style w:type="character" w:styleId="WWCharLFO1LVL2">
    <w:name w:val="WW_CharLFO1LVL2"/>
    <w:qFormat/>
    <w:rPr>
      <w:rFonts w:ascii="Wingdings" w:hAnsi="Wingdings" w:cs="Wingdings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Wingdings" w:hAnsi="Wingdings" w:cs="Wingdings"/>
    </w:rPr>
  </w:style>
  <w:style w:type="character" w:styleId="WWCharLFO1LVL5">
    <w:name w:val="WW_CharLFO1LVL5"/>
    <w:qFormat/>
    <w:rPr>
      <w:rFonts w:ascii="Wingdings" w:hAnsi="Wingdings" w:cs="Wingdings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Wingdings" w:hAnsi="Wingdings" w:cs="Wingdings"/>
    </w:rPr>
  </w:style>
  <w:style w:type="character" w:styleId="WWCharLFO1LVL8">
    <w:name w:val="WW_CharLFO1LVL8"/>
    <w:qFormat/>
    <w:rPr>
      <w:rFonts w:ascii="Wingdings" w:hAnsi="Wingdings" w:cs="Wingdings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標楷體" w:hAnsi="標楷體" w:eastAsia="標楷體" w:cs="新細明體;PMingLiU"/>
      <w:kern w:val="2"/>
      <w:szCs w:val="24"/>
    </w:rPr>
  </w:style>
  <w:style w:type="paragraph" w:styleId="Style19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0">
    <w:name w:val="標題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Style23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Style24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清單段落"/>
    <w:basedOn w:val="Normal"/>
    <w:qFormat/>
    <w:pPr>
      <w:tabs>
        <w:tab w:val="clear" w:pos="720"/>
      </w:tabs>
      <w:suppressAutoHyphens w:val="true"/>
      <w:ind w:left="480" w:hanging="0"/>
    </w:pPr>
    <w:rPr/>
  </w:style>
  <w:style w:type="paragraph" w:styleId="Style27">
    <w:name w:val="註解方塊文字"/>
    <w:basedOn w:val="Normal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8">
    <w:name w:val="表格內容"/>
    <w:basedOn w:val="Normal"/>
    <w:qFormat/>
    <w:pPr>
      <w:suppressLineNumbers/>
      <w:suppressAutoHyphens w:val="true"/>
    </w:pPr>
    <w:rPr/>
  </w:style>
  <w:style w:type="paragraph" w:styleId="Style29">
    <w:name w:val="表格標題"/>
    <w:basedOn w:val="Style28"/>
    <w:qFormat/>
    <w:pPr>
      <w:suppressAutoHyphens w:val="true"/>
      <w:jc w:val="center"/>
    </w:pPr>
    <w:rPr>
      <w:b/>
      <w:bCs/>
    </w:rPr>
  </w:style>
  <w:style w:type="paragraph" w:styleId="Style30">
    <w:name w:val="外框內容"/>
    <w:basedOn w:val="Normal"/>
    <w:qFormat/>
    <w:pPr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397</TotalTime>
  <Application>NDC_ODF_Application_Tools/2.0.4$Windows_X86_64 LibreOffice_project/ace8b54cb4771cd6636f2ccb1aac7c9dad875112</Application>
  <Pages>2</Pages>
  <Words>215</Words>
  <CharactersWithSpaces>1445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2021-11-16T08:44:00Z</dcterms:created>
  <dc:creator>gt1215</dc:creator>
  <dc:description/>
  <dc:language>zh-TW</dc:language>
  <cp:lastModifiedBy>鄭亦廷</cp:lastModifiedBy>
  <cp:lastPrinted>2022-03-09T01:14:00Z</cp:lastPrinted>
  <dcterms:modified xsi:type="dcterms:W3CDTF">2022-03-09T03:20:00Z</dcterms:modified>
  <cp:revision>1</cp:revision>
  <dc:subject/>
  <dc:title>新北市埋葬起掘、骨骸遷出許可證明</dc:title>
</cp:coreProperties>
</file>