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121" w:rsidRDefault="0065619F">
      <w:pPr>
        <w:snapToGrid w:val="0"/>
        <w:spacing w:line="480" w:lineRule="exact"/>
        <w:ind w:left="180"/>
        <w:jc w:val="center"/>
        <w:rPr>
          <w:rFonts w:ascii="標楷體" w:eastAsia="標楷體" w:hAnsi="標楷體" w:cs="標楷體"/>
          <w:b/>
          <w:sz w:val="32"/>
          <w:szCs w:val="30"/>
        </w:rPr>
      </w:pPr>
      <w:r w:rsidRPr="0065619F">
        <w:rPr>
          <w:rFonts w:ascii="標楷體" w:eastAsia="標楷體" w:hAnsi="標楷體" w:cs="標楷體" w:hint="eastAsia"/>
          <w:b/>
          <w:sz w:val="32"/>
          <w:szCs w:val="30"/>
          <w:u w:val="single"/>
        </w:rPr>
        <w:t xml:space="preserve">    </w:t>
      </w:r>
      <w:r w:rsidR="00C85C0B">
        <w:rPr>
          <w:rFonts w:ascii="標楷體" w:eastAsia="標楷體" w:hAnsi="標楷體" w:cs="標楷體" w:hint="eastAsia"/>
          <w:b/>
          <w:sz w:val="32"/>
          <w:szCs w:val="30"/>
          <w:u w:val="single"/>
        </w:rPr>
        <w:t xml:space="preserve">    </w:t>
      </w:r>
      <w:r w:rsidRPr="0065619F">
        <w:rPr>
          <w:rFonts w:ascii="標楷體" w:eastAsia="標楷體" w:hAnsi="標楷體" w:cs="標楷體" w:hint="eastAsia"/>
          <w:b/>
          <w:sz w:val="32"/>
          <w:szCs w:val="30"/>
          <w:u w:val="single"/>
        </w:rPr>
        <w:t xml:space="preserve">          </w:t>
      </w:r>
      <w:r w:rsidR="001C32CD">
        <w:rPr>
          <w:rFonts w:ascii="標楷體" w:eastAsia="標楷體" w:hAnsi="標楷體" w:cs="標楷體"/>
          <w:b/>
          <w:sz w:val="32"/>
          <w:szCs w:val="30"/>
        </w:rPr>
        <w:t>個人資料檔案安全維護計畫</w:t>
      </w:r>
    </w:p>
    <w:p w:rsidR="006C2121" w:rsidRPr="0065619F" w:rsidRDefault="001C32CD" w:rsidP="0065619F">
      <w:pPr>
        <w:snapToGrid w:val="0"/>
        <w:spacing w:line="480" w:lineRule="exact"/>
        <w:ind w:left="180"/>
        <w:jc w:val="right"/>
        <w:rPr>
          <w:rFonts w:ascii="標楷體" w:eastAsia="標楷體" w:hAnsi="標楷體" w:cs="標楷體"/>
        </w:rPr>
      </w:pPr>
      <w:bookmarkStart w:id="0" w:name="_Hlk89949774"/>
      <w:bookmarkEnd w:id="0"/>
      <w:r>
        <w:rPr>
          <w:rFonts w:ascii="標楷體" w:eastAsia="標楷體" w:hAnsi="標楷體" w:cs="標楷體"/>
        </w:rPr>
        <w:t>訂定日期：中華民國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</w:t>
      </w:r>
      <w:r w:rsidR="00C85C0B">
        <w:rPr>
          <w:rFonts w:ascii="標楷體" w:eastAsia="標楷體" w:hAnsi="標楷體" w:cs="標楷體" w:hint="eastAsia"/>
          <w:u w:val="single"/>
        </w:rPr>
        <w:t xml:space="preserve">   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</w:t>
      </w:r>
      <w:r>
        <w:rPr>
          <w:rFonts w:ascii="標楷體" w:eastAsia="標楷體" w:hAnsi="標楷體" w:cs="標楷體"/>
        </w:rPr>
        <w:t>年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</w:t>
      </w:r>
      <w:r w:rsidR="00C85C0B">
        <w:rPr>
          <w:rFonts w:ascii="標楷體" w:eastAsia="標楷體" w:hAnsi="標楷體" w:cs="標楷體" w:hint="eastAsia"/>
          <w:u w:val="single"/>
        </w:rPr>
        <w:t xml:space="preserve"> 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</w:t>
      </w:r>
      <w:r>
        <w:rPr>
          <w:rFonts w:ascii="標楷體" w:eastAsia="標楷體" w:hAnsi="標楷體" w:cs="標楷體"/>
        </w:rPr>
        <w:t>月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</w:t>
      </w:r>
      <w:r w:rsidR="00C85C0B">
        <w:rPr>
          <w:rFonts w:ascii="標楷體" w:eastAsia="標楷體" w:hAnsi="標楷體" w:cs="標楷體" w:hint="eastAsia"/>
          <w:u w:val="single"/>
        </w:rPr>
        <w:t xml:space="preserve"> 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</w:t>
      </w:r>
      <w:r>
        <w:rPr>
          <w:rFonts w:ascii="標楷體" w:eastAsia="標楷體" w:hAnsi="標楷體" w:cs="標楷體"/>
        </w:rPr>
        <w:t>日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依據：</w:t>
      </w:r>
    </w:p>
    <w:p w:rsidR="006C2121" w:rsidRDefault="001C32CD">
      <w:pPr>
        <w:spacing w:line="480" w:lineRule="exact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個人資料保護法第27條第3項及內政部指定宗教團體個人資料檔案安全維護管理辦法第4條。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目的：</w:t>
      </w:r>
    </w:p>
    <w:p w:rsidR="006C2121" w:rsidRDefault="001C32CD">
      <w:pPr>
        <w:spacing w:line="480" w:lineRule="exact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落實個人資料檔案之安全維護及管理，防止被竊取、竄改、毀損、滅失或洩漏。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組織規模及特性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負責人：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主事務所地址：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3286E" w:rsidRPr="00AE076C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所屬人員人數：約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：包括管理組織人員、職員、同工、志工、所屬傳教人員、信徒、會員)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保有個人資料數量：約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筆</w:t>
      </w:r>
    </w:p>
    <w:p w:rsidR="008456D1" w:rsidRDefault="008456D1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負責人聯絡電話：</w:t>
      </w:r>
    </w:p>
    <w:p w:rsidR="006C2121" w:rsidRDefault="001C32CD">
      <w:pPr>
        <w:numPr>
          <w:ilvl w:val="0"/>
          <w:numId w:val="9"/>
        </w:numPr>
        <w:spacing w:before="180" w:line="480" w:lineRule="exact"/>
        <w:ind w:left="482" w:hanging="482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個人資料檔案之安全維護管理措施</w:t>
      </w:r>
    </w:p>
    <w:p w:rsidR="006C2121" w:rsidRDefault="001C32CD">
      <w:pPr>
        <w:spacing w:line="480" w:lineRule="exact"/>
        <w:ind w:firstLine="283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一、配置管理之人員及資源</w:t>
      </w:r>
    </w:p>
    <w:p w:rsidR="006C2121" w:rsidRDefault="001C32CD">
      <w:pPr>
        <w:spacing w:line="480" w:lineRule="exact"/>
        <w:ind w:left="1073" w:hanging="50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（一）管理人員：</w:t>
      </w:r>
    </w:p>
    <w:p w:rsidR="006C2121" w:rsidRDefault="001C32CD">
      <w:pPr>
        <w:numPr>
          <w:ilvl w:val="3"/>
          <w:numId w:val="2"/>
        </w:numPr>
        <w:spacing w:line="480" w:lineRule="exact"/>
        <w:ind w:left="1418" w:firstLine="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配置人數：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人(至少1名)。</w:t>
      </w:r>
    </w:p>
    <w:p w:rsidR="006C2121" w:rsidRDefault="001C32CD">
      <w:pPr>
        <w:numPr>
          <w:ilvl w:val="3"/>
          <w:numId w:val="2"/>
        </w:numPr>
        <w:spacing w:line="480" w:lineRule="exact"/>
        <w:ind w:left="1418" w:firstLine="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職責：負責規劃、訂定、修正及執行本計畫及處理方法等相關事項，並每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向負責人提出報告。 </w:t>
      </w:r>
    </w:p>
    <w:p w:rsidR="006C2121" w:rsidRDefault="001C32CD">
      <w:pPr>
        <w:tabs>
          <w:tab w:val="left" w:pos="1470"/>
        </w:tabs>
        <w:spacing w:line="480" w:lineRule="exact"/>
        <w:ind w:left="2266" w:hanging="1700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（二）預算：</w:t>
      </w:r>
      <w:r w:rsidR="0009290A">
        <w:rPr>
          <w:rFonts w:ascii="標楷體" w:eastAsia="標楷體" w:hAnsi="標楷體" w:cs="標楷體" w:hint="eastAsia"/>
          <w:color w:val="000000"/>
          <w:sz w:val="28"/>
          <w:szCs w:val="28"/>
        </w:rPr>
        <w:t>經費依實際需要支出。</w:t>
      </w:r>
    </w:p>
    <w:p w:rsidR="006C2121" w:rsidRDefault="001C32CD">
      <w:pPr>
        <w:spacing w:before="180" w:line="480" w:lineRule="exact"/>
        <w:ind w:firstLine="283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二、蒐集、處理及利用</w:t>
      </w:r>
      <w:bookmarkStart w:id="1" w:name="_Hlk89693056"/>
      <w:r>
        <w:rPr>
          <w:rFonts w:ascii="標楷體" w:eastAsia="標楷體" w:hAnsi="標楷體" w:cs="標楷體"/>
          <w:b/>
          <w:color w:val="000000"/>
          <w:sz w:val="28"/>
          <w:szCs w:val="28"/>
        </w:rPr>
        <w:t>個人資料</w:t>
      </w:r>
      <w:bookmarkEnd w:id="1"/>
      <w:r>
        <w:rPr>
          <w:rFonts w:ascii="標楷體" w:eastAsia="標楷體" w:hAnsi="標楷體" w:cs="標楷體"/>
          <w:b/>
          <w:color w:val="000000"/>
          <w:sz w:val="28"/>
          <w:szCs w:val="28"/>
        </w:rPr>
        <w:t>之範圍及特定目的</w:t>
      </w:r>
    </w:p>
    <w:p w:rsidR="006C2121" w:rsidRDefault="001C32CD">
      <w:pPr>
        <w:numPr>
          <w:ilvl w:val="1"/>
          <w:numId w:val="20"/>
        </w:numPr>
        <w:spacing w:line="480" w:lineRule="exact"/>
        <w:ind w:left="1134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個人資料範圍：</w:t>
      </w:r>
    </w:p>
    <w:p w:rsidR="006C2121" w:rsidRDefault="001C32CD">
      <w:pPr>
        <w:spacing w:line="480" w:lineRule="exact"/>
        <w:ind w:left="1418" w:hanging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指本寺廟蒐集、處理及利用之自然人姓名、出生年月日、國民身分證統一編號、護照號碼、聯絡方式及其他得以直接或間接方式識別該個人之資料。</w:t>
      </w:r>
    </w:p>
    <w:p w:rsidR="006C2121" w:rsidRDefault="001C32CD">
      <w:pPr>
        <w:numPr>
          <w:ilvl w:val="1"/>
          <w:numId w:val="20"/>
        </w:numPr>
        <w:spacing w:line="480" w:lineRule="exact"/>
        <w:ind w:left="1418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蒐集、處理及利用個人資料之特定目的：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人事管理。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宗教、非營利組織業務。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寺廟對監察人、管理委員會成員及其他成員名冊之內部管理。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社會服務或社會工作。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非公務機關依法定義務所進行個人資料之蒐集處理及利用。(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：如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情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期間信眾實聯制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資料。)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2" w:name="_Hlk90454961"/>
      <w:bookmarkEnd w:id="2"/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三、個人資料之風險評估及管理機制</w:t>
      </w:r>
    </w:p>
    <w:p w:rsidR="006C2121" w:rsidRDefault="001C32CD">
      <w:pPr>
        <w:spacing w:line="480" w:lineRule="exact"/>
        <w:ind w:left="1132" w:hanging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（一）風險評估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經由接觸涉有個人資料之業務書件而外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所屬人員或其他人竊取、毁損或洩漏。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與所屬單位、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機構間互為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傳輸時外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spacing w:line="480" w:lineRule="exact"/>
        <w:ind w:left="1269" w:hanging="70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lk90455025"/>
      <w:bookmarkEnd w:id="3"/>
      <w:r>
        <w:rPr>
          <w:rFonts w:ascii="標楷體" w:eastAsia="標楷體" w:hAnsi="標楷體" w:cs="標楷體"/>
          <w:color w:val="000000"/>
          <w:sz w:val="28"/>
          <w:szCs w:val="28"/>
        </w:rPr>
        <w:t>（二）管理機制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適度設定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  <w:t>所屬人員權限，並妥適保管文件。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加強對所屬人員及設備之管理。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四、事故之預防、通報及應變機制</w:t>
      </w:r>
    </w:p>
    <w:p w:rsidR="006C2121" w:rsidRDefault="001C32CD">
      <w:pPr>
        <w:spacing w:line="480" w:lineRule="exact"/>
        <w:ind w:left="1546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（一）預防：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指定專人辦理安全維護事項，防止本寺廟保有之個人資料被竊取、竄改、毀損、滅失或洩漏。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本寺廟保有之個人資</w:t>
      </w:r>
      <w:r w:rsidR="005609A0">
        <w:rPr>
          <w:rFonts w:ascii="標楷體" w:eastAsia="標楷體" w:hAnsi="標楷體" w:cs="標楷體"/>
          <w:color w:val="000000"/>
          <w:sz w:val="28"/>
          <w:szCs w:val="28"/>
        </w:rPr>
        <w:t>料檔案，限承辦人員使用或存取，使用或存取範圍限與其本身業務相關</w:t>
      </w:r>
      <w:r>
        <w:rPr>
          <w:rFonts w:ascii="標楷體" w:eastAsia="標楷體" w:hAnsi="標楷體" w:cs="標楷體"/>
          <w:color w:val="000000"/>
          <w:sz w:val="28"/>
          <w:szCs w:val="28"/>
        </w:rPr>
        <w:t>。非承辦人員參閱、使用或存取相關個人資料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檔案或書件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時，應經負責人或經授權之管理人員同意。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存有個人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資料之紙本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文件於不使用或下班時，遵守桌面淨空，置於抽屜或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儲櫃並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上鎖。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存有個人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資料之紙本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及存放媒介物於報廢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汰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換或轉作其他用途前，確實刪除資料或格式化，或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物理方式破壞、銷毀。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對內或對外從事個人資料傳輸時，加強管控避免外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洩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加強所屬人員教育宣導，並嚴加管制。</w:t>
      </w:r>
    </w:p>
    <w:p w:rsidR="006C2121" w:rsidRDefault="001C32CD">
      <w:pPr>
        <w:spacing w:line="480" w:lineRule="exact"/>
        <w:ind w:left="641" w:firstLine="6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（二）通報及應變：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本寺廟所屬人員發現個人資料遭竊取、竄改、毀損、滅失或洩漏等安全事故時，即時向負責人通報；發生安全事故之個人資料達5,000筆者，自發現時起72小時內，以內政部訂頒之「個人資料事故通報及紀錄表」通報</w:t>
      </w:r>
      <w:proofErr w:type="gramStart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南</w:t>
      </w:r>
      <w:r>
        <w:rPr>
          <w:rFonts w:ascii="標楷體" w:eastAsia="標楷體" w:hAnsi="標楷體" w:cs="標楷體"/>
          <w:color w:val="000000"/>
          <w:sz w:val="28"/>
          <w:szCs w:val="28"/>
        </w:rPr>
        <w:t>市政府並副知內政部。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發生個人資料安全事故時，儘速以適當方式通知當事人事故發生之事實、已採取之處理措施以及本寺廟窗口電話等資訊。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ab/>
        <w:t>發生個人資料安全事故後，針對事故發生原因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議改進措施。</w:t>
      </w:r>
    </w:p>
    <w:p w:rsidR="006C2121" w:rsidRDefault="001C32CD">
      <w:pPr>
        <w:spacing w:line="480" w:lineRule="exact"/>
        <w:ind w:left="1131" w:hanging="98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五、個人資料蒐集、處理及利用之內部管理措施</w:t>
      </w:r>
    </w:p>
    <w:p w:rsidR="006C2121" w:rsidRDefault="001C32CD">
      <w:pPr>
        <w:spacing w:line="480" w:lineRule="exact"/>
        <w:ind w:left="1556" w:hanging="84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（一）所屬人員直接向當事人蒐集個人資料時，明確告知當事人以下事項：</w:t>
      </w:r>
    </w:p>
    <w:p w:rsidR="006C2121" w:rsidRDefault="000D7D22">
      <w:pPr>
        <w:numPr>
          <w:ilvl w:val="0"/>
          <w:numId w:val="11"/>
        </w:numPr>
        <w:spacing w:line="480" w:lineRule="exact"/>
        <w:ind w:left="1418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本寺廟名稱</w:t>
      </w:r>
      <w:r w:rsidR="001C32CD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D7D22" w:rsidRDefault="000D7D22">
      <w:pPr>
        <w:numPr>
          <w:ilvl w:val="0"/>
          <w:numId w:val="11"/>
        </w:numPr>
        <w:spacing w:line="480" w:lineRule="exact"/>
        <w:ind w:left="1418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蒐集目的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個人資料之類別。(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：可參考法務部「個人資料保護法之特定目的及個人資料之類別」</w:t>
      </w:r>
      <w:hyperlink r:id="rId7">
        <w:r>
          <w:rPr>
            <w:rFonts w:ascii="標楷體" w:eastAsia="標楷體" w:hAnsi="標楷體" w:cs="標楷體"/>
            <w:color w:val="000000"/>
            <w:sz w:val="28"/>
            <w:szCs w:val="28"/>
            <w:u w:val="single"/>
          </w:rPr>
          <w:t>https://mojlaw.moj.gov.tw/LawContent.aspx?LSID=fl010631</w:t>
        </w:r>
      </w:hyperlink>
      <w:r>
        <w:rPr>
          <w:rFonts w:ascii="標楷體" w:eastAsia="標楷體" w:hAnsi="標楷體" w:cs="標楷體"/>
          <w:color w:val="000000"/>
          <w:sz w:val="28"/>
          <w:szCs w:val="28"/>
        </w:rPr>
        <w:t>。)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</w:pPr>
      <w:bookmarkStart w:id="4" w:name="_Hlk89673883"/>
      <w:r>
        <w:rPr>
          <w:rFonts w:ascii="標楷體" w:eastAsia="標楷體" w:hAnsi="標楷體" w:cs="標楷體"/>
          <w:color w:val="000000"/>
          <w:sz w:val="28"/>
          <w:szCs w:val="28"/>
        </w:rPr>
        <w:t>個人資料利用之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期間</w:t>
      </w:r>
      <w:bookmarkEnd w:id="4"/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地區、對象及方式。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當事人得向本寺廟請求閱覽、製給複製本、補充或更正、停止蒐集、處理、利用或刪除其個人資料。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當事人得自由選擇提供個人資料，以及如不提供對其權益之影響。</w:t>
      </w:r>
    </w:p>
    <w:p w:rsidR="006C2121" w:rsidRDefault="001C32CD" w:rsidP="00D01751">
      <w:pPr>
        <w:numPr>
          <w:ilvl w:val="0"/>
          <w:numId w:val="12"/>
        </w:numPr>
        <w:tabs>
          <w:tab w:val="left" w:pos="1590"/>
        </w:tabs>
        <w:spacing w:line="480" w:lineRule="exact"/>
        <w:ind w:left="1576" w:hanging="81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所蒐集之個人資料非由當事人提供者，應於處理或利用前，向當事人告知其個人資料來源及前項應告知之事項，若當事人表示拒絕提供，應立即停止處理、利用其個人資料。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另本寺廟保有之個人資料利用期限屆滿時，除因法令規定、執行業務所必須或經當事人書面同意者外，將主動刪除或銷毀其個人資料，並留存相關紀錄。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當事人得向本寺廟表示拒絕提供，或請求閱覽、製給複製本、補充或更正、停止蒐集、處理、利用或刪除其個人資料之聯絡窗口為</w:t>
      </w:r>
      <w:r w:rsidR="008456D1">
        <w:rPr>
          <w:rFonts w:ascii="標楷體" w:eastAsia="標楷體" w:hAnsi="標楷體" w:cs="標楷體" w:hint="eastAsia"/>
          <w:color w:val="000000"/>
          <w:sz w:val="28"/>
          <w:szCs w:val="28"/>
        </w:rPr>
        <w:t>負責人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。以上聯絡資料公告於本寺廟處所。如拒絕當事人行使上述權利，應附理由通知當事人。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負責保管及</w:t>
      </w:r>
      <w:r>
        <w:rPr>
          <w:rFonts w:ascii="標楷體" w:eastAsia="標楷體" w:hAnsi="標楷體" w:cs="標楷體"/>
          <w:color w:val="000000"/>
          <w:sz w:val="28"/>
        </w:rPr>
        <w:t>處理個人資料檔案之人員，其職務有異動時，應將所保管之儲存資料檔案移交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本寺廟所屬成員退出團體或離職時，主動刪除或銷毀其個人資料，並留存相關紀錄。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指定管理人員每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清查本寺廟所保有之個人資料是否符合特定目的，若有非屬特定目的必要範圍之資料，或特定目的消失、期限屆滿而無保存必要者，即予刪除、銷毀或其他適當處置，並留存相關紀錄。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本寺廟保有之個人資料如需作特定目的外利用，應先行檢視是否符合個人資料保護法第20條第1項但書之規定。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本寺廟委託他人或其他宗教團體蒐集、處理或利用個人資料時，對受託者為適當之監督並與其明確約定相關監督事項。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六、設備安全管理、資料安全管理及人員管理措施</w:t>
      </w:r>
    </w:p>
    <w:p w:rsidR="006C2121" w:rsidRDefault="001C32CD">
      <w:pPr>
        <w:spacing w:line="480" w:lineRule="exact"/>
        <w:ind w:left="569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（一）設備安全管理</w:t>
      </w:r>
    </w:p>
    <w:p w:rsidR="00574FAE" w:rsidRPr="00574FAE" w:rsidRDefault="001C32CD">
      <w:pPr>
        <w:numPr>
          <w:ilvl w:val="0"/>
          <w:numId w:val="14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</w:rPr>
        <w:t>指派專人管理儲存個人資料之其他儲存媒介物，</w:t>
      </w:r>
    </w:p>
    <w:p w:rsidR="006C2121" w:rsidRDefault="001C32CD" w:rsidP="00574FAE">
      <w:pPr>
        <w:spacing w:line="480" w:lineRule="exact"/>
        <w:ind w:left="1418"/>
        <w:jc w:val="both"/>
      </w:pPr>
      <w:r>
        <w:rPr>
          <w:rFonts w:ascii="標楷體" w:eastAsia="標楷體" w:hAnsi="標楷體" w:cs="標楷體"/>
          <w:color w:val="000000"/>
          <w:sz w:val="28"/>
        </w:rPr>
        <w:t>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85C0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bookmarkStart w:id="5" w:name="_GoBack"/>
      <w:bookmarkEnd w:id="5"/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</w:rPr>
        <w:t>清點，並注意設備防竊、未經授權攜出等安全措施</w:t>
      </w:r>
      <w:r>
        <w:rPr>
          <w:rFonts w:ascii="標楷體" w:eastAsia="標楷體" w:hAnsi="標楷體" w:cs="標楷體"/>
          <w:sz w:val="28"/>
        </w:rPr>
        <w:t>。</w:t>
      </w:r>
    </w:p>
    <w:p w:rsidR="006C2121" w:rsidRDefault="001C32CD">
      <w:pPr>
        <w:numPr>
          <w:ilvl w:val="0"/>
          <w:numId w:val="14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其他儲存媒介物需報廢汰換或轉作其他用途時，</w:t>
      </w:r>
      <w:r>
        <w:rPr>
          <w:rFonts w:ascii="標楷體" w:eastAsia="標楷體" w:hAnsi="標楷體" w:cs="標楷體"/>
          <w:color w:val="000000"/>
          <w:sz w:val="28"/>
        </w:rPr>
        <w:t>檢視個人資料是否確實刪除。</w:t>
      </w:r>
    </w:p>
    <w:p w:rsidR="006C2121" w:rsidRDefault="001C32CD">
      <w:pPr>
        <w:spacing w:line="480" w:lineRule="exact"/>
        <w:ind w:firstLine="28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（二）資料安全管理</w:t>
      </w:r>
    </w:p>
    <w:p w:rsidR="006C2121" w:rsidRDefault="000D4D05">
      <w:pPr>
        <w:spacing w:line="480" w:lineRule="exact"/>
        <w:ind w:firstLine="9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C32CD">
        <w:rPr>
          <w:rFonts w:ascii="標楷體" w:eastAsia="標楷體" w:hAnsi="標楷體" w:cs="標楷體"/>
          <w:color w:val="000000"/>
          <w:sz w:val="28"/>
          <w:szCs w:val="28"/>
        </w:rPr>
        <w:t>、紙本資料之保管：</w:t>
      </w:r>
    </w:p>
    <w:p w:rsidR="006C2121" w:rsidRDefault="001C32CD">
      <w:pPr>
        <w:numPr>
          <w:ilvl w:val="0"/>
          <w:numId w:val="1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記載有個人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資料之紙本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文件，在未使用時存放於公文櫃內並上鎖。所屬人員非經負責人核可，不得任意複製、拍攝或影印。</w:t>
      </w:r>
    </w:p>
    <w:p w:rsidR="006C2121" w:rsidRDefault="001C32CD">
      <w:pPr>
        <w:numPr>
          <w:ilvl w:val="0"/>
          <w:numId w:val="1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丟棄記載有個人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資料之紙本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文件時，應先以碎紙設備進行處理。</w:t>
      </w:r>
    </w:p>
    <w:p w:rsidR="006C2121" w:rsidRDefault="001C32CD">
      <w:pPr>
        <w:spacing w:line="480" w:lineRule="exact"/>
        <w:ind w:left="849" w:hanging="56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（三）人員管理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依業務需求適度設定所屬人員(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：例如主管、非主管人員)對個人資料蒐集、處理及利用之不同權限。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所屬人員應妥善保管個人資料之</w:t>
      </w:r>
      <w:bookmarkStart w:id="6" w:name="_Hlk89695631"/>
      <w:r>
        <w:rPr>
          <w:rFonts w:ascii="標楷體" w:eastAsia="標楷體" w:hAnsi="標楷體" w:cs="標楷體"/>
          <w:color w:val="000000"/>
          <w:sz w:val="28"/>
          <w:szCs w:val="28"/>
        </w:rPr>
        <w:t>儲存媒介物</w:t>
      </w:r>
      <w:bookmarkEnd w:id="6"/>
      <w:r>
        <w:rPr>
          <w:rFonts w:ascii="標楷體" w:eastAsia="標楷體" w:hAnsi="標楷體" w:cs="標楷體"/>
          <w:color w:val="000000"/>
          <w:sz w:val="28"/>
          <w:szCs w:val="28"/>
        </w:rPr>
        <w:t>，執行業務時依個人資料保護法規定蒐集、處理及利用個人資料。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本寺廟與所屬人員間之勞務、承攬及委任契約均列入保密條款及違約罰則，以促使其遵守個人資料保密義務（含契約終止後）。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所屬人員離職時，其在職期間所持有之個人資料應確實移交，不得私自複製、留存並在外繼續利用。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七、認知宣導及教育訓練</w:t>
      </w:r>
    </w:p>
    <w:p w:rsidR="006C2121" w:rsidRDefault="00896A33">
      <w:pPr>
        <w:numPr>
          <w:ilvl w:val="0"/>
          <w:numId w:val="17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1D67F6">
        <w:rPr>
          <w:rFonts w:ascii="標楷體" w:eastAsia="標楷體" w:hAnsi="標楷體"/>
          <w:color w:val="000000"/>
          <w:sz w:val="28"/>
          <w:szCs w:val="28"/>
        </w:rPr>
        <w:t>本寺</w:t>
      </w:r>
      <w:r w:rsidRPr="001D67F6">
        <w:rPr>
          <w:rFonts w:ascii="標楷體" w:eastAsia="標楷體" w:hAnsi="標楷體"/>
          <w:sz w:val="28"/>
          <w:szCs w:val="28"/>
        </w:rPr>
        <w:t>廟</w:t>
      </w:r>
      <w:r w:rsidRPr="001D67F6">
        <w:rPr>
          <w:rFonts w:ascii="標楷體" w:eastAsia="標楷體" w:hAnsi="標楷體"/>
          <w:color w:val="000000"/>
          <w:sz w:val="28"/>
          <w:szCs w:val="28"/>
        </w:rPr>
        <w:t>每年不定期辦理或參與個人資料保護法實體或數位教育訓練，並留存相關紀錄或佐證資料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7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對於新進人員給予特別指導，確保其明瞭個人資料保護相關法令規定及責任範圍。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八、個人資料安全維護稽核機制</w:t>
      </w:r>
    </w:p>
    <w:p w:rsidR="006C2121" w:rsidRDefault="00D97580">
      <w:pPr>
        <w:numPr>
          <w:ilvl w:val="0"/>
          <w:numId w:val="15"/>
        </w:numPr>
        <w:tabs>
          <w:tab w:val="left" w:pos="1125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本寺廟每</w:t>
      </w:r>
      <w:r w:rsidR="001C32CD">
        <w:rPr>
          <w:rFonts w:ascii="標楷體" w:eastAsia="標楷體" w:hAnsi="標楷體" w:cs="標楷體"/>
          <w:color w:val="000000"/>
          <w:sz w:val="28"/>
          <w:szCs w:val="28"/>
        </w:rPr>
        <w:t>年進行1次本計畫及處理方法執行情形之檢查，檢查結果向負責人提出報告，相關文件至少保存5年。</w:t>
      </w:r>
    </w:p>
    <w:p w:rsidR="006C2121" w:rsidRDefault="001C32CD">
      <w:pPr>
        <w:numPr>
          <w:ilvl w:val="0"/>
          <w:numId w:val="15"/>
        </w:numPr>
        <w:tabs>
          <w:tab w:val="left" w:pos="1125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若檢查結果不符合法令或有不符合法令之虞，依下項事項規劃改善措施：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確認不符合法令之內容及發生原因。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提出改善及預防措施方案。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紀錄檢查情形及結果。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九、使用紀錄、軌跡資料及證據保存</w:t>
      </w:r>
    </w:p>
    <w:p w:rsidR="006C2121" w:rsidRDefault="001C32CD">
      <w:pPr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個人資料使用紀錄以紙本登記者，應存放於公文櫃內並上鎖，非經負責人核可，不得任意取出。</w:t>
      </w:r>
    </w:p>
    <w:p w:rsidR="006C2121" w:rsidRDefault="001C32CD">
      <w:pPr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以上使用紀錄、軌跡資料及相關證據至少留存5年。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十、個人資料安全維護之整體持續改善</w:t>
      </w:r>
    </w:p>
    <w:p w:rsidR="00996486" w:rsidRPr="00996486" w:rsidRDefault="001E7132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C2121" w:rsidRDefault="001C32CD">
      <w:pPr>
        <w:snapToGrid w:val="0"/>
        <w:spacing w:line="480" w:lineRule="exact"/>
        <w:ind w:left="708" w:firstLine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本寺廟將隨時參酌業務及執行本計畫狀況、社會輿情、技術發展及相關法規定修等因素，檢討本計畫是否合宜，必要時予以修正，並於修正後15日內報主管機關</w:t>
      </w:r>
      <w:proofErr w:type="gramStart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南</w:t>
      </w:r>
      <w:r>
        <w:rPr>
          <w:rFonts w:ascii="標楷體" w:eastAsia="標楷體" w:hAnsi="標楷體" w:cs="標楷體"/>
          <w:color w:val="000000"/>
          <w:sz w:val="28"/>
          <w:szCs w:val="28"/>
        </w:rPr>
        <w:t>市政府。</w:t>
      </w:r>
    </w:p>
    <w:p w:rsidR="006C2121" w:rsidRDefault="001C32CD">
      <w:pPr>
        <w:snapToGrid w:val="0"/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十一、業務終止後之個人資料處理方法</w:t>
      </w:r>
    </w:p>
    <w:p w:rsidR="006C2121" w:rsidRDefault="001C32CD">
      <w:pPr>
        <w:snapToGrid w:val="0"/>
        <w:spacing w:line="480" w:lineRule="exact"/>
        <w:ind w:left="709" w:hanging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本寺廟解散或經主管機關廢止登記後，所保有之個人資料依下列方式處理，不再繼續使用，並將相關紀錄報送主管機關</w:t>
      </w:r>
      <w:proofErr w:type="gramStart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南</w:t>
      </w:r>
      <w:r>
        <w:rPr>
          <w:rFonts w:ascii="標楷體" w:eastAsia="標楷體" w:hAnsi="標楷體" w:cs="新細明體;PMingLiU"/>
          <w:color w:val="000000"/>
          <w:sz w:val="28"/>
          <w:szCs w:val="28"/>
        </w:rPr>
        <w:t>市政府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6C2121" w:rsidRDefault="001C32CD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銷毀：銷毀之方法(</w:t>
      </w:r>
      <w:proofErr w:type="gramStart"/>
      <w:r w:rsidR="000D4D05"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 w:rsidR="000D4D05">
        <w:rPr>
          <w:rFonts w:ascii="標楷體" w:eastAsia="標楷體" w:hAnsi="標楷體" w:cs="標楷體"/>
          <w:color w:val="000000"/>
          <w:sz w:val="28"/>
          <w:szCs w:val="28"/>
        </w:rPr>
        <w:t>：將紙本資料送焚化或以碎紙機絞碎</w:t>
      </w:r>
      <w:r>
        <w:rPr>
          <w:rFonts w:ascii="標楷體" w:eastAsia="標楷體" w:hAnsi="標楷體" w:cs="標楷體"/>
          <w:color w:val="000000"/>
          <w:sz w:val="28"/>
          <w:szCs w:val="28"/>
        </w:rPr>
        <w:t>)、時間、地點及證明銷毀之方式(</w:t>
      </w:r>
      <w:proofErr w:type="gramStart"/>
      <w:r w:rsidR="00A3286E"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 w:rsidR="00A3286E">
        <w:rPr>
          <w:rFonts w:ascii="標楷體" w:eastAsia="標楷體" w:hAnsi="標楷體" w:cs="標楷體"/>
          <w:color w:val="000000"/>
          <w:sz w:val="28"/>
          <w:szCs w:val="28"/>
        </w:rPr>
        <w:t>：如執行銷毀之佐證照片，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標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日期、地點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snapToGrid w:val="0"/>
        <w:spacing w:line="480" w:lineRule="exact"/>
        <w:ind w:left="1132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（二）移轉：移轉之原因(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：如與其他團體合併、業務由其他團體辦理等)、對象、方法(</w:t>
      </w:r>
      <w:proofErr w:type="gramStart"/>
      <w:r w:rsidR="000D4D05"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 w:rsidR="000D4D05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紙本移交)、時間、地點及受移轉對象得保有該項個人資料之合法依據(</w:t>
      </w:r>
      <w:proofErr w:type="gramStart"/>
      <w:r w:rsidR="000760B7">
        <w:rPr>
          <w:rFonts w:ascii="標楷體" w:eastAsia="標楷體" w:hAnsi="標楷體" w:cs="標楷體"/>
          <w:color w:val="000000"/>
          <w:sz w:val="28"/>
          <w:szCs w:val="28"/>
        </w:rPr>
        <w:t>註</w:t>
      </w:r>
      <w:proofErr w:type="gramEnd"/>
      <w:r w:rsidR="000760B7">
        <w:rPr>
          <w:rFonts w:ascii="標楷體" w:eastAsia="標楷體" w:hAnsi="標楷體" w:cs="標楷體"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依據個人資料保護法規定)。</w:t>
      </w:r>
    </w:p>
    <w:p w:rsidR="006C2121" w:rsidRDefault="006C2121">
      <w:pPr>
        <w:snapToGrid w:val="0"/>
        <w:spacing w:line="480" w:lineRule="exact"/>
        <w:ind w:left="1132" w:hanging="85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C2121" w:rsidRDefault="006C2121">
      <w:pPr>
        <w:snapToGrid w:val="0"/>
        <w:spacing w:line="400" w:lineRule="exact"/>
        <w:ind w:left="1982" w:hanging="170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6C2121">
      <w:footerReference w:type="default" r:id="rId8"/>
      <w:pgSz w:w="11906" w:h="16838"/>
      <w:pgMar w:top="1191" w:right="1418" w:bottom="1021" w:left="1418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44" w:rsidRDefault="00FB4744">
      <w:r>
        <w:separator/>
      </w:r>
    </w:p>
  </w:endnote>
  <w:endnote w:type="continuationSeparator" w:id="0">
    <w:p w:rsidR="00FB4744" w:rsidRDefault="00F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Malgun Gothic Semilight"/>
    <w:charset w:val="00"/>
    <w:family w:val="auto"/>
    <w:pitch w:val="variable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1" w:rsidRDefault="001C32CD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2121" w:rsidRDefault="001C32CD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85C0B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5.0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" stroked="f">
              <v:fill opacity="0"/>
              <v:textbox inset="0,0,0,0">
                <w:txbxContent>
                  <w:p w:rsidR="006C2121" w:rsidRDefault="001C32CD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85C0B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44" w:rsidRDefault="00FB4744">
      <w:r>
        <w:separator/>
      </w:r>
    </w:p>
  </w:footnote>
  <w:footnote w:type="continuationSeparator" w:id="0">
    <w:p w:rsidR="00FB4744" w:rsidRDefault="00F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16"/>
    <w:multiLevelType w:val="multilevel"/>
    <w:tmpl w:val="01C663DE"/>
    <w:lvl w:ilvl="0">
      <w:start w:val="1"/>
      <w:numFmt w:val="decimal"/>
      <w:lvlText w:val="%1、"/>
      <w:lvlJc w:val="left"/>
      <w:pPr>
        <w:ind w:left="2136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C2D55"/>
    <w:multiLevelType w:val="multilevel"/>
    <w:tmpl w:val="C11CE848"/>
    <w:lvl w:ilvl="0">
      <w:start w:val="1"/>
      <w:numFmt w:val="decimal"/>
      <w:lvlText w:val="%1、"/>
      <w:lvlJc w:val="left"/>
      <w:pPr>
        <w:tabs>
          <w:tab w:val="num" w:pos="709"/>
        </w:tabs>
        <w:ind w:left="1291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56FF0"/>
    <w:multiLevelType w:val="multilevel"/>
    <w:tmpl w:val="4E58D9F0"/>
    <w:lvl w:ilvl="0">
      <w:start w:val="1"/>
      <w:numFmt w:val="decimal"/>
      <w:lvlText w:val="%1、"/>
      <w:lvlJc w:val="left"/>
      <w:pPr>
        <w:ind w:left="2138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A67AF"/>
    <w:multiLevelType w:val="multilevel"/>
    <w:tmpl w:val="FEAE257C"/>
    <w:lvl w:ilvl="0">
      <w:start w:val="1"/>
      <w:numFmt w:val="taiwaneseCountingThousand"/>
      <w:lvlText w:val="（%1）"/>
      <w:lvlJc w:val="left"/>
      <w:pPr>
        <w:ind w:left="1121" w:hanging="84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272CD"/>
    <w:multiLevelType w:val="multilevel"/>
    <w:tmpl w:val="071E7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96F725F"/>
    <w:multiLevelType w:val="multilevel"/>
    <w:tmpl w:val="E484355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31F67"/>
    <w:multiLevelType w:val="multilevel"/>
    <w:tmpl w:val="CFB612D8"/>
    <w:lvl w:ilvl="0">
      <w:start w:val="1"/>
      <w:numFmt w:val="decimal"/>
      <w:lvlText w:val="%1、"/>
      <w:lvlJc w:val="left"/>
      <w:pPr>
        <w:ind w:left="686" w:hanging="480"/>
      </w:pPr>
      <w:rPr>
        <w:rFonts w:ascii="標楷體" w:eastAsia="標楷體" w:hAnsi="標楷體" w:cs="標楷體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856E12"/>
    <w:multiLevelType w:val="multilevel"/>
    <w:tmpl w:val="0A62AF4C"/>
    <w:lvl w:ilvl="0">
      <w:start w:val="1"/>
      <w:numFmt w:val="decimal"/>
      <w:lvlText w:val="（%1）"/>
      <w:lvlJc w:val="left"/>
      <w:pPr>
        <w:ind w:left="1714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6343BA"/>
    <w:multiLevelType w:val="multilevel"/>
    <w:tmpl w:val="FF1093D0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F3D46"/>
    <w:multiLevelType w:val="multilevel"/>
    <w:tmpl w:val="C8EC9EC4"/>
    <w:lvl w:ilvl="0">
      <w:start w:val="1"/>
      <w:numFmt w:val="decimal"/>
      <w:lvlText w:val="%1、"/>
      <w:lvlJc w:val="left"/>
      <w:pPr>
        <w:ind w:left="2139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C1DF2"/>
    <w:multiLevelType w:val="multilevel"/>
    <w:tmpl w:val="E2A68384"/>
    <w:lvl w:ilvl="0">
      <w:start w:val="2"/>
      <w:numFmt w:val="taiwaneseCountingThousand"/>
      <w:lvlText w:val="（%1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9697D"/>
    <w:multiLevelType w:val="multilevel"/>
    <w:tmpl w:val="3EA24E84"/>
    <w:lvl w:ilvl="0">
      <w:start w:val="1"/>
      <w:numFmt w:val="decimal"/>
      <w:lvlText w:val="%1、"/>
      <w:lvlJc w:val="left"/>
      <w:pPr>
        <w:ind w:left="2137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85AF6"/>
    <w:multiLevelType w:val="multilevel"/>
    <w:tmpl w:val="C36CA634"/>
    <w:lvl w:ilvl="0">
      <w:start w:val="1"/>
      <w:numFmt w:val="decimal"/>
      <w:lvlText w:val="%1、"/>
      <w:lvlJc w:val="left"/>
      <w:pPr>
        <w:ind w:left="2137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A04A1"/>
    <w:multiLevelType w:val="multilevel"/>
    <w:tmpl w:val="851ABAA4"/>
    <w:lvl w:ilvl="0">
      <w:start w:val="1"/>
      <w:numFmt w:val="taiwaneseCountingThousand"/>
      <w:lvlText w:val="（%1）"/>
      <w:lvlJc w:val="left"/>
      <w:pPr>
        <w:ind w:left="1141" w:hanging="85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FB6DA6"/>
    <w:multiLevelType w:val="multilevel"/>
    <w:tmpl w:val="7256C6EE"/>
    <w:lvl w:ilvl="0">
      <w:start w:val="1"/>
      <w:numFmt w:val="taiwaneseCountingThousand"/>
      <w:lvlText w:val="（%1）"/>
      <w:lvlJc w:val="left"/>
      <w:pPr>
        <w:ind w:left="1166" w:hanging="88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0533E4"/>
    <w:multiLevelType w:val="multilevel"/>
    <w:tmpl w:val="E5544896"/>
    <w:lvl w:ilvl="0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603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3">
      <w:start w:val="1"/>
      <w:numFmt w:val="decimal"/>
      <w:lvlText w:val="%4、"/>
      <w:lvlJc w:val="left"/>
      <w:pPr>
        <w:tabs>
          <w:tab w:val="num" w:pos="709"/>
        </w:tabs>
        <w:ind w:left="244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8D10AAD"/>
    <w:multiLevelType w:val="multilevel"/>
    <w:tmpl w:val="79FE908A"/>
    <w:lvl w:ilvl="0">
      <w:start w:val="1"/>
      <w:numFmt w:val="decimal"/>
      <w:lvlText w:val="%1、"/>
      <w:lvlJc w:val="left"/>
      <w:pPr>
        <w:tabs>
          <w:tab w:val="num" w:pos="709"/>
        </w:tabs>
        <w:ind w:left="3556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124174"/>
    <w:multiLevelType w:val="multilevel"/>
    <w:tmpl w:val="93F0D75A"/>
    <w:lvl w:ilvl="0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603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3">
      <w:start w:val="1"/>
      <w:numFmt w:val="decimal"/>
      <w:lvlText w:val="%4、"/>
      <w:lvlJc w:val="left"/>
      <w:pPr>
        <w:tabs>
          <w:tab w:val="num" w:pos="709"/>
        </w:tabs>
        <w:ind w:left="244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61B40764"/>
    <w:multiLevelType w:val="multilevel"/>
    <w:tmpl w:val="750A7E1C"/>
    <w:lvl w:ilvl="0">
      <w:start w:val="1"/>
      <w:numFmt w:val="taiwaneseCountingThousand"/>
      <w:lvlText w:val="（%1）"/>
      <w:lvlJc w:val="left"/>
      <w:pPr>
        <w:ind w:left="1138" w:hanging="85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03351"/>
    <w:multiLevelType w:val="multilevel"/>
    <w:tmpl w:val="CF30FAFC"/>
    <w:lvl w:ilvl="0">
      <w:start w:val="1"/>
      <w:numFmt w:val="decimal"/>
      <w:lvlText w:val="（%1）"/>
      <w:lvlJc w:val="left"/>
      <w:pPr>
        <w:ind w:left="1711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12"/>
  </w:num>
  <w:num w:numId="17">
    <w:abstractNumId w:val="18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1"/>
    <w:rsid w:val="00037F30"/>
    <w:rsid w:val="000760B7"/>
    <w:rsid w:val="00091850"/>
    <w:rsid w:val="0009290A"/>
    <w:rsid w:val="000D4D05"/>
    <w:rsid w:val="000D7D22"/>
    <w:rsid w:val="00166401"/>
    <w:rsid w:val="00193480"/>
    <w:rsid w:val="001C32CD"/>
    <w:rsid w:val="001E1A63"/>
    <w:rsid w:val="001E44C4"/>
    <w:rsid w:val="001E7132"/>
    <w:rsid w:val="002130CC"/>
    <w:rsid w:val="003133C8"/>
    <w:rsid w:val="003A3D22"/>
    <w:rsid w:val="003F7AAA"/>
    <w:rsid w:val="00556131"/>
    <w:rsid w:val="005609A0"/>
    <w:rsid w:val="00574FAE"/>
    <w:rsid w:val="005A06A7"/>
    <w:rsid w:val="005E0C53"/>
    <w:rsid w:val="0065619F"/>
    <w:rsid w:val="006C2121"/>
    <w:rsid w:val="00767AB1"/>
    <w:rsid w:val="008456D1"/>
    <w:rsid w:val="00896A33"/>
    <w:rsid w:val="008D154C"/>
    <w:rsid w:val="008E78E0"/>
    <w:rsid w:val="0091003B"/>
    <w:rsid w:val="00996486"/>
    <w:rsid w:val="00A3286E"/>
    <w:rsid w:val="00AE076C"/>
    <w:rsid w:val="00B534AC"/>
    <w:rsid w:val="00BE4D44"/>
    <w:rsid w:val="00C22CFE"/>
    <w:rsid w:val="00C4598E"/>
    <w:rsid w:val="00C460FF"/>
    <w:rsid w:val="00C51CCB"/>
    <w:rsid w:val="00C85C0B"/>
    <w:rsid w:val="00CE5C88"/>
    <w:rsid w:val="00D01751"/>
    <w:rsid w:val="00D93BD2"/>
    <w:rsid w:val="00D97580"/>
    <w:rsid w:val="00FB4744"/>
    <w:rsid w:val="00FC0F0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6DCA"/>
  <w15:docId w15:val="{F51811A8-D8FF-43D1-8C81-AD0454D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z1">
    <w:name w:val="WW8Num3z1"/>
    <w:qFormat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標楷體" w:eastAsia="標楷體" w:hAnsi="標楷體" w:cs="Times New Roman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eastAsia="標楷體"/>
      <w:color w:val="000000"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標楷體"/>
      <w:b w:val="0"/>
      <w:i w:val="0"/>
      <w:sz w:val="28"/>
    </w:rPr>
  </w:style>
  <w:style w:type="character" w:customStyle="1" w:styleId="WW8Num29z1">
    <w:name w:val="WW8Num29z1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  <w:rPr>
      <w:rFonts w:eastAsia="標楷體"/>
      <w:color w:val="000000"/>
      <w:sz w:val="28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標楷體" w:eastAsia="標楷體" w:hAnsi="標楷體" w:cs="標楷體"/>
      <w:color w:val="000000"/>
      <w:sz w:val="2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lang w:val="en-US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標楷體" w:eastAsia="標楷體" w:hAnsi="標楷體" w:cs="Times New Roman"/>
      <w:b/>
    </w:rPr>
  </w:style>
  <w:style w:type="character" w:customStyle="1" w:styleId="WW8Num43z1">
    <w:name w:val="WW8Num43z1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標楷體" w:eastAsia="標楷體" w:hAnsi="標楷體" w:cs="Times New Roman"/>
    </w:rPr>
  </w:style>
  <w:style w:type="character" w:customStyle="1" w:styleId="WW8Num45z1">
    <w:name w:val="WW8Num45z1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主旨 字元"/>
    <w:qFormat/>
    <w:rPr>
      <w:b/>
      <w:bCs/>
      <w:kern w:val="2"/>
      <w:sz w:val="24"/>
      <w:szCs w:val="24"/>
    </w:rPr>
  </w:style>
  <w:style w:type="character" w:customStyle="1" w:styleId="30">
    <w:name w:val="標題 3 字元"/>
    <w:qFormat/>
    <w:rPr>
      <w:rFonts w:ascii="Calibri Light" w:eastAsia="新細明體;PMingLiU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qFormat/>
    <w:rPr>
      <w:rFonts w:ascii="Calibri Light" w:eastAsia="新細明體;PMingLiU" w:hAnsi="Calibri Light" w:cs="Times New Roman"/>
      <w:b/>
      <w:bCs/>
      <w:kern w:val="2"/>
      <w:sz w:val="48"/>
      <w:szCs w:val="48"/>
    </w:rPr>
  </w:style>
  <w:style w:type="character" w:customStyle="1" w:styleId="a8">
    <w:name w:val="編號字元"/>
    <w:qFormat/>
  </w:style>
  <w:style w:type="character" w:customStyle="1" w:styleId="a9">
    <w:name w:val="網際網路連結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af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Document Map"/>
    <w:basedOn w:val="a"/>
    <w:qFormat/>
    <w:pPr>
      <w:shd w:val="clear" w:color="auto" w:fill="000080"/>
    </w:pPr>
    <w:rPr>
      <w:rFonts w:ascii="Arial" w:hAnsi="Arial" w:cs="Arial"/>
    </w:rPr>
  </w:style>
  <w:style w:type="paragraph" w:styleId="af2">
    <w:name w:val="Balloon Text"/>
    <w:basedOn w:val="a"/>
    <w:qFormat/>
    <w:rPr>
      <w:rFonts w:ascii="Arial" w:hAnsi="Arial" w:cs="Arial"/>
      <w:sz w:val="18"/>
      <w:szCs w:val="18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af6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123">
    <w:name w:val="編號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jlaw.moj.gov.tw/LawContent.aspx?LSID=fl010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494</Words>
  <Characters>2816</Characters>
  <Application>Microsoft Office Word</Application>
  <DocSecurity>0</DocSecurity>
  <Lines>23</Lines>
  <Paragraphs>6</Paragraphs>
  <ScaleCrop>false</ScaleCrop>
  <Company>MIHC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○○股份有限公司</dc:title>
  <dc:subject/>
  <dc:creator>user</dc:creator>
  <cp:keywords/>
  <dc:description/>
  <cp:lastModifiedBy>張冠盈</cp:lastModifiedBy>
  <cp:revision>15</cp:revision>
  <cp:lastPrinted>2022-04-29T01:56:00Z</cp:lastPrinted>
  <dcterms:created xsi:type="dcterms:W3CDTF">2022-04-15T02:59:00Z</dcterms:created>
  <dcterms:modified xsi:type="dcterms:W3CDTF">2022-05-02T06:14:00Z</dcterms:modified>
  <dc:language>zh-TW</dc:language>
</cp:coreProperties>
</file>