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22" w:rsidRPr="00E27DEE" w:rsidRDefault="00925322" w:rsidP="00A256DC">
      <w:pPr>
        <w:rPr>
          <w:rFonts w:ascii="標楷體" w:eastAsia="標楷體" w:hAnsi="標楷體" w:cs="標楷體"/>
          <w:color w:val="000000"/>
          <w:sz w:val="32"/>
          <w:szCs w:val="32"/>
        </w:rPr>
      </w:pPr>
      <w:r>
        <w:rPr>
          <w:rFonts w:ascii="標楷體" w:eastAsia="標楷體" w:hAnsi="標楷體" w:cs="標楷體" w:hint="eastAsia"/>
          <w:color w:val="000000"/>
          <w:sz w:val="32"/>
          <w:szCs w:val="32"/>
        </w:rPr>
        <w:t>附件</w:t>
      </w:r>
      <w:r>
        <w:rPr>
          <w:rFonts w:ascii="標楷體" w:eastAsia="標楷體" w:hAnsi="標楷體" w:cs="標楷體"/>
          <w:color w:val="000000"/>
          <w:sz w:val="32"/>
          <w:szCs w:val="32"/>
        </w:rPr>
        <w:t>1</w:t>
      </w:r>
      <w:r w:rsidRPr="00E27DEE">
        <w:rPr>
          <w:rFonts w:ascii="標楷體" w:eastAsia="標楷體" w:hAnsi="標楷體" w:cs="標楷體"/>
          <w:color w:val="000000"/>
          <w:sz w:val="32"/>
          <w:szCs w:val="32"/>
        </w:rPr>
        <w:t>2</w:t>
      </w:r>
    </w:p>
    <w:p w:rsidR="00925322" w:rsidRDefault="00925322" w:rsidP="008A4910">
      <w:pPr>
        <w:pStyle w:val="Heading3"/>
        <w:shd w:val="clear" w:color="auto" w:fill="FFFFFF"/>
        <w:spacing w:before="0" w:beforeAutospacing="0" w:after="0" w:afterAutospacing="0"/>
        <w:jc w:val="center"/>
        <w:rPr>
          <w:rFonts w:ascii="標楷體" w:eastAsia="標楷體" w:hAnsi="標楷體"/>
          <w:sz w:val="32"/>
          <w:szCs w:val="32"/>
        </w:rPr>
      </w:pPr>
      <w:r w:rsidRPr="008A4910">
        <w:rPr>
          <w:rFonts w:ascii="標楷體" w:eastAsia="標楷體" w:hAnsi="標楷體" w:hint="eastAsia"/>
          <w:sz w:val="32"/>
          <w:szCs w:val="32"/>
        </w:rPr>
        <w:t>臺南市</w:t>
      </w:r>
      <w:r>
        <w:rPr>
          <w:rFonts w:ascii="標楷體" w:eastAsia="標楷體" w:hAnsi="標楷體" w:hint="eastAsia"/>
          <w:sz w:val="32"/>
          <w:szCs w:val="32"/>
        </w:rPr>
        <w:t>政府消防局</w:t>
      </w:r>
    </w:p>
    <w:p w:rsidR="00925322" w:rsidRPr="008A4910" w:rsidRDefault="00925322" w:rsidP="008A4910">
      <w:pPr>
        <w:pStyle w:val="Heading3"/>
        <w:shd w:val="clear" w:color="auto" w:fill="FFFFFF"/>
        <w:spacing w:before="0" w:beforeAutospacing="0" w:after="0" w:afterAutospacing="0"/>
        <w:jc w:val="center"/>
        <w:rPr>
          <w:rFonts w:ascii="標楷體" w:eastAsia="標楷體" w:hAnsi="標楷體" w:cs="Arial"/>
          <w:b w:val="0"/>
          <w:bCs w:val="0"/>
          <w:color w:val="1F8389"/>
          <w:sz w:val="32"/>
          <w:szCs w:val="32"/>
        </w:rPr>
      </w:pPr>
      <w:r w:rsidRPr="008A4910">
        <w:rPr>
          <w:rFonts w:ascii="標楷體" w:eastAsia="標楷體" w:hAnsi="標楷體" w:hint="eastAsia"/>
          <w:sz w:val="32"/>
          <w:szCs w:val="32"/>
        </w:rPr>
        <w:t>一氧化碳中毒潛勢居家燃氣熱水器遷移或更新補助自主檢核表</w:t>
      </w:r>
    </w:p>
    <w:p w:rsidR="00925322" w:rsidRPr="00FF450B" w:rsidRDefault="00925322" w:rsidP="003A7143">
      <w:pPr>
        <w:rPr>
          <w:rFonts w:ascii="標楷體" w:eastAsia="標楷體" w:hAnsi="標楷體" w:cs="標楷體"/>
          <w:color w:val="000000"/>
          <w:sz w:val="28"/>
          <w:szCs w:val="28"/>
        </w:rPr>
      </w:pPr>
      <w:r>
        <w:rPr>
          <w:rFonts w:ascii="標楷體" w:eastAsia="標楷體" w:hAnsi="標楷體" w:cs="標楷體" w:hint="eastAsia"/>
          <w:color w:val="000000"/>
          <w:sz w:val="28"/>
          <w:szCs w:val="28"/>
        </w:rPr>
        <w:t>辦理單位</w:t>
      </w:r>
      <w:r>
        <w:rPr>
          <w:rFonts w:ascii="新細明體" w:hAnsi="新細明體" w:cs="標楷體" w:hint="eastAsia"/>
          <w:color w:val="000000"/>
          <w:sz w:val="28"/>
          <w:szCs w:val="28"/>
        </w:rPr>
        <w:t>：</w:t>
      </w:r>
      <w:r>
        <w:rPr>
          <w:rFonts w:ascii="新細明體" w:hAnsi="新細明體" w:cs="標楷體"/>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9"/>
        <w:gridCol w:w="1079"/>
        <w:gridCol w:w="1188"/>
      </w:tblGrid>
      <w:tr w:rsidR="00925322" w:rsidRPr="001347B6" w:rsidTr="006D1C74">
        <w:trPr>
          <w:trHeight w:val="284"/>
        </w:trPr>
        <w:tc>
          <w:tcPr>
            <w:tcW w:w="3899" w:type="pct"/>
            <w:vMerge w:val="restart"/>
            <w:vAlign w:val="center"/>
          </w:tcPr>
          <w:p w:rsidR="00925322" w:rsidRPr="001347B6" w:rsidRDefault="00925322" w:rsidP="001347B6">
            <w:pPr>
              <w:jc w:val="center"/>
              <w:rPr>
                <w:rFonts w:ascii="標楷體" w:eastAsia="標楷體" w:hAnsi="標楷體"/>
                <w:sz w:val="28"/>
                <w:szCs w:val="28"/>
              </w:rPr>
            </w:pPr>
            <w:r w:rsidRPr="001347B6">
              <w:rPr>
                <w:rFonts w:ascii="標楷體" w:eastAsia="標楷體" w:hAnsi="標楷體" w:hint="eastAsia"/>
                <w:sz w:val="28"/>
                <w:szCs w:val="28"/>
              </w:rPr>
              <w:t>檢核項目</w:t>
            </w:r>
          </w:p>
        </w:tc>
        <w:tc>
          <w:tcPr>
            <w:tcW w:w="1101" w:type="pct"/>
            <w:gridSpan w:val="2"/>
            <w:vAlign w:val="center"/>
          </w:tcPr>
          <w:p w:rsidR="00925322" w:rsidRPr="001347B6" w:rsidRDefault="00925322" w:rsidP="001347B6">
            <w:pPr>
              <w:jc w:val="center"/>
              <w:rPr>
                <w:rFonts w:ascii="標楷體" w:eastAsia="標楷體" w:hAnsi="標楷體"/>
                <w:sz w:val="28"/>
                <w:szCs w:val="28"/>
              </w:rPr>
            </w:pPr>
            <w:r w:rsidRPr="001347B6">
              <w:rPr>
                <w:rFonts w:ascii="標楷體" w:eastAsia="標楷體" w:hAnsi="標楷體" w:hint="eastAsia"/>
                <w:sz w:val="28"/>
                <w:szCs w:val="28"/>
              </w:rPr>
              <w:t>檢核結果</w:t>
            </w:r>
          </w:p>
        </w:tc>
      </w:tr>
      <w:tr w:rsidR="00925322" w:rsidRPr="001347B6" w:rsidTr="006D1C74">
        <w:trPr>
          <w:trHeight w:val="284"/>
        </w:trPr>
        <w:tc>
          <w:tcPr>
            <w:tcW w:w="3899" w:type="pct"/>
            <w:vMerge/>
            <w:vAlign w:val="center"/>
          </w:tcPr>
          <w:p w:rsidR="00925322" w:rsidRPr="001347B6" w:rsidRDefault="00925322" w:rsidP="001347B6">
            <w:pPr>
              <w:spacing w:line="460" w:lineRule="exact"/>
              <w:jc w:val="center"/>
              <w:rPr>
                <w:rFonts w:ascii="標楷體" w:eastAsia="標楷體" w:hAnsi="標楷體"/>
                <w:sz w:val="28"/>
                <w:szCs w:val="28"/>
              </w:rPr>
            </w:pPr>
          </w:p>
        </w:tc>
        <w:tc>
          <w:tcPr>
            <w:tcW w:w="524" w:type="pct"/>
            <w:vAlign w:val="center"/>
          </w:tcPr>
          <w:p w:rsidR="00925322" w:rsidRPr="001347B6" w:rsidRDefault="00925322" w:rsidP="001347B6">
            <w:pPr>
              <w:jc w:val="center"/>
              <w:rPr>
                <w:rFonts w:ascii="標楷體" w:eastAsia="標楷體" w:hAnsi="標楷體"/>
                <w:sz w:val="28"/>
                <w:szCs w:val="28"/>
              </w:rPr>
            </w:pPr>
            <w:r w:rsidRPr="001347B6">
              <w:rPr>
                <w:rFonts w:ascii="標楷體" w:eastAsia="標楷體" w:hAnsi="標楷體" w:hint="eastAsia"/>
                <w:sz w:val="28"/>
                <w:szCs w:val="28"/>
              </w:rPr>
              <w:t>符合</w:t>
            </w:r>
          </w:p>
        </w:tc>
        <w:tc>
          <w:tcPr>
            <w:tcW w:w="577" w:type="pct"/>
            <w:vAlign w:val="center"/>
          </w:tcPr>
          <w:p w:rsidR="00925322" w:rsidRPr="001347B6" w:rsidRDefault="00925322" w:rsidP="001347B6">
            <w:pPr>
              <w:jc w:val="center"/>
              <w:rPr>
                <w:rFonts w:ascii="標楷體" w:eastAsia="標楷體" w:hAnsi="標楷體"/>
                <w:sz w:val="28"/>
                <w:szCs w:val="28"/>
              </w:rPr>
            </w:pPr>
            <w:r w:rsidRPr="001347B6">
              <w:rPr>
                <w:rFonts w:ascii="標楷體" w:eastAsia="標楷體" w:hAnsi="標楷體" w:hint="eastAsia"/>
                <w:sz w:val="28"/>
                <w:szCs w:val="28"/>
              </w:rPr>
              <w:t>不符合</w:t>
            </w:r>
          </w:p>
        </w:tc>
      </w:tr>
      <w:tr w:rsidR="00925322" w:rsidRPr="001347B6" w:rsidTr="006D1C74">
        <w:trPr>
          <w:trHeight w:val="675"/>
        </w:trPr>
        <w:tc>
          <w:tcPr>
            <w:tcW w:w="3899" w:type="pct"/>
            <w:vAlign w:val="center"/>
          </w:tcPr>
          <w:p w:rsidR="00925322" w:rsidRPr="00D80B64" w:rsidRDefault="00925322" w:rsidP="001347B6">
            <w:pPr>
              <w:spacing w:line="460" w:lineRule="exact"/>
              <w:rPr>
                <w:rFonts w:ascii="標楷體" w:eastAsia="標楷體" w:hAnsi="標楷體"/>
                <w:color w:val="000000"/>
                <w:sz w:val="28"/>
                <w:szCs w:val="28"/>
              </w:rPr>
            </w:pPr>
            <w:r w:rsidRPr="00D80B64">
              <w:rPr>
                <w:rFonts w:ascii="標楷體" w:eastAsia="標楷體" w:hAnsi="標楷體" w:hint="eastAsia"/>
                <w:color w:val="000000"/>
                <w:sz w:val="28"/>
                <w:szCs w:val="28"/>
              </w:rPr>
              <w:t>一、具有燃氣熱水器安裝不當之情形。</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60"/>
        </w:trPr>
        <w:tc>
          <w:tcPr>
            <w:tcW w:w="3899" w:type="pct"/>
            <w:vAlign w:val="center"/>
          </w:tcPr>
          <w:p w:rsidR="00925322" w:rsidRPr="00D80B64" w:rsidRDefault="00925322" w:rsidP="001347B6">
            <w:pPr>
              <w:spacing w:line="460" w:lineRule="exact"/>
              <w:ind w:left="566" w:hangingChars="202" w:hanging="566"/>
              <w:rPr>
                <w:rFonts w:ascii="標楷體" w:eastAsia="標楷體" w:hAnsi="標楷體"/>
                <w:color w:val="000000"/>
                <w:sz w:val="28"/>
                <w:szCs w:val="28"/>
              </w:rPr>
            </w:pPr>
            <w:r w:rsidRPr="00D80B64">
              <w:rPr>
                <w:rFonts w:ascii="標楷體" w:eastAsia="標楷體" w:hAnsi="標楷體" w:hint="eastAsia"/>
                <w:color w:val="000000"/>
                <w:sz w:val="28"/>
                <w:szCs w:val="28"/>
              </w:rPr>
              <w:t>二、受補助人或受補助地址未與歷年重複。</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60"/>
        </w:trPr>
        <w:tc>
          <w:tcPr>
            <w:tcW w:w="3899" w:type="pct"/>
            <w:vAlign w:val="center"/>
          </w:tcPr>
          <w:p w:rsidR="00925322" w:rsidRPr="00D80B64" w:rsidRDefault="00925322" w:rsidP="001347B6">
            <w:pPr>
              <w:spacing w:line="460" w:lineRule="exact"/>
              <w:ind w:leftChars="1" w:left="568" w:hangingChars="202" w:hanging="566"/>
              <w:rPr>
                <w:rFonts w:ascii="標楷體" w:eastAsia="標楷體" w:hAnsi="標楷體"/>
                <w:color w:val="000000"/>
                <w:sz w:val="28"/>
                <w:szCs w:val="28"/>
              </w:rPr>
            </w:pPr>
            <w:r w:rsidRPr="00D80B64">
              <w:rPr>
                <w:rFonts w:ascii="標楷體" w:eastAsia="標楷體" w:hAnsi="標楷體" w:hint="eastAsia"/>
                <w:color w:val="000000"/>
                <w:sz w:val="28"/>
                <w:szCs w:val="28"/>
              </w:rPr>
              <w:t>三、填具「一氧化碳中毒潛勢場所訪視情形紀錄表」。</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517"/>
        </w:trPr>
        <w:tc>
          <w:tcPr>
            <w:tcW w:w="3899" w:type="pct"/>
            <w:vAlign w:val="center"/>
          </w:tcPr>
          <w:p w:rsidR="00925322" w:rsidRPr="00D80B64" w:rsidRDefault="00925322" w:rsidP="001347B6">
            <w:pPr>
              <w:spacing w:line="460" w:lineRule="exact"/>
              <w:ind w:leftChars="1" w:left="568" w:hangingChars="202" w:hanging="566"/>
              <w:rPr>
                <w:rFonts w:ascii="標楷體" w:eastAsia="標楷體" w:hAnsi="標楷體"/>
                <w:color w:val="000000"/>
                <w:sz w:val="28"/>
                <w:szCs w:val="28"/>
              </w:rPr>
            </w:pPr>
            <w:r w:rsidRPr="00D80B64">
              <w:rPr>
                <w:rFonts w:ascii="標楷體" w:eastAsia="標楷體" w:hAnsi="標楷體" w:hint="eastAsia"/>
                <w:color w:val="000000"/>
                <w:sz w:val="28"/>
                <w:szCs w:val="28"/>
              </w:rPr>
              <w:t>四、填具「竣工紀錄表」。</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五、檢附施工前、施工中及施工後竣工之彩色照片。</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六、檢附發票或收據。</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七、檢具燃氣熱水器遷移或更換補助款項領據。</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八、受補助人身分證正反面影本。</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九、申請民眾之銀行或郵局存摺影本。</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680"/>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十、申請民眾為低收入戶應檢附區公所證明文件。</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1107"/>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十一、受補助地址之房屋為租賃關係，倘申請人為承租人應檢附「租賃契約及佐證屋主同意安裝證明」。</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r w:rsidR="00925322" w:rsidRPr="001347B6" w:rsidTr="006D1C74">
        <w:trPr>
          <w:trHeight w:val="1107"/>
        </w:trPr>
        <w:tc>
          <w:tcPr>
            <w:tcW w:w="3899" w:type="pct"/>
            <w:vAlign w:val="center"/>
          </w:tcPr>
          <w:p w:rsidR="00925322" w:rsidRPr="00D80B64" w:rsidRDefault="00925322" w:rsidP="005A4AD2">
            <w:pPr>
              <w:spacing w:line="460" w:lineRule="exact"/>
              <w:ind w:left="538" w:hangingChars="192" w:hanging="538"/>
              <w:rPr>
                <w:rFonts w:ascii="標楷體" w:eastAsia="標楷體" w:hAnsi="標楷體"/>
                <w:color w:val="000000"/>
                <w:sz w:val="28"/>
                <w:szCs w:val="28"/>
              </w:rPr>
            </w:pPr>
            <w:r w:rsidRPr="00D80B64">
              <w:rPr>
                <w:rFonts w:ascii="標楷體" w:eastAsia="標楷體" w:hAnsi="標楷體" w:hint="eastAsia"/>
                <w:color w:val="000000"/>
                <w:sz w:val="28"/>
                <w:szCs w:val="28"/>
              </w:rPr>
              <w:t>十二、具有公職人員利益衝突迴避法第</w:t>
            </w:r>
            <w:r w:rsidRPr="00D80B64">
              <w:rPr>
                <w:rFonts w:ascii="標楷體" w:eastAsia="標楷體" w:hAnsi="標楷體"/>
                <w:color w:val="000000"/>
                <w:sz w:val="28"/>
                <w:szCs w:val="28"/>
              </w:rPr>
              <w:t>2</w:t>
            </w:r>
            <w:r w:rsidRPr="00D80B64">
              <w:rPr>
                <w:rFonts w:ascii="標楷體" w:eastAsia="標楷體" w:hAnsi="標楷體" w:hint="eastAsia"/>
                <w:color w:val="000000"/>
                <w:sz w:val="28"/>
                <w:szCs w:val="28"/>
              </w:rPr>
              <w:t>條及第</w:t>
            </w:r>
            <w:r w:rsidRPr="00D80B64">
              <w:rPr>
                <w:rFonts w:ascii="標楷體" w:eastAsia="標楷體" w:hAnsi="標楷體"/>
                <w:color w:val="000000"/>
                <w:sz w:val="28"/>
                <w:szCs w:val="28"/>
              </w:rPr>
              <w:t>3</w:t>
            </w:r>
            <w:r w:rsidRPr="00D80B64">
              <w:rPr>
                <w:rFonts w:ascii="標楷體" w:eastAsia="標楷體" w:hAnsi="標楷體" w:hint="eastAsia"/>
                <w:color w:val="000000"/>
                <w:sz w:val="28"/>
                <w:szCs w:val="28"/>
              </w:rPr>
              <w:t>條之情形，填具「公職人員及關係人身分關係揭露表」。</w:t>
            </w:r>
          </w:p>
        </w:tc>
        <w:tc>
          <w:tcPr>
            <w:tcW w:w="524" w:type="pct"/>
          </w:tcPr>
          <w:p w:rsidR="00925322" w:rsidRPr="001347B6" w:rsidRDefault="00925322" w:rsidP="00211C76">
            <w:pPr>
              <w:jc w:val="center"/>
              <w:rPr>
                <w:rFonts w:ascii="標楷體" w:eastAsia="標楷體" w:hAnsi="標楷體"/>
                <w:sz w:val="28"/>
                <w:szCs w:val="28"/>
              </w:rPr>
            </w:pPr>
          </w:p>
        </w:tc>
        <w:tc>
          <w:tcPr>
            <w:tcW w:w="577" w:type="pct"/>
          </w:tcPr>
          <w:p w:rsidR="00925322" w:rsidRPr="001347B6" w:rsidRDefault="00925322" w:rsidP="00211C76">
            <w:pPr>
              <w:jc w:val="center"/>
              <w:rPr>
                <w:rFonts w:ascii="標楷體" w:eastAsia="標楷體" w:hAnsi="標楷體"/>
                <w:sz w:val="28"/>
                <w:szCs w:val="28"/>
              </w:rPr>
            </w:pPr>
          </w:p>
        </w:tc>
      </w:tr>
    </w:tbl>
    <w:p w:rsidR="00925322" w:rsidRPr="00211C76" w:rsidRDefault="00925322" w:rsidP="003A7143">
      <w:pPr>
        <w:rPr>
          <w:sz w:val="28"/>
          <w:szCs w:val="28"/>
        </w:rPr>
      </w:pPr>
    </w:p>
    <w:p w:rsidR="00925322" w:rsidRDefault="00925322" w:rsidP="00DF2AA0">
      <w:pPr>
        <w:spacing w:line="240" w:lineRule="atLeast"/>
        <w:rPr>
          <w:rFonts w:ascii="標楷體" w:eastAsia="標楷體" w:hAnsi="標楷體"/>
          <w:sz w:val="28"/>
          <w:szCs w:val="28"/>
        </w:rPr>
      </w:pPr>
      <w:r>
        <w:rPr>
          <w:rFonts w:ascii="標楷體" w:eastAsia="標楷體" w:hAnsi="標楷體" w:hint="eastAsia"/>
          <w:sz w:val="28"/>
          <w:szCs w:val="28"/>
        </w:rPr>
        <w:t>檢核人員</w:t>
      </w:r>
      <w:r w:rsidRPr="00FF450B">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Cs w:val="24"/>
        </w:rPr>
        <w:t>（辦理單位</w:t>
      </w:r>
      <w:r w:rsidRPr="00FF450B">
        <w:rPr>
          <w:rFonts w:ascii="標楷體" w:eastAsia="標楷體" w:hAnsi="標楷體" w:hint="eastAsia"/>
          <w:szCs w:val="24"/>
        </w:rPr>
        <w:t>人員）</w:t>
      </w:r>
      <w:r>
        <w:rPr>
          <w:rFonts w:ascii="標楷體" w:eastAsia="標楷體" w:hAnsi="標楷體"/>
          <w:szCs w:val="24"/>
        </w:rPr>
        <w:t xml:space="preserve">   </w:t>
      </w:r>
      <w:r>
        <w:rPr>
          <w:rFonts w:ascii="標楷體" w:eastAsia="標楷體" w:hAnsi="標楷體"/>
          <w:sz w:val="28"/>
          <w:szCs w:val="28"/>
        </w:rPr>
        <w:t xml:space="preserve"> </w:t>
      </w:r>
      <w:r>
        <w:rPr>
          <w:rFonts w:ascii="標楷體" w:eastAsia="標楷體" w:hAnsi="標楷體" w:hint="eastAsia"/>
          <w:sz w:val="28"/>
          <w:szCs w:val="28"/>
        </w:rPr>
        <w:t>複核人員</w:t>
      </w:r>
      <w:r w:rsidRPr="00FF450B">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Cs w:val="24"/>
        </w:rPr>
        <w:t>（業務單位</w:t>
      </w:r>
      <w:r w:rsidRPr="00FF450B">
        <w:rPr>
          <w:rFonts w:ascii="標楷體" w:eastAsia="標楷體" w:hAnsi="標楷體" w:hint="eastAsia"/>
          <w:szCs w:val="24"/>
        </w:rPr>
        <w:t>人員）</w:t>
      </w:r>
    </w:p>
    <w:p w:rsidR="00925322" w:rsidRPr="005A4AD2" w:rsidRDefault="00925322" w:rsidP="00DF2AA0">
      <w:pPr>
        <w:spacing w:line="240" w:lineRule="atLeast"/>
        <w:rPr>
          <w:rFonts w:ascii="標楷體" w:eastAsia="標楷體" w:hAnsi="標楷體"/>
          <w:sz w:val="28"/>
          <w:szCs w:val="28"/>
        </w:rPr>
      </w:pPr>
      <w:r>
        <w:rPr>
          <w:rFonts w:ascii="標楷體" w:eastAsia="標楷體" w:hAnsi="標楷體"/>
          <w:szCs w:val="24"/>
        </w:rPr>
        <w:t xml:space="preserve">  </w:t>
      </w:r>
    </w:p>
    <w:sectPr w:rsidR="00925322" w:rsidRPr="005A4AD2" w:rsidSect="008A4910">
      <w:pgSz w:w="11906" w:h="16838"/>
      <w:pgMar w:top="719" w:right="926" w:bottom="5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22" w:rsidRDefault="00925322" w:rsidP="00A24579">
      <w:r>
        <w:separator/>
      </w:r>
    </w:p>
  </w:endnote>
  <w:endnote w:type="continuationSeparator" w:id="0">
    <w:p w:rsidR="00925322" w:rsidRDefault="00925322" w:rsidP="00A24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22" w:rsidRDefault="00925322" w:rsidP="00A24579">
      <w:r>
        <w:separator/>
      </w:r>
    </w:p>
  </w:footnote>
  <w:footnote w:type="continuationSeparator" w:id="0">
    <w:p w:rsidR="00925322" w:rsidRDefault="00925322" w:rsidP="00A24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143"/>
    <w:rsid w:val="000B22AA"/>
    <w:rsid w:val="001347B6"/>
    <w:rsid w:val="00211C76"/>
    <w:rsid w:val="00211FB0"/>
    <w:rsid w:val="00212849"/>
    <w:rsid w:val="002560EA"/>
    <w:rsid w:val="00275693"/>
    <w:rsid w:val="00282215"/>
    <w:rsid w:val="002C1C6C"/>
    <w:rsid w:val="002E3A46"/>
    <w:rsid w:val="002F28F6"/>
    <w:rsid w:val="002F2CB1"/>
    <w:rsid w:val="0039253C"/>
    <w:rsid w:val="003A2689"/>
    <w:rsid w:val="003A7143"/>
    <w:rsid w:val="003B3CB5"/>
    <w:rsid w:val="003E09E6"/>
    <w:rsid w:val="004137E5"/>
    <w:rsid w:val="00436F1A"/>
    <w:rsid w:val="00497A5C"/>
    <w:rsid w:val="004B30D5"/>
    <w:rsid w:val="004C0F2E"/>
    <w:rsid w:val="004D5872"/>
    <w:rsid w:val="00585822"/>
    <w:rsid w:val="005A4AD2"/>
    <w:rsid w:val="005B672E"/>
    <w:rsid w:val="00670EFB"/>
    <w:rsid w:val="006D1C74"/>
    <w:rsid w:val="0071216F"/>
    <w:rsid w:val="007B59D9"/>
    <w:rsid w:val="007C6DCE"/>
    <w:rsid w:val="007C733C"/>
    <w:rsid w:val="007E4C8C"/>
    <w:rsid w:val="00810E3D"/>
    <w:rsid w:val="00854BDC"/>
    <w:rsid w:val="00897713"/>
    <w:rsid w:val="008A4910"/>
    <w:rsid w:val="008D0247"/>
    <w:rsid w:val="009116C8"/>
    <w:rsid w:val="00925322"/>
    <w:rsid w:val="009257A7"/>
    <w:rsid w:val="00937BF0"/>
    <w:rsid w:val="00947AA4"/>
    <w:rsid w:val="00977699"/>
    <w:rsid w:val="00984621"/>
    <w:rsid w:val="009D24BC"/>
    <w:rsid w:val="00A16BA3"/>
    <w:rsid w:val="00A24579"/>
    <w:rsid w:val="00A256DC"/>
    <w:rsid w:val="00A365BD"/>
    <w:rsid w:val="00A54CF4"/>
    <w:rsid w:val="00A64BC7"/>
    <w:rsid w:val="00A64C07"/>
    <w:rsid w:val="00A71BA2"/>
    <w:rsid w:val="00A86DBA"/>
    <w:rsid w:val="00B178DC"/>
    <w:rsid w:val="00B73BFD"/>
    <w:rsid w:val="00BB250E"/>
    <w:rsid w:val="00BE46D3"/>
    <w:rsid w:val="00C04429"/>
    <w:rsid w:val="00C0577F"/>
    <w:rsid w:val="00C56958"/>
    <w:rsid w:val="00C71C81"/>
    <w:rsid w:val="00C92ECF"/>
    <w:rsid w:val="00CB78A2"/>
    <w:rsid w:val="00CC3172"/>
    <w:rsid w:val="00CD0653"/>
    <w:rsid w:val="00CE26EB"/>
    <w:rsid w:val="00CE7FAC"/>
    <w:rsid w:val="00CF0DA4"/>
    <w:rsid w:val="00CF3132"/>
    <w:rsid w:val="00D021F5"/>
    <w:rsid w:val="00D80B64"/>
    <w:rsid w:val="00DE1D1C"/>
    <w:rsid w:val="00DF2AA0"/>
    <w:rsid w:val="00E0113E"/>
    <w:rsid w:val="00E258F5"/>
    <w:rsid w:val="00E27DEE"/>
    <w:rsid w:val="00E323D2"/>
    <w:rsid w:val="00E35E89"/>
    <w:rsid w:val="00E60374"/>
    <w:rsid w:val="00E717D5"/>
    <w:rsid w:val="00E721CA"/>
    <w:rsid w:val="00EA367E"/>
    <w:rsid w:val="00EA51D7"/>
    <w:rsid w:val="00EA77CB"/>
    <w:rsid w:val="00FF45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8C"/>
    <w:pPr>
      <w:widowControl w:val="0"/>
    </w:pPr>
  </w:style>
  <w:style w:type="paragraph" w:styleId="Heading3">
    <w:name w:val="heading 3"/>
    <w:basedOn w:val="Normal"/>
    <w:link w:val="Heading3Char"/>
    <w:uiPriority w:val="99"/>
    <w:qFormat/>
    <w:locked/>
    <w:rsid w:val="008A4910"/>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eastAsia="新細明體" w:hAnsi="Cambria" w:cs="Times New Roman"/>
      <w:b/>
      <w:bCs/>
      <w:sz w:val="36"/>
      <w:szCs w:val="36"/>
    </w:rPr>
  </w:style>
  <w:style w:type="table" w:styleId="TableGrid">
    <w:name w:val="Table Grid"/>
    <w:basedOn w:val="TableNormal"/>
    <w:uiPriority w:val="99"/>
    <w:rsid w:val="003A71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45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24579"/>
    <w:rPr>
      <w:rFonts w:cs="Times New Roman"/>
      <w:sz w:val="20"/>
      <w:szCs w:val="20"/>
    </w:rPr>
  </w:style>
  <w:style w:type="paragraph" w:styleId="Footer">
    <w:name w:val="footer"/>
    <w:basedOn w:val="Normal"/>
    <w:link w:val="FooterChar"/>
    <w:uiPriority w:val="99"/>
    <w:rsid w:val="00A2457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24579"/>
    <w:rPr>
      <w:rFonts w:cs="Times New Roman"/>
      <w:sz w:val="20"/>
      <w:szCs w:val="20"/>
    </w:rPr>
  </w:style>
  <w:style w:type="paragraph" w:styleId="BalloonText">
    <w:name w:val="Balloon Text"/>
    <w:basedOn w:val="Normal"/>
    <w:link w:val="BalloonTextChar"/>
    <w:uiPriority w:val="99"/>
    <w:semiHidden/>
    <w:rsid w:val="00275693"/>
    <w:rPr>
      <w:rFonts w:ascii="Arial" w:hAnsi="Arial"/>
      <w:sz w:val="18"/>
      <w:szCs w:val="18"/>
    </w:rPr>
  </w:style>
  <w:style w:type="character" w:customStyle="1" w:styleId="BalloonTextChar">
    <w:name w:val="Balloon Text Char"/>
    <w:basedOn w:val="DefaultParagraphFont"/>
    <w:link w:val="BalloonText"/>
    <w:uiPriority w:val="99"/>
    <w:semiHidden/>
    <w:locked/>
    <w:rsid w:val="00977699"/>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divs>
    <w:div w:id="194814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Pages>
  <Words>70</Words>
  <Characters>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臺南市政府消防局受理民眾舉發違反消防法第十五條案件舉發獎金發放檢核表</dc:title>
  <dc:subject/>
  <dc:creator>aac2068</dc:creator>
  <cp:keywords/>
  <dc:description/>
  <cp:lastModifiedBy>TNCFD</cp:lastModifiedBy>
  <cp:revision>21</cp:revision>
  <cp:lastPrinted>2021-06-18T00:50:00Z</cp:lastPrinted>
  <dcterms:created xsi:type="dcterms:W3CDTF">2021-06-15T06:00:00Z</dcterms:created>
  <dcterms:modified xsi:type="dcterms:W3CDTF">2023-07-04T03:16:00Z</dcterms:modified>
</cp:coreProperties>
</file>