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81" w:rsidRPr="00CC6D26" w:rsidRDefault="00AA2C1F" w:rsidP="00A00A7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C6D2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C6D26">
        <w:rPr>
          <w:rFonts w:ascii="標楷體" w:eastAsia="標楷體" w:hAnsi="標楷體"/>
          <w:b/>
          <w:sz w:val="32"/>
          <w:szCs w:val="32"/>
        </w:rPr>
        <w:t>南市</w:t>
      </w:r>
      <w:r w:rsidRPr="00CC6D26">
        <w:rPr>
          <w:rFonts w:ascii="標楷體" w:eastAsia="標楷體" w:hAnsi="標楷體" w:hint="eastAsia"/>
          <w:b/>
          <w:sz w:val="32"/>
          <w:szCs w:val="32"/>
        </w:rPr>
        <w:t>政</w:t>
      </w:r>
      <w:r w:rsidRPr="00CC6D26">
        <w:rPr>
          <w:rFonts w:ascii="標楷體" w:eastAsia="標楷體" w:hAnsi="標楷體"/>
          <w:b/>
          <w:sz w:val="32"/>
          <w:szCs w:val="32"/>
        </w:rPr>
        <w:t>府</w:t>
      </w:r>
      <w:r w:rsidR="00166B20" w:rsidRPr="00CC6D26">
        <w:rPr>
          <w:rFonts w:ascii="標楷體" w:eastAsia="標楷體" w:hAnsi="標楷體" w:hint="eastAsia"/>
          <w:b/>
          <w:sz w:val="32"/>
          <w:szCs w:val="32"/>
        </w:rPr>
        <w:t>兒童及少年保護</w:t>
      </w:r>
      <w:r w:rsidR="00C35795" w:rsidRPr="00CC6D26">
        <w:rPr>
          <w:rFonts w:ascii="標楷體" w:eastAsia="標楷體" w:hAnsi="標楷體" w:hint="eastAsia"/>
          <w:b/>
          <w:sz w:val="32"/>
          <w:szCs w:val="32"/>
        </w:rPr>
        <w:t>一般</w:t>
      </w:r>
      <w:r w:rsidRPr="00CC6D26">
        <w:rPr>
          <w:rFonts w:ascii="標楷體" w:eastAsia="標楷體" w:hAnsi="標楷體"/>
          <w:b/>
          <w:sz w:val="32"/>
          <w:szCs w:val="32"/>
        </w:rPr>
        <w:t>性親職教育</w:t>
      </w:r>
      <w:r w:rsidRPr="00CC6D26">
        <w:rPr>
          <w:rFonts w:ascii="標楷體" w:eastAsia="標楷體" w:hAnsi="標楷體" w:hint="eastAsia"/>
          <w:b/>
          <w:sz w:val="32"/>
          <w:szCs w:val="32"/>
        </w:rPr>
        <w:t>評</w:t>
      </w:r>
      <w:r w:rsidRPr="00CC6D26">
        <w:rPr>
          <w:rFonts w:ascii="標楷體" w:eastAsia="標楷體" w:hAnsi="標楷體"/>
          <w:b/>
          <w:sz w:val="32"/>
          <w:szCs w:val="32"/>
        </w:rPr>
        <w:t>估表</w:t>
      </w:r>
    </w:p>
    <w:p w:rsidR="001A1BAD" w:rsidRPr="00CC6D26" w:rsidRDefault="001A1BAD" w:rsidP="001A1BAD">
      <w:pPr>
        <w:rPr>
          <w:rFonts w:ascii="標楷體" w:eastAsia="標楷體" w:hAnsi="標楷體"/>
          <w:b/>
          <w:sz w:val="28"/>
          <w:szCs w:val="28"/>
        </w:rPr>
      </w:pPr>
      <w:r w:rsidRPr="00CC6D26">
        <w:rPr>
          <w:rFonts w:ascii="標楷體" w:eastAsia="標楷體" w:hAnsi="標楷體" w:hint="eastAsia"/>
          <w:b/>
          <w:sz w:val="28"/>
          <w:szCs w:val="28"/>
        </w:rPr>
        <w:t>一、</w:t>
      </w:r>
      <w:r w:rsidR="006F4106" w:rsidRPr="00CC6D26">
        <w:rPr>
          <w:rFonts w:ascii="標楷體" w:eastAsia="標楷體" w:hAnsi="標楷體" w:hint="eastAsia"/>
          <w:b/>
          <w:sz w:val="28"/>
          <w:szCs w:val="28"/>
        </w:rPr>
        <w:t>本案概況及社工處遇摘要</w:t>
      </w:r>
      <w:r w:rsidR="009F0D5D" w:rsidRPr="00CC6D2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CC6D26" w:rsidRPr="00CC6D26" w:rsidTr="006F4106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A1BAD" w:rsidRPr="00CC6D26" w:rsidRDefault="006F4106" w:rsidP="00AE1F2A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C6D26">
              <w:rPr>
                <w:rFonts w:ascii="標楷體" w:eastAsia="標楷體" w:hAnsi="標楷體" w:hint="eastAsia"/>
                <w:b/>
                <w:sz w:val="28"/>
              </w:rPr>
              <w:t>第一</w:t>
            </w:r>
            <w:r w:rsidRPr="00CC6D26">
              <w:rPr>
                <w:rFonts w:ascii="標楷體" w:eastAsia="標楷體" w:hAnsi="標楷體"/>
                <w:b/>
                <w:sz w:val="28"/>
              </w:rPr>
              <w:t>部</w:t>
            </w:r>
            <w:r w:rsidRPr="00CC6D26">
              <w:rPr>
                <w:rFonts w:ascii="標楷體" w:eastAsia="標楷體" w:hAnsi="標楷體" w:hint="eastAsia"/>
                <w:b/>
                <w:sz w:val="28"/>
              </w:rPr>
              <w:t>份：</w:t>
            </w:r>
            <w:r w:rsidR="001D36D0" w:rsidRPr="00CC6D26">
              <w:rPr>
                <w:rFonts w:ascii="Times New Roman" w:eastAsia="標楷體" w:hAnsi="Times New Roman" w:cs="Times New Roman"/>
                <w:b/>
                <w:sz w:val="28"/>
              </w:rPr>
              <w:t>家</w:t>
            </w:r>
            <w:r w:rsidR="001D36D0" w:rsidRPr="00CC6D26">
              <w:rPr>
                <w:rFonts w:ascii="Times New Roman" w:eastAsia="標楷體" w:hAnsi="Times New Roman" w:cs="Times New Roman" w:hint="eastAsia"/>
                <w:b/>
                <w:sz w:val="28"/>
              </w:rPr>
              <w:t>庭概況</w:t>
            </w:r>
          </w:p>
        </w:tc>
      </w:tr>
      <w:tr w:rsidR="00CC6D26" w:rsidRPr="00CC6D26" w:rsidTr="00AE1F2A">
        <w:trPr>
          <w:trHeight w:val="4470"/>
        </w:trPr>
        <w:tc>
          <w:tcPr>
            <w:tcW w:w="5000" w:type="pct"/>
          </w:tcPr>
          <w:p w:rsidR="001A1BAD" w:rsidRPr="00CC6D26" w:rsidRDefault="001D36D0" w:rsidP="001D36D0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（一）</w:t>
            </w:r>
            <w:proofErr w:type="gramStart"/>
            <w:r w:rsidRPr="00CC6D26">
              <w:rPr>
                <w:rFonts w:ascii="Times New Roman" w:eastAsia="標楷體" w:hAnsi="Times New Roman" w:cs="Times New Roman" w:hint="eastAsia"/>
              </w:rPr>
              <w:t>家系圖</w:t>
            </w:r>
            <w:proofErr w:type="gramEnd"/>
            <w:r w:rsidRPr="00CC6D26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1D36D0" w:rsidRPr="00CC6D26" w:rsidRDefault="001D36D0" w:rsidP="001D36D0">
            <w:pPr>
              <w:rPr>
                <w:rFonts w:ascii="Times New Roman" w:eastAsia="標楷體" w:hAnsi="Times New Roman" w:cs="Times New Roman"/>
              </w:rPr>
            </w:pPr>
          </w:p>
          <w:p w:rsidR="001D36D0" w:rsidRPr="00CC6D26" w:rsidRDefault="001D36D0" w:rsidP="001D36D0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（二）家庭成員：</w:t>
            </w:r>
          </w:p>
          <w:p w:rsidR="0055004B" w:rsidRPr="00CC6D26" w:rsidRDefault="0055004B" w:rsidP="001D36D0">
            <w:pPr>
              <w:rPr>
                <w:rFonts w:ascii="Times New Roman" w:eastAsia="標楷體" w:hAnsi="Times New Roman" w:cs="Times New Roman"/>
              </w:rPr>
            </w:pPr>
          </w:p>
          <w:p w:rsidR="0055004B" w:rsidRPr="00CC6D26" w:rsidRDefault="0055004B" w:rsidP="001D36D0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（三）家庭功能評估：</w:t>
            </w:r>
          </w:p>
        </w:tc>
      </w:tr>
      <w:tr w:rsidR="00CC6D26" w:rsidRPr="00CC6D26" w:rsidTr="006F4106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A1BAD" w:rsidRPr="00CC6D26" w:rsidRDefault="006F4106" w:rsidP="00AE1F2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C6D26">
              <w:rPr>
                <w:rFonts w:ascii="標楷體" w:eastAsia="標楷體" w:hAnsi="標楷體" w:hint="eastAsia"/>
                <w:b/>
                <w:sz w:val="28"/>
              </w:rPr>
              <w:t>第二</w:t>
            </w:r>
            <w:r w:rsidRPr="00CC6D26">
              <w:rPr>
                <w:rFonts w:ascii="標楷體" w:eastAsia="標楷體" w:hAnsi="標楷體"/>
                <w:b/>
                <w:sz w:val="28"/>
              </w:rPr>
              <w:t>部</w:t>
            </w:r>
            <w:r w:rsidRPr="00CC6D26">
              <w:rPr>
                <w:rFonts w:ascii="標楷體" w:eastAsia="標楷體" w:hAnsi="標楷體" w:hint="eastAsia"/>
                <w:b/>
                <w:sz w:val="28"/>
              </w:rPr>
              <w:t>份：</w:t>
            </w:r>
            <w:r w:rsidR="001A1BAD" w:rsidRPr="00CC6D26">
              <w:rPr>
                <w:rFonts w:ascii="標楷體" w:eastAsia="標楷體" w:hAnsi="標楷體"/>
                <w:b/>
                <w:sz w:val="28"/>
              </w:rPr>
              <w:t>評估分析</w:t>
            </w:r>
          </w:p>
        </w:tc>
      </w:tr>
      <w:tr w:rsidR="00CC6D26" w:rsidRPr="00CC6D26" w:rsidTr="00AE1F2A">
        <w:trPr>
          <w:trHeight w:val="1889"/>
        </w:trPr>
        <w:tc>
          <w:tcPr>
            <w:tcW w:w="5000" w:type="pct"/>
          </w:tcPr>
          <w:p w:rsidR="001D36D0" w:rsidRPr="00CC6D26" w:rsidRDefault="0055004B" w:rsidP="0055004B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（一）</w:t>
            </w:r>
            <w:r w:rsidR="001A1BAD" w:rsidRPr="00CC6D26">
              <w:rPr>
                <w:rFonts w:ascii="Times New Roman" w:eastAsia="標楷體" w:hAnsi="Times New Roman" w:cs="Times New Roman"/>
              </w:rPr>
              <w:t>具體敘述轉</w:t>
            </w:r>
            <w:proofErr w:type="gramStart"/>
            <w:r w:rsidR="001A1BAD" w:rsidRPr="00CC6D26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="001A1BAD" w:rsidRPr="00CC6D26">
              <w:rPr>
                <w:rFonts w:ascii="Times New Roman" w:eastAsia="標楷體" w:hAnsi="Times New Roman" w:cs="Times New Roman"/>
              </w:rPr>
              <w:t>原因：</w:t>
            </w:r>
          </w:p>
        </w:tc>
      </w:tr>
      <w:tr w:rsidR="00CC6D26" w:rsidRPr="00CC6D26" w:rsidTr="006F4106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A1BAD" w:rsidRPr="00CC6D26" w:rsidRDefault="006F4106" w:rsidP="00AE1F2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C6D26">
              <w:rPr>
                <w:rFonts w:ascii="標楷體" w:eastAsia="標楷體" w:hAnsi="標楷體" w:hint="eastAsia"/>
                <w:b/>
                <w:sz w:val="28"/>
              </w:rPr>
              <w:t>第三</w:t>
            </w:r>
            <w:r w:rsidRPr="00CC6D26">
              <w:rPr>
                <w:rFonts w:ascii="標楷體" w:eastAsia="標楷體" w:hAnsi="標楷體"/>
                <w:b/>
                <w:sz w:val="28"/>
              </w:rPr>
              <w:t>部</w:t>
            </w:r>
            <w:r w:rsidRPr="00CC6D26">
              <w:rPr>
                <w:rFonts w:ascii="標楷體" w:eastAsia="標楷體" w:hAnsi="標楷體" w:hint="eastAsia"/>
                <w:b/>
                <w:sz w:val="28"/>
              </w:rPr>
              <w:t>份：</w:t>
            </w:r>
            <w:r w:rsidR="001A1BAD" w:rsidRPr="00CC6D26">
              <w:rPr>
                <w:rFonts w:ascii="標楷體" w:eastAsia="標楷體" w:hAnsi="標楷體"/>
                <w:b/>
                <w:sz w:val="28"/>
              </w:rPr>
              <w:t>社工處遇摘要</w:t>
            </w:r>
          </w:p>
        </w:tc>
      </w:tr>
      <w:tr w:rsidR="00CC6D26" w:rsidRPr="00CC6D26" w:rsidTr="00AE1F2A">
        <w:trPr>
          <w:trHeight w:val="2842"/>
        </w:trPr>
        <w:tc>
          <w:tcPr>
            <w:tcW w:w="5000" w:type="pct"/>
          </w:tcPr>
          <w:p w:rsidR="0055004B" w:rsidRPr="00CC6D26" w:rsidRDefault="0055004B" w:rsidP="0055004B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（一）已提供之處遇：</w:t>
            </w:r>
          </w:p>
          <w:p w:rsidR="0055004B" w:rsidRPr="00CC6D26" w:rsidRDefault="0055004B" w:rsidP="0055004B">
            <w:pPr>
              <w:rPr>
                <w:rFonts w:ascii="Times New Roman" w:eastAsia="標楷體" w:hAnsi="Times New Roman" w:cs="Times New Roman"/>
              </w:rPr>
            </w:pPr>
          </w:p>
          <w:p w:rsidR="0055004B" w:rsidRPr="00CC6D26" w:rsidRDefault="0055004B" w:rsidP="0055004B">
            <w:pPr>
              <w:rPr>
                <w:rFonts w:ascii="Times New Roman" w:eastAsia="標楷體" w:hAnsi="Times New Roman" w:cs="Times New Roman"/>
              </w:rPr>
            </w:pPr>
            <w:r w:rsidRPr="00CC6D26">
              <w:rPr>
                <w:rFonts w:ascii="Times New Roman" w:eastAsia="標楷體" w:hAnsi="Times New Roman" w:cs="Times New Roman" w:hint="eastAsia"/>
              </w:rPr>
              <w:t>（二）處遇計畫：</w:t>
            </w:r>
          </w:p>
        </w:tc>
      </w:tr>
      <w:tr w:rsidR="00CC6D26" w:rsidRPr="00CC6D26" w:rsidTr="006F4106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A1BAD" w:rsidRPr="00CC6D26" w:rsidRDefault="006F4106" w:rsidP="00AE1F2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C6D26">
              <w:rPr>
                <w:rFonts w:ascii="標楷體" w:eastAsia="標楷體" w:hAnsi="標楷體" w:hint="eastAsia"/>
                <w:b/>
                <w:sz w:val="28"/>
              </w:rPr>
              <w:t>第四</w:t>
            </w:r>
            <w:r w:rsidRPr="00CC6D26">
              <w:rPr>
                <w:rFonts w:ascii="標楷體" w:eastAsia="標楷體" w:hAnsi="標楷體"/>
                <w:b/>
                <w:sz w:val="28"/>
              </w:rPr>
              <w:t>部</w:t>
            </w:r>
            <w:r w:rsidRPr="00CC6D26">
              <w:rPr>
                <w:rFonts w:ascii="標楷體" w:eastAsia="標楷體" w:hAnsi="標楷體" w:hint="eastAsia"/>
                <w:b/>
                <w:sz w:val="28"/>
              </w:rPr>
              <w:t>份：</w:t>
            </w:r>
            <w:r w:rsidR="001A1BAD" w:rsidRPr="00CC6D26">
              <w:rPr>
                <w:rFonts w:ascii="標楷體" w:eastAsia="標楷體" w:hAnsi="標楷體"/>
                <w:b/>
                <w:sz w:val="28"/>
              </w:rPr>
              <w:t>建議事項</w:t>
            </w:r>
          </w:p>
        </w:tc>
      </w:tr>
      <w:tr w:rsidR="001A1BAD" w:rsidRPr="00CC6D26" w:rsidTr="006F4106">
        <w:trPr>
          <w:trHeight w:val="2835"/>
        </w:trPr>
        <w:tc>
          <w:tcPr>
            <w:tcW w:w="5000" w:type="pct"/>
          </w:tcPr>
          <w:p w:rsidR="001D36D0" w:rsidRPr="00CC6D26" w:rsidRDefault="001D36D0" w:rsidP="006F410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C6D26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="001A1BAD" w:rsidRPr="00CC6D26">
              <w:rPr>
                <w:rFonts w:ascii="Times New Roman" w:eastAsia="標楷體" w:hAnsi="Times New Roman" w:cs="Times New Roman"/>
              </w:rPr>
              <w:t>Ex:</w:t>
            </w:r>
            <w:r w:rsidR="001A1BAD" w:rsidRPr="00CC6D26">
              <w:rPr>
                <w:rFonts w:ascii="Times New Roman" w:eastAsia="標楷體" w:hAnsi="Times New Roman" w:cs="Times New Roman"/>
              </w:rPr>
              <w:t>家庭接受輔導之意願、可能對社工員</w:t>
            </w:r>
            <w:r w:rsidR="001A1BAD" w:rsidRPr="00CC6D26">
              <w:rPr>
                <w:rFonts w:ascii="Times New Roman" w:eastAsia="標楷體" w:hAnsi="Times New Roman" w:cs="Times New Roman"/>
              </w:rPr>
              <w:t>/</w:t>
            </w:r>
            <w:r w:rsidR="001A1BAD" w:rsidRPr="00CC6D26">
              <w:rPr>
                <w:rFonts w:ascii="Times New Roman" w:eastAsia="標楷體" w:hAnsi="Times New Roman" w:cs="Times New Roman"/>
              </w:rPr>
              <w:t>輔導員或機構構成威脅之情形、較適合的聯絡時間與方式</w:t>
            </w:r>
            <w:r w:rsidR="0055004B" w:rsidRPr="00CC6D26">
              <w:rPr>
                <w:rFonts w:ascii="Times New Roman" w:eastAsia="標楷體" w:hAnsi="Times New Roman" w:cs="Times New Roman" w:hint="eastAsia"/>
              </w:rPr>
              <w:t>、建議轉</w:t>
            </w:r>
            <w:proofErr w:type="gramStart"/>
            <w:r w:rsidR="0055004B" w:rsidRPr="00CC6D26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="0055004B" w:rsidRPr="00CC6D26">
              <w:rPr>
                <w:rFonts w:ascii="Times New Roman" w:eastAsia="標楷體" w:hAnsi="Times New Roman" w:cs="Times New Roman" w:hint="eastAsia"/>
              </w:rPr>
              <w:t>執行單位</w:t>
            </w:r>
            <w:proofErr w:type="gramStart"/>
            <w:r w:rsidRPr="00CC6D26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</w:p>
        </w:tc>
      </w:tr>
    </w:tbl>
    <w:p w:rsidR="00AE1F2A" w:rsidRPr="00CC6D26" w:rsidRDefault="00AE1F2A" w:rsidP="00BF0681">
      <w:pPr>
        <w:rPr>
          <w:rFonts w:ascii="標楷體" w:eastAsia="標楷體" w:hAnsi="標楷體"/>
          <w:b/>
          <w:sz w:val="28"/>
          <w:szCs w:val="28"/>
        </w:rPr>
      </w:pPr>
    </w:p>
    <w:p w:rsidR="00BF0681" w:rsidRPr="00CC6D26" w:rsidRDefault="00AE1F2A" w:rsidP="00AE1F2A">
      <w:pPr>
        <w:rPr>
          <w:rFonts w:ascii="標楷體" w:eastAsia="標楷體" w:hAnsi="標楷體"/>
          <w:b/>
          <w:sz w:val="28"/>
          <w:szCs w:val="28"/>
        </w:rPr>
      </w:pPr>
      <w:r w:rsidRPr="00CC6D26">
        <w:rPr>
          <w:rFonts w:ascii="標楷體" w:eastAsia="標楷體" w:hAnsi="標楷體"/>
          <w:b/>
          <w:sz w:val="28"/>
          <w:szCs w:val="28"/>
        </w:rPr>
        <w:br w:type="page"/>
      </w:r>
      <w:r w:rsidR="00BF0681" w:rsidRPr="00CC6D26">
        <w:rPr>
          <w:rFonts w:ascii="標楷體" w:eastAsia="標楷體" w:hAnsi="標楷體" w:hint="eastAsia"/>
          <w:b/>
          <w:sz w:val="28"/>
          <w:szCs w:val="28"/>
        </w:rPr>
        <w:lastRenderedPageBreak/>
        <w:t>二、本</w:t>
      </w:r>
      <w:r w:rsidR="00BF0681" w:rsidRPr="00CC6D26">
        <w:rPr>
          <w:rFonts w:ascii="標楷體" w:eastAsia="標楷體" w:hAnsi="標楷體"/>
          <w:b/>
          <w:sz w:val="28"/>
          <w:szCs w:val="28"/>
        </w:rPr>
        <w:t>案</w:t>
      </w:r>
      <w:r w:rsidR="00BF0681" w:rsidRPr="00CC6D26">
        <w:rPr>
          <w:rFonts w:ascii="標楷體" w:eastAsia="標楷體" w:hAnsi="標楷體" w:hint="eastAsia"/>
          <w:b/>
          <w:sz w:val="28"/>
          <w:szCs w:val="28"/>
        </w:rPr>
        <w:t>課程建議：</w:t>
      </w:r>
    </w:p>
    <w:p w:rsidR="00AE1F2A" w:rsidRPr="00CC6D26" w:rsidRDefault="00BF0681" w:rsidP="001A1BAD">
      <w:pPr>
        <w:spacing w:line="440" w:lineRule="exact"/>
        <w:ind w:leftChars="100" w:left="1066" w:hangingChars="295" w:hanging="826"/>
        <w:rPr>
          <w:rFonts w:ascii="標楷體" w:eastAsia="標楷體" w:hAnsi="標楷體"/>
          <w:sz w:val="28"/>
          <w:szCs w:val="28"/>
        </w:rPr>
      </w:pPr>
      <w:r w:rsidRPr="00CC6D26">
        <w:rPr>
          <w:rFonts w:ascii="標楷體" w:eastAsia="標楷體" w:hAnsi="標楷體" w:hint="eastAsia"/>
          <w:sz w:val="28"/>
          <w:szCs w:val="28"/>
        </w:rPr>
        <w:t>（一）接受一般性親職教育共計：_</w:t>
      </w:r>
      <w:r w:rsidRPr="00CC6D26">
        <w:rPr>
          <w:rFonts w:ascii="標楷體" w:eastAsia="標楷體" w:hAnsi="標楷體"/>
          <w:sz w:val="28"/>
          <w:szCs w:val="28"/>
        </w:rPr>
        <w:t>_________</w:t>
      </w:r>
      <w:r w:rsidRPr="00CC6D26">
        <w:rPr>
          <w:rFonts w:ascii="標楷體" w:eastAsia="標楷體" w:hAnsi="標楷體" w:hint="eastAsia"/>
          <w:sz w:val="28"/>
          <w:szCs w:val="28"/>
        </w:rPr>
        <w:t>小</w:t>
      </w:r>
      <w:r w:rsidRPr="00CC6D26">
        <w:rPr>
          <w:rFonts w:ascii="標楷體" w:eastAsia="標楷體" w:hAnsi="標楷體"/>
          <w:sz w:val="28"/>
          <w:szCs w:val="28"/>
        </w:rPr>
        <w:t>時</w:t>
      </w:r>
      <w:r w:rsidR="00AE1F2A" w:rsidRPr="00CC6D26">
        <w:rPr>
          <w:rFonts w:ascii="標楷體" w:eastAsia="標楷體" w:hAnsi="標楷體"/>
          <w:sz w:val="28"/>
          <w:szCs w:val="28"/>
        </w:rPr>
        <w:t>。</w:t>
      </w:r>
    </w:p>
    <w:p w:rsidR="00BF0681" w:rsidRPr="00CC6D26" w:rsidRDefault="00AE1F2A" w:rsidP="00AE1F2A">
      <w:pPr>
        <w:spacing w:line="440" w:lineRule="exact"/>
        <w:ind w:leftChars="345" w:left="828" w:firstLineChars="103" w:firstLine="206"/>
        <w:rPr>
          <w:rFonts w:ascii="標楷體" w:eastAsia="標楷體" w:hAnsi="標楷體"/>
          <w:sz w:val="20"/>
          <w:szCs w:val="20"/>
        </w:rPr>
      </w:pPr>
      <w:r w:rsidRPr="00CC6D26">
        <w:rPr>
          <w:rFonts w:ascii="標楷體" w:eastAsia="標楷體" w:hAnsi="標楷體" w:hint="eastAsia"/>
          <w:sz w:val="20"/>
          <w:szCs w:val="20"/>
        </w:rPr>
        <w:t>（</w:t>
      </w:r>
      <w:r w:rsidRPr="00CC6D26">
        <w:rPr>
          <w:rFonts w:ascii="標楷體" w:eastAsia="標楷體" w:hAnsi="標楷體" w:hint="eastAsia"/>
          <w:b/>
          <w:sz w:val="20"/>
          <w:szCs w:val="20"/>
        </w:rPr>
        <w:t>總計以核准20小時為限，如有特殊情況，得簽請延長</w:t>
      </w:r>
      <w:r w:rsidRPr="00CC6D26">
        <w:rPr>
          <w:rFonts w:ascii="標楷體" w:eastAsia="標楷體" w:hAnsi="標楷體" w:hint="eastAsia"/>
          <w:sz w:val="20"/>
          <w:szCs w:val="20"/>
        </w:rPr>
        <w:t>）</w:t>
      </w:r>
    </w:p>
    <w:p w:rsidR="00BF0681" w:rsidRPr="00CC6D26" w:rsidRDefault="00BF0681" w:rsidP="001A1BAD">
      <w:pPr>
        <w:spacing w:line="440" w:lineRule="exact"/>
        <w:ind w:leftChars="100" w:left="1066" w:hangingChars="295" w:hanging="826"/>
        <w:rPr>
          <w:rFonts w:ascii="標楷體" w:eastAsia="標楷體" w:hAnsi="標楷體"/>
          <w:sz w:val="28"/>
          <w:szCs w:val="28"/>
        </w:rPr>
      </w:pPr>
      <w:r w:rsidRPr="00CC6D26">
        <w:rPr>
          <w:rFonts w:ascii="標楷體" w:eastAsia="標楷體" w:hAnsi="標楷體" w:hint="eastAsia"/>
          <w:sz w:val="28"/>
          <w:szCs w:val="28"/>
        </w:rPr>
        <w:t>（二）建議加強執行課程</w:t>
      </w:r>
      <w:r w:rsidR="00AE1F2A" w:rsidRPr="00CC6D26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AE1F2A" w:rsidRPr="00CC6D26">
        <w:rPr>
          <w:rFonts w:ascii="標楷體" w:eastAsia="標楷體" w:hAnsi="標楷體"/>
          <w:sz w:val="28"/>
          <w:szCs w:val="28"/>
        </w:rPr>
        <w:t>認知</w:t>
      </w:r>
      <w:r w:rsidR="00AE1F2A" w:rsidRPr="00CC6D26">
        <w:rPr>
          <w:rFonts w:ascii="標楷體" w:eastAsia="標楷體" w:hAnsi="標楷體" w:hint="eastAsia"/>
          <w:sz w:val="28"/>
          <w:szCs w:val="28"/>
        </w:rPr>
        <w:t>、</w:t>
      </w:r>
      <w:r w:rsidR="00AE1F2A" w:rsidRPr="00CC6D26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AE1F2A" w:rsidRPr="00CC6D26">
        <w:rPr>
          <w:rFonts w:ascii="標楷體" w:eastAsia="標楷體" w:hAnsi="標楷體"/>
          <w:sz w:val="28"/>
          <w:szCs w:val="28"/>
        </w:rPr>
        <w:t>動機、</w:t>
      </w:r>
      <w:r w:rsidR="00AE1F2A" w:rsidRPr="00CC6D26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AE1F2A" w:rsidRPr="00CC6D26">
        <w:rPr>
          <w:rFonts w:ascii="標楷體" w:eastAsia="標楷體" w:hAnsi="標楷體"/>
          <w:sz w:val="28"/>
          <w:szCs w:val="28"/>
        </w:rPr>
        <w:t>管教技巧</w:t>
      </w:r>
      <w:r w:rsidR="00AE1F2A" w:rsidRPr="00CC6D26">
        <w:rPr>
          <w:rFonts w:ascii="標楷體" w:eastAsia="標楷體" w:hAnsi="標楷體" w:hint="eastAsia"/>
          <w:sz w:val="28"/>
          <w:szCs w:val="28"/>
        </w:rPr>
        <w:t>及執行課程：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6088"/>
      </w:tblGrid>
      <w:tr w:rsidR="00CC6D26" w:rsidRPr="00CC6D26" w:rsidTr="00C03B01">
        <w:trPr>
          <w:jc w:val="center"/>
        </w:trPr>
        <w:tc>
          <w:tcPr>
            <w:tcW w:w="763" w:type="pct"/>
            <w:shd w:val="clear" w:color="auto" w:fill="D9D9D9" w:themeFill="background1" w:themeFillShade="D9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優先</w:t>
            </w:r>
            <w:r w:rsidRPr="00CC6D26">
              <w:rPr>
                <w:rFonts w:ascii="標楷體" w:eastAsia="標楷體" w:hAnsi="標楷體"/>
                <w:szCs w:val="24"/>
              </w:rPr>
              <w:t>順序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課</w:t>
            </w:r>
            <w:r w:rsidRPr="00CC6D26">
              <w:rPr>
                <w:rFonts w:ascii="標楷體" w:eastAsia="標楷體" w:hAnsi="標楷體"/>
                <w:szCs w:val="24"/>
              </w:rPr>
              <w:t>程類別</w:t>
            </w:r>
          </w:p>
        </w:tc>
        <w:tc>
          <w:tcPr>
            <w:tcW w:w="2986" w:type="pct"/>
            <w:shd w:val="clear" w:color="auto" w:fill="D9D9D9" w:themeFill="background1" w:themeFillShade="D9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法</w:t>
            </w:r>
            <w:r w:rsidRPr="00CC6D26">
              <w:rPr>
                <w:rFonts w:ascii="標楷體" w:eastAsia="標楷體" w:hAnsi="標楷體"/>
                <w:szCs w:val="24"/>
              </w:rPr>
              <w:t>規課程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/>
              </w:rPr>
              <w:t>兒童及</w:t>
            </w:r>
            <w:r w:rsidRPr="00CC6D26">
              <w:rPr>
                <w:rFonts w:ascii="標楷體" w:eastAsia="標楷體" w:hAnsi="標楷體" w:hint="eastAsia"/>
              </w:rPr>
              <w:t>少</w:t>
            </w:r>
            <w:r w:rsidRPr="00CC6D26">
              <w:rPr>
                <w:rFonts w:ascii="標楷體" w:eastAsia="標楷體" w:hAnsi="標楷體"/>
              </w:rPr>
              <w:t>年福利與權益保障法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466FC5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7" w:history="1">
              <w:r w:rsidR="00AE1F2A" w:rsidRPr="00CC6D26">
                <w:rPr>
                  <w:rStyle w:val="aa"/>
                  <w:rFonts w:ascii="標楷體" w:eastAsia="標楷體" w:hAnsi="標楷體"/>
                  <w:color w:val="auto"/>
                </w:rPr>
                <w:t>毒品危害</w:t>
              </w:r>
              <w:r w:rsidR="00AE1F2A" w:rsidRPr="00CC6D26">
                <w:rPr>
                  <w:rStyle w:val="aa"/>
                  <w:rFonts w:ascii="標楷體" w:eastAsia="標楷體" w:hAnsi="標楷體" w:hint="eastAsia"/>
                  <w:color w:val="auto"/>
                </w:rPr>
                <w:t>、</w:t>
              </w:r>
              <w:r w:rsidR="00AE1F2A" w:rsidRPr="00CC6D26">
                <w:rPr>
                  <w:rStyle w:val="aa"/>
                  <w:rFonts w:ascii="標楷體" w:eastAsia="標楷體" w:hAnsi="標楷體"/>
                  <w:color w:val="auto"/>
                </w:rPr>
                <w:t>防制</w:t>
              </w:r>
              <w:r w:rsidR="00AE1F2A" w:rsidRPr="00CC6D26">
                <w:rPr>
                  <w:rStyle w:val="aa"/>
                  <w:rFonts w:ascii="標楷體" w:eastAsia="標楷體" w:hAnsi="標楷體" w:hint="eastAsia"/>
                  <w:color w:val="auto"/>
                </w:rPr>
                <w:t>相</w:t>
              </w:r>
              <w:r w:rsidR="00AE1F2A" w:rsidRPr="00CC6D26">
                <w:rPr>
                  <w:rStyle w:val="aa"/>
                  <w:rFonts w:ascii="標楷體" w:eastAsia="標楷體" w:hAnsi="標楷體"/>
                  <w:color w:val="auto"/>
                </w:rPr>
                <w:t>關法規</w:t>
              </w:r>
            </w:hyperlink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其他相關法規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嬰幼兒衛教指導</w:t>
            </w:r>
          </w:p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【含育兒指導服務】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/>
                <w:spacing w:val="15"/>
                <w:szCs w:val="24"/>
              </w:rPr>
              <w:t>預防嬰幼兒猝死</w:t>
            </w:r>
            <w:r w:rsidRPr="00CC6D26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C6D26">
              <w:rPr>
                <w:rFonts w:ascii="標楷體" w:eastAsia="標楷體" w:hAnsi="標楷體"/>
                <w:spacing w:val="15"/>
                <w:szCs w:val="24"/>
              </w:rPr>
              <w:t>事故傷害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/>
                <w:spacing w:val="15"/>
                <w:szCs w:val="24"/>
              </w:rPr>
              <w:t>提供哺餵</w:t>
            </w:r>
            <w:r w:rsidRPr="00CC6D26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C6D26">
              <w:rPr>
                <w:rFonts w:ascii="標楷體" w:eastAsia="標楷體" w:hAnsi="標楷體"/>
                <w:spacing w:val="15"/>
                <w:szCs w:val="24"/>
              </w:rPr>
              <w:t>口腔清潔</w:t>
            </w:r>
            <w:r w:rsidRPr="00CC6D26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C6D26">
              <w:rPr>
                <w:rFonts w:ascii="標楷體" w:eastAsia="標楷體" w:hAnsi="標楷體"/>
                <w:spacing w:val="15"/>
                <w:szCs w:val="24"/>
              </w:rPr>
              <w:t>乳牙照</w:t>
            </w:r>
            <w:bookmarkStart w:id="0" w:name="_GoBack"/>
            <w:bookmarkEnd w:id="0"/>
            <w:r w:rsidRPr="00CC6D26">
              <w:rPr>
                <w:rFonts w:ascii="標楷體" w:eastAsia="標楷體" w:hAnsi="標楷體"/>
                <w:spacing w:val="15"/>
                <w:szCs w:val="24"/>
              </w:rPr>
              <w:t>護等</w:t>
            </w:r>
            <w:r w:rsidRPr="00CC6D26">
              <w:rPr>
                <w:rFonts w:ascii="標楷體" w:eastAsia="標楷體" w:hAnsi="標楷體" w:hint="eastAsia"/>
                <w:szCs w:val="24"/>
              </w:rPr>
              <w:t>嬰幼兒</w:t>
            </w:r>
            <w:r w:rsidRPr="00CC6D26">
              <w:rPr>
                <w:rFonts w:ascii="標楷體" w:eastAsia="標楷體" w:hAnsi="標楷體"/>
                <w:spacing w:val="15"/>
                <w:szCs w:val="24"/>
              </w:rPr>
              <w:t>衛教指導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Style w:val="st"/>
                <w:rFonts w:ascii="標楷體" w:eastAsia="標楷體" w:hAnsi="標楷體" w:cs="Arial" w:hint="eastAsia"/>
                <w:szCs w:val="24"/>
              </w:rPr>
              <w:t>其</w:t>
            </w:r>
            <w:r w:rsidRPr="00CC6D26">
              <w:rPr>
                <w:rStyle w:val="st"/>
                <w:rFonts w:ascii="標楷體" w:eastAsia="標楷體" w:hAnsi="標楷體" w:cs="Arial"/>
                <w:szCs w:val="24"/>
              </w:rPr>
              <w:t>它育兒</w:t>
            </w:r>
            <w:r w:rsidRPr="00CC6D26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指導</w:t>
            </w:r>
            <w:r w:rsidRPr="00CC6D26">
              <w:rPr>
                <w:rStyle w:val="st"/>
                <w:rFonts w:ascii="標楷體" w:eastAsia="標楷體" w:hAnsi="標楷體" w:cs="Arial"/>
                <w:szCs w:val="24"/>
              </w:rPr>
              <w:t>服務</w:t>
            </w:r>
            <w:r w:rsidRPr="00CC6D26">
              <w:rPr>
                <w:rStyle w:val="st"/>
                <w:rFonts w:ascii="標楷體" w:eastAsia="標楷體" w:hAnsi="標楷體" w:cs="Arial" w:hint="eastAsia"/>
                <w:szCs w:val="24"/>
              </w:rPr>
              <w:t>(</w:t>
            </w:r>
            <w:r w:rsidRPr="00CC6D26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嬰幼兒照顧</w:t>
            </w:r>
            <w:r w:rsidRPr="00CC6D26">
              <w:rPr>
                <w:rStyle w:val="st"/>
                <w:rFonts w:ascii="標楷體" w:eastAsia="標楷體" w:hAnsi="標楷體" w:cs="Arial"/>
                <w:szCs w:val="24"/>
              </w:rPr>
              <w:t>技巧</w:t>
            </w:r>
            <w:r w:rsidRPr="00CC6D26">
              <w:rPr>
                <w:rStyle w:val="st"/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兒</w:t>
            </w:r>
            <w:r w:rsidRPr="00CC6D26">
              <w:rPr>
                <w:rFonts w:ascii="標楷體" w:eastAsia="標楷體" w:hAnsi="標楷體"/>
                <w:szCs w:val="24"/>
              </w:rPr>
              <w:t>少</w:t>
            </w:r>
            <w:r w:rsidRPr="00CC6D26">
              <w:rPr>
                <w:rFonts w:ascii="標楷體" w:eastAsia="標楷體" w:hAnsi="標楷體" w:hint="eastAsia"/>
                <w:szCs w:val="24"/>
              </w:rPr>
              <w:t>身</w:t>
            </w:r>
            <w:r w:rsidRPr="00CC6D26">
              <w:rPr>
                <w:rFonts w:ascii="標楷體" w:eastAsia="標楷體" w:hAnsi="標楷體"/>
                <w:szCs w:val="24"/>
              </w:rPr>
              <w:t>心</w:t>
            </w:r>
            <w:r w:rsidRPr="00CC6D26">
              <w:rPr>
                <w:rFonts w:ascii="標楷體" w:eastAsia="標楷體" w:hAnsi="標楷體" w:hint="eastAsia"/>
                <w:szCs w:val="24"/>
              </w:rPr>
              <w:t>發</w:t>
            </w:r>
            <w:r w:rsidRPr="00CC6D26">
              <w:rPr>
                <w:rFonts w:ascii="標楷體" w:eastAsia="標楷體" w:hAnsi="標楷體"/>
                <w:szCs w:val="24"/>
              </w:rPr>
              <w:t>展課程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Style w:val="st"/>
                <w:rFonts w:ascii="標楷體" w:eastAsia="標楷體" w:hAnsi="標楷體" w:cs="Arial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虐待對兒童身心發展之影響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Style w:val="st"/>
                <w:rFonts w:ascii="標楷體" w:eastAsia="標楷體" w:hAnsi="標楷體" w:cs="Arial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兒童及少年身心發展與</w:t>
            </w:r>
            <w:r w:rsidRPr="00CC6D26">
              <w:rPr>
                <w:rFonts w:ascii="標楷體" w:eastAsia="標楷體" w:hAnsi="標楷體"/>
                <w:szCs w:val="24"/>
              </w:rPr>
              <w:t>社會</w:t>
            </w:r>
            <w:r w:rsidRPr="00CC6D26">
              <w:rPr>
                <w:rFonts w:ascii="標楷體" w:eastAsia="標楷體" w:hAnsi="標楷體" w:hint="eastAsia"/>
                <w:szCs w:val="24"/>
              </w:rPr>
              <w:t>適</w:t>
            </w:r>
            <w:r w:rsidRPr="00CC6D26">
              <w:rPr>
                <w:rFonts w:ascii="標楷體" w:eastAsia="標楷體" w:hAnsi="標楷體"/>
                <w:szCs w:val="24"/>
              </w:rPr>
              <w:t>應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父母婚姻對子女之影響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兒</w:t>
            </w:r>
            <w:r w:rsidRPr="00CC6D26">
              <w:rPr>
                <w:rFonts w:ascii="標楷體" w:eastAsia="標楷體" w:hAnsi="標楷體"/>
                <w:szCs w:val="24"/>
              </w:rPr>
              <w:t>童健康照顧與</w:t>
            </w:r>
            <w:r w:rsidRPr="00CC6D26">
              <w:rPr>
                <w:rFonts w:ascii="標楷體" w:eastAsia="標楷體" w:hAnsi="標楷體" w:hint="eastAsia"/>
                <w:szCs w:val="24"/>
              </w:rPr>
              <w:t>護</w:t>
            </w:r>
            <w:r w:rsidRPr="00CC6D26">
              <w:rPr>
                <w:rFonts w:ascii="標楷體" w:eastAsia="標楷體" w:hAnsi="標楷體"/>
                <w:szCs w:val="24"/>
              </w:rPr>
              <w:t>理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親職</w:t>
            </w:r>
            <w:r w:rsidRPr="00CC6D26">
              <w:rPr>
                <w:rFonts w:ascii="標楷體" w:eastAsia="標楷體" w:hAnsi="標楷體"/>
                <w:szCs w:val="24"/>
              </w:rPr>
              <w:t>教</w:t>
            </w:r>
            <w:r w:rsidRPr="00CC6D26">
              <w:rPr>
                <w:rFonts w:ascii="標楷體" w:eastAsia="標楷體" w:hAnsi="標楷體" w:hint="eastAsia"/>
                <w:szCs w:val="24"/>
              </w:rPr>
              <w:t>養</w:t>
            </w:r>
            <w:r w:rsidRPr="00CC6D26">
              <w:rPr>
                <w:rFonts w:ascii="標楷體" w:eastAsia="標楷體" w:hAnsi="標楷體"/>
                <w:szCs w:val="24"/>
              </w:rPr>
              <w:t>課程</w:t>
            </w:r>
          </w:p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6D26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CC6D26">
              <w:rPr>
                <w:rFonts w:ascii="標楷體" w:eastAsia="標楷體" w:hAnsi="標楷體" w:hint="eastAsia"/>
                <w:szCs w:val="24"/>
              </w:rPr>
              <w:t>含家事服務、</w:t>
            </w:r>
          </w:p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家庭教育諮詢服務</w:t>
            </w:r>
            <w:proofErr w:type="gramStart"/>
            <w:r w:rsidRPr="00CC6D26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親子間</w:t>
            </w:r>
            <w:r w:rsidRPr="00CC6D26">
              <w:rPr>
                <w:rFonts w:ascii="標楷體" w:eastAsia="標楷體" w:hAnsi="標楷體"/>
                <w:szCs w:val="24"/>
              </w:rPr>
              <w:t>有</w:t>
            </w:r>
            <w:r w:rsidRPr="00CC6D26">
              <w:rPr>
                <w:rFonts w:ascii="標楷體" w:eastAsia="標楷體" w:hAnsi="標楷體" w:hint="eastAsia"/>
                <w:szCs w:val="24"/>
              </w:rPr>
              <w:t>效溝通的</w:t>
            </w:r>
            <w:r w:rsidRPr="00CC6D26">
              <w:rPr>
                <w:rFonts w:ascii="標楷體" w:eastAsia="標楷體" w:hAnsi="標楷體"/>
                <w:szCs w:val="24"/>
              </w:rPr>
              <w:t>原則與</w:t>
            </w:r>
            <w:r w:rsidRPr="00CC6D26">
              <w:rPr>
                <w:rFonts w:ascii="標楷體" w:eastAsia="標楷體" w:hAnsi="標楷體" w:hint="eastAsia"/>
                <w:szCs w:val="24"/>
              </w:rPr>
              <w:t>技巧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親職角色與</w:t>
            </w:r>
            <w:r w:rsidRPr="00CC6D26">
              <w:rPr>
                <w:rFonts w:ascii="標楷體" w:eastAsia="標楷體" w:hAnsi="標楷體"/>
                <w:szCs w:val="24"/>
              </w:rPr>
              <w:t>功能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提升父母的效能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壓力抒解與情緒管理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衝突管理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其他親</w:t>
            </w:r>
            <w:r w:rsidRPr="00CC6D26">
              <w:rPr>
                <w:rFonts w:ascii="標楷體" w:eastAsia="標楷體" w:hAnsi="標楷體"/>
                <w:szCs w:val="24"/>
              </w:rPr>
              <w:t>職教</w:t>
            </w:r>
            <w:r w:rsidRPr="00CC6D26">
              <w:rPr>
                <w:rFonts w:ascii="標楷體" w:eastAsia="標楷體" w:hAnsi="標楷體" w:hint="eastAsia"/>
                <w:szCs w:val="24"/>
              </w:rPr>
              <w:t>養</w:t>
            </w:r>
            <w:r w:rsidRPr="00CC6D26">
              <w:rPr>
                <w:rFonts w:ascii="標楷體" w:eastAsia="標楷體" w:hAnsi="標楷體"/>
                <w:szCs w:val="24"/>
              </w:rPr>
              <w:t>技巧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婚</w:t>
            </w:r>
            <w:r w:rsidRPr="00CC6D26">
              <w:rPr>
                <w:rFonts w:ascii="標楷體" w:eastAsia="標楷體" w:hAnsi="標楷體"/>
                <w:szCs w:val="24"/>
              </w:rPr>
              <w:t>姻與家庭課程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家庭生活管理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家庭溝通、家</w:t>
            </w:r>
            <w:r w:rsidRPr="00CC6D26">
              <w:rPr>
                <w:rFonts w:ascii="標楷體" w:eastAsia="標楷體" w:hAnsi="標楷體"/>
                <w:szCs w:val="24"/>
              </w:rPr>
              <w:t>庭治療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家</w:t>
            </w:r>
            <w:r w:rsidRPr="00CC6D26">
              <w:rPr>
                <w:rFonts w:ascii="標楷體" w:eastAsia="標楷體" w:hAnsi="標楷體"/>
                <w:szCs w:val="24"/>
              </w:rPr>
              <w:t>庭關係的經營與維</w:t>
            </w:r>
            <w:r w:rsidRPr="00CC6D26">
              <w:rPr>
                <w:rFonts w:ascii="標楷體" w:eastAsia="標楷體" w:hAnsi="標楷體" w:hint="eastAsia"/>
                <w:szCs w:val="24"/>
              </w:rPr>
              <w:t>繫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婚</w:t>
            </w:r>
            <w:r w:rsidRPr="00CC6D26">
              <w:rPr>
                <w:rFonts w:ascii="標楷體" w:eastAsia="標楷體" w:hAnsi="標楷體"/>
                <w:szCs w:val="24"/>
              </w:rPr>
              <w:t>姻關係之調適</w:t>
            </w:r>
            <w:r w:rsidRPr="00CC6D26">
              <w:rPr>
                <w:rFonts w:ascii="標楷體" w:eastAsia="標楷體" w:hAnsi="標楷體" w:hint="eastAsia"/>
                <w:szCs w:val="24"/>
              </w:rPr>
              <w:t>與諮</w:t>
            </w:r>
            <w:r w:rsidRPr="00CC6D26">
              <w:rPr>
                <w:rFonts w:ascii="標楷體" w:eastAsia="標楷體" w:hAnsi="標楷體"/>
                <w:szCs w:val="24"/>
              </w:rPr>
              <w:t>商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/>
                <w:szCs w:val="24"/>
              </w:rPr>
              <w:t>修復</w:t>
            </w:r>
            <w:r w:rsidRPr="00CC6D26">
              <w:rPr>
                <w:rFonts w:ascii="標楷體" w:eastAsia="標楷體" w:hAnsi="標楷體" w:hint="eastAsia"/>
                <w:szCs w:val="24"/>
              </w:rPr>
              <w:t>(親子</w:t>
            </w:r>
            <w:r w:rsidRPr="00CC6D26">
              <w:rPr>
                <w:rFonts w:ascii="標楷體" w:eastAsia="標楷體" w:hAnsi="標楷體"/>
                <w:szCs w:val="24"/>
              </w:rPr>
              <w:t>、</w:t>
            </w:r>
            <w:r w:rsidRPr="00CC6D26">
              <w:rPr>
                <w:rFonts w:ascii="標楷體" w:eastAsia="標楷體" w:hAnsi="標楷體" w:hint="eastAsia"/>
                <w:szCs w:val="24"/>
              </w:rPr>
              <w:t>夫妻</w:t>
            </w:r>
            <w:r w:rsidRPr="00CC6D26">
              <w:rPr>
                <w:rFonts w:ascii="標楷體" w:eastAsia="標楷體" w:hAnsi="標楷體"/>
                <w:szCs w:val="24"/>
              </w:rPr>
              <w:t>、家</w:t>
            </w:r>
            <w:r w:rsidRPr="00CC6D26">
              <w:rPr>
                <w:rFonts w:ascii="標楷體" w:eastAsia="標楷體" w:hAnsi="標楷體" w:hint="eastAsia"/>
                <w:szCs w:val="24"/>
              </w:rPr>
              <w:t>庭</w:t>
            </w:r>
            <w:r w:rsidRPr="00CC6D26">
              <w:rPr>
                <w:rFonts w:ascii="標楷體" w:eastAsia="標楷體" w:hAnsi="標楷體"/>
                <w:szCs w:val="24"/>
              </w:rPr>
              <w:t>)關</w:t>
            </w:r>
            <w:r w:rsidRPr="00CC6D26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健康的性關係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社會資源</w:t>
            </w:r>
            <w:r w:rsidRPr="00CC6D26">
              <w:rPr>
                <w:rStyle w:val="st"/>
                <w:rFonts w:ascii="標楷體" w:eastAsia="標楷體" w:hAnsi="標楷體" w:cs="Arial"/>
                <w:szCs w:val="24"/>
              </w:rPr>
              <w:t>開發與</w:t>
            </w:r>
            <w:r w:rsidRPr="00CC6D26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運用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社會資源之瞭解與運用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社會情境與調適知能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cs="新細明體" w:hint="eastAsia"/>
                <w:kern w:val="0"/>
                <w:szCs w:val="24"/>
              </w:rPr>
              <w:t>連</w:t>
            </w:r>
            <w:r w:rsidRPr="00CC6D26">
              <w:rPr>
                <w:rFonts w:ascii="標楷體" w:eastAsia="標楷體" w:hAnsi="標楷體" w:cs="新細明體"/>
                <w:kern w:val="0"/>
                <w:szCs w:val="24"/>
              </w:rPr>
              <w:t>結</w:t>
            </w:r>
            <w:r w:rsidRPr="00CC6D26">
              <w:rPr>
                <w:rFonts w:ascii="標楷體" w:eastAsia="標楷體" w:hAnsi="標楷體" w:cs="新細明體" w:hint="eastAsia"/>
                <w:kern w:val="0"/>
                <w:szCs w:val="24"/>
              </w:rPr>
              <w:t>特殊資源(早</w:t>
            </w:r>
            <w:r w:rsidRPr="00CC6D26">
              <w:rPr>
                <w:rFonts w:ascii="標楷體" w:eastAsia="標楷體" w:hAnsi="標楷體" w:cs="新細明體"/>
                <w:kern w:val="0"/>
                <w:szCs w:val="24"/>
              </w:rPr>
              <w:t>期療育、特殊教育…)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cs="標楷體" w:hint="eastAsia"/>
                <w:kern w:val="0"/>
                <w:szCs w:val="24"/>
              </w:rPr>
              <w:t>藥物濫用防制課程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cs="標楷體" w:hint="eastAsia"/>
                <w:kern w:val="0"/>
                <w:szCs w:val="24"/>
              </w:rPr>
              <w:t>使用毒品與法</w:t>
            </w:r>
            <w:r w:rsidRPr="00CC6D26">
              <w:rPr>
                <w:rFonts w:ascii="標楷體" w:eastAsia="標楷體" w:cs="標楷體"/>
                <w:kern w:val="0"/>
                <w:szCs w:val="24"/>
              </w:rPr>
              <w:t>律</w:t>
            </w:r>
            <w:r w:rsidRPr="00CC6D26">
              <w:rPr>
                <w:rFonts w:ascii="標楷體" w:eastAsia="標楷體" w:cs="標楷體" w:hint="eastAsia"/>
                <w:kern w:val="0"/>
                <w:szCs w:val="24"/>
              </w:rPr>
              <w:t>刑</w:t>
            </w:r>
            <w:r w:rsidRPr="00CC6D26">
              <w:rPr>
                <w:rFonts w:ascii="標楷體" w:eastAsia="標楷體" w:cs="標楷體"/>
                <w:kern w:val="0"/>
                <w:szCs w:val="24"/>
              </w:rPr>
              <w:t>責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cs="標楷體" w:hint="eastAsia"/>
                <w:kern w:val="0"/>
                <w:szCs w:val="24"/>
              </w:rPr>
              <w:t>認識藥物濫用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cs="標楷體" w:hint="eastAsia"/>
                <w:kern w:val="0"/>
                <w:szCs w:val="24"/>
              </w:rPr>
              <w:t>藥物濫用的危害及其</w:t>
            </w:r>
            <w:r w:rsidRPr="00CC6D26">
              <w:rPr>
                <w:rFonts w:ascii="標楷體" w:eastAsia="標楷體" w:cs="標楷體"/>
                <w:kern w:val="0"/>
                <w:szCs w:val="24"/>
              </w:rPr>
              <w:t>它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 w:val="restar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精神疾病或情緒障礙課</w:t>
            </w:r>
            <w:r w:rsidRPr="00CC6D26">
              <w:rPr>
                <w:rFonts w:ascii="標楷體" w:eastAsia="標楷體" w:hAnsi="標楷體"/>
                <w:szCs w:val="24"/>
              </w:rPr>
              <w:t>程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臨床會談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cs="標楷體"/>
                <w:kern w:val="0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精神治療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標楷體" w:eastAsia="標楷體" w:cs="標楷體"/>
                <w:kern w:val="0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心理治療</w:t>
            </w:r>
          </w:p>
        </w:tc>
      </w:tr>
      <w:tr w:rsidR="00CC6D26" w:rsidRPr="00CC6D26" w:rsidTr="00C03B01">
        <w:trPr>
          <w:jc w:val="center"/>
        </w:trPr>
        <w:tc>
          <w:tcPr>
            <w:tcW w:w="763" w:type="pct"/>
            <w:vMerge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AE1F2A" w:rsidRPr="00CC6D26" w:rsidRDefault="00AE1F2A" w:rsidP="00C03B01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C6D26">
              <w:rPr>
                <w:rFonts w:ascii="標楷體" w:eastAsia="標楷體" w:hAnsi="標楷體" w:hint="eastAsia"/>
                <w:szCs w:val="24"/>
              </w:rPr>
              <w:t>自我覺察與探索</w:t>
            </w:r>
          </w:p>
        </w:tc>
      </w:tr>
      <w:tr w:rsidR="00AE1F2A" w:rsidRPr="00CC6D26" w:rsidTr="00C03B01">
        <w:trPr>
          <w:jc w:val="center"/>
        </w:trPr>
        <w:tc>
          <w:tcPr>
            <w:tcW w:w="763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AE1F2A" w:rsidRPr="00CC6D26" w:rsidRDefault="00AE1F2A" w:rsidP="00C03B0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6D26">
              <w:rPr>
                <w:rFonts w:ascii="標楷體" w:eastAsia="標楷體" w:hAnsi="標楷體" w:hint="eastAsia"/>
                <w:szCs w:val="24"/>
              </w:rPr>
              <w:t>其</w:t>
            </w:r>
            <w:r w:rsidRPr="00CC6D26">
              <w:rPr>
                <w:rFonts w:ascii="標楷體" w:eastAsia="標楷體" w:hAnsi="標楷體"/>
                <w:szCs w:val="24"/>
              </w:rPr>
              <w:t>它</w:t>
            </w:r>
            <w:r w:rsidRPr="00CC6D26">
              <w:rPr>
                <w:rFonts w:ascii="標楷體" w:eastAsia="標楷體" w:hAnsi="標楷體" w:hint="eastAsia"/>
                <w:szCs w:val="24"/>
              </w:rPr>
              <w:t>(</w:t>
            </w:r>
            <w:proofErr w:type="gramEnd"/>
            <w:r w:rsidRPr="00CC6D26">
              <w:rPr>
                <w:rFonts w:ascii="標楷體" w:eastAsia="標楷體" w:hAnsi="標楷體" w:hint="eastAsia"/>
                <w:szCs w:val="24"/>
              </w:rPr>
              <w:t>請</w:t>
            </w:r>
            <w:r w:rsidRPr="00CC6D26">
              <w:rPr>
                <w:rFonts w:ascii="標楷體" w:eastAsia="標楷體" w:hAnsi="標楷體"/>
                <w:szCs w:val="24"/>
              </w:rPr>
              <w:t>說明</w:t>
            </w:r>
            <w:r w:rsidRPr="00CC6D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86" w:type="pct"/>
          </w:tcPr>
          <w:p w:rsidR="00AE1F2A" w:rsidRPr="00CC6D26" w:rsidRDefault="00AE1F2A" w:rsidP="00C03B0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1BAD" w:rsidRPr="00CC6D26" w:rsidRDefault="001A1BAD" w:rsidP="00BF0681">
      <w:pPr>
        <w:ind w:left="360" w:hangingChars="150" w:hanging="360"/>
        <w:rPr>
          <w:rFonts w:ascii="標楷體" w:eastAsia="標楷體" w:hAnsi="標楷體"/>
        </w:rPr>
      </w:pPr>
    </w:p>
    <w:p w:rsidR="00802647" w:rsidRPr="00CC6D26" w:rsidRDefault="001C6383" w:rsidP="001C6383">
      <w:pPr>
        <w:ind w:left="360" w:hangingChars="150" w:hanging="360"/>
      </w:pPr>
      <w:r w:rsidRPr="00CC6D26">
        <w:rPr>
          <w:rFonts w:ascii="標楷體" w:eastAsia="標楷體" w:hAnsi="標楷體" w:hint="eastAsia"/>
        </w:rPr>
        <w:t>承</w:t>
      </w:r>
      <w:r w:rsidRPr="00CC6D26">
        <w:rPr>
          <w:rFonts w:ascii="標楷體" w:eastAsia="標楷體" w:hAnsi="標楷體"/>
        </w:rPr>
        <w:t>辦人員：</w:t>
      </w:r>
      <w:r w:rsidRPr="00CC6D26">
        <w:rPr>
          <w:rFonts w:ascii="標楷體" w:eastAsia="標楷體" w:hAnsi="標楷體" w:hint="eastAsia"/>
        </w:rPr>
        <w:t xml:space="preserve">                審</w:t>
      </w:r>
      <w:r w:rsidRPr="00CC6D26">
        <w:rPr>
          <w:rFonts w:ascii="標楷體" w:eastAsia="標楷體" w:hAnsi="標楷體"/>
        </w:rPr>
        <w:t>核人員：</w:t>
      </w:r>
      <w:r w:rsidRPr="00CC6D26">
        <w:rPr>
          <w:rFonts w:ascii="標楷體" w:eastAsia="標楷體" w:hAnsi="標楷體" w:hint="eastAsia"/>
        </w:rPr>
        <w:t xml:space="preserve">                   單</w:t>
      </w:r>
      <w:r w:rsidRPr="00CC6D26">
        <w:rPr>
          <w:rFonts w:ascii="標楷體" w:eastAsia="標楷體" w:hAnsi="標楷體"/>
        </w:rPr>
        <w:t>位主管：</w:t>
      </w:r>
    </w:p>
    <w:sectPr w:rsidR="00802647" w:rsidRPr="00CC6D26" w:rsidSect="00BC4413">
      <w:headerReference w:type="default" r:id="rId8"/>
      <w:footerReference w:type="default" r:id="rId9"/>
      <w:pgSz w:w="11906" w:h="16838"/>
      <w:pgMar w:top="567" w:right="851" w:bottom="567" w:left="851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C5" w:rsidRDefault="00466FC5" w:rsidP="00DE0DB7">
      <w:r>
        <w:separator/>
      </w:r>
    </w:p>
  </w:endnote>
  <w:endnote w:type="continuationSeparator" w:id="0">
    <w:p w:rsidR="00466FC5" w:rsidRDefault="00466FC5" w:rsidP="00DE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584052"/>
      <w:docPartObj>
        <w:docPartGallery w:val="Page Numbers (Bottom of Page)"/>
        <w:docPartUnique/>
      </w:docPartObj>
    </w:sdtPr>
    <w:sdtEndPr/>
    <w:sdtContent>
      <w:p w:rsidR="00886A8A" w:rsidRDefault="008C18FF" w:rsidP="00AB741D">
        <w:pPr>
          <w:pStyle w:val="a8"/>
          <w:jc w:val="center"/>
        </w:pPr>
        <w:r>
          <w:fldChar w:fldCharType="begin"/>
        </w:r>
        <w:r w:rsidR="00886A8A">
          <w:instrText>PAGE   \* MERGEFORMAT</w:instrText>
        </w:r>
        <w:r>
          <w:fldChar w:fldCharType="separate"/>
        </w:r>
        <w:r w:rsidR="00CC6D26" w:rsidRPr="00CC6D2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C5" w:rsidRDefault="00466FC5" w:rsidP="00DE0DB7">
      <w:r>
        <w:separator/>
      </w:r>
    </w:p>
  </w:footnote>
  <w:footnote w:type="continuationSeparator" w:id="0">
    <w:p w:rsidR="00466FC5" w:rsidRDefault="00466FC5" w:rsidP="00DE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A6" w:rsidRDefault="00AE1F2A" w:rsidP="001361A6">
    <w:pPr>
      <w:pStyle w:val="a6"/>
      <w:jc w:val="right"/>
    </w:pPr>
    <w:r>
      <w:rPr>
        <w:rFonts w:hint="eastAsia"/>
      </w:rPr>
      <w:t>107.08</w:t>
    </w:r>
    <w:r w:rsidR="005428AA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5F1"/>
    <w:multiLevelType w:val="hybridMultilevel"/>
    <w:tmpl w:val="3B743792"/>
    <w:lvl w:ilvl="0" w:tplc="DFE87E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31E2C"/>
    <w:multiLevelType w:val="hybridMultilevel"/>
    <w:tmpl w:val="B36CB75C"/>
    <w:lvl w:ilvl="0" w:tplc="3EA6EE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1E09"/>
    <w:multiLevelType w:val="hybridMultilevel"/>
    <w:tmpl w:val="DCA8D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A32440"/>
    <w:multiLevelType w:val="hybridMultilevel"/>
    <w:tmpl w:val="2D128F46"/>
    <w:lvl w:ilvl="0" w:tplc="F3E682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91C2C"/>
    <w:multiLevelType w:val="hybridMultilevel"/>
    <w:tmpl w:val="6A886AEC"/>
    <w:lvl w:ilvl="0" w:tplc="C5168A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47BEF"/>
    <w:multiLevelType w:val="hybridMultilevel"/>
    <w:tmpl w:val="01B27552"/>
    <w:lvl w:ilvl="0" w:tplc="630A04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435A46"/>
    <w:multiLevelType w:val="hybridMultilevel"/>
    <w:tmpl w:val="B39276E8"/>
    <w:lvl w:ilvl="0" w:tplc="228CDF2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F"/>
    <w:rsid w:val="000B6AF7"/>
    <w:rsid w:val="000B75D9"/>
    <w:rsid w:val="000C4F28"/>
    <w:rsid w:val="000E2535"/>
    <w:rsid w:val="00126A09"/>
    <w:rsid w:val="001361A6"/>
    <w:rsid w:val="00166B20"/>
    <w:rsid w:val="001A1BAD"/>
    <w:rsid w:val="001C6383"/>
    <w:rsid w:val="001D36D0"/>
    <w:rsid w:val="001F2DD2"/>
    <w:rsid w:val="001F4B39"/>
    <w:rsid w:val="00246BCE"/>
    <w:rsid w:val="00250B34"/>
    <w:rsid w:val="002537DF"/>
    <w:rsid w:val="0029377B"/>
    <w:rsid w:val="003A4706"/>
    <w:rsid w:val="003B6603"/>
    <w:rsid w:val="00462764"/>
    <w:rsid w:val="00466FC5"/>
    <w:rsid w:val="00476FDD"/>
    <w:rsid w:val="004818D2"/>
    <w:rsid w:val="004B6EEB"/>
    <w:rsid w:val="004E041F"/>
    <w:rsid w:val="005027A3"/>
    <w:rsid w:val="00533570"/>
    <w:rsid w:val="005428AA"/>
    <w:rsid w:val="0055004B"/>
    <w:rsid w:val="005508C1"/>
    <w:rsid w:val="00561FE6"/>
    <w:rsid w:val="005F5349"/>
    <w:rsid w:val="00625C51"/>
    <w:rsid w:val="006F4106"/>
    <w:rsid w:val="00784EAF"/>
    <w:rsid w:val="007A1EE0"/>
    <w:rsid w:val="007B3130"/>
    <w:rsid w:val="007F1C52"/>
    <w:rsid w:val="00802647"/>
    <w:rsid w:val="00807D6A"/>
    <w:rsid w:val="00886A8A"/>
    <w:rsid w:val="008C18FF"/>
    <w:rsid w:val="009272FD"/>
    <w:rsid w:val="0096700E"/>
    <w:rsid w:val="00973F48"/>
    <w:rsid w:val="00992F3B"/>
    <w:rsid w:val="009B4A59"/>
    <w:rsid w:val="009F0D5D"/>
    <w:rsid w:val="00A00A75"/>
    <w:rsid w:val="00A20689"/>
    <w:rsid w:val="00A5682A"/>
    <w:rsid w:val="00A97C29"/>
    <w:rsid w:val="00AA2C1F"/>
    <w:rsid w:val="00AB741D"/>
    <w:rsid w:val="00AE1F2A"/>
    <w:rsid w:val="00B650DD"/>
    <w:rsid w:val="00B95F7E"/>
    <w:rsid w:val="00BC4413"/>
    <w:rsid w:val="00BC560C"/>
    <w:rsid w:val="00BD1687"/>
    <w:rsid w:val="00BD306A"/>
    <w:rsid w:val="00BE294F"/>
    <w:rsid w:val="00BE31DE"/>
    <w:rsid w:val="00BF0681"/>
    <w:rsid w:val="00C35795"/>
    <w:rsid w:val="00C413F8"/>
    <w:rsid w:val="00CC6D26"/>
    <w:rsid w:val="00DD6DB1"/>
    <w:rsid w:val="00DE0DB7"/>
    <w:rsid w:val="00E35700"/>
    <w:rsid w:val="00E50959"/>
    <w:rsid w:val="00EA7543"/>
    <w:rsid w:val="00EC1702"/>
    <w:rsid w:val="00F0524A"/>
    <w:rsid w:val="00F0788B"/>
    <w:rsid w:val="00F237F5"/>
    <w:rsid w:val="00F36D85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9A98A-6790-4CE8-BA8B-70F5175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C1F"/>
    <w:pPr>
      <w:ind w:leftChars="200" w:left="480"/>
    </w:pPr>
  </w:style>
  <w:style w:type="character" w:styleId="a5">
    <w:name w:val="Emphasis"/>
    <w:basedOn w:val="a0"/>
    <w:uiPriority w:val="20"/>
    <w:qFormat/>
    <w:rsid w:val="00C413F8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413F8"/>
  </w:style>
  <w:style w:type="paragraph" w:styleId="a6">
    <w:name w:val="header"/>
    <w:basedOn w:val="a"/>
    <w:link w:val="a7"/>
    <w:uiPriority w:val="99"/>
    <w:unhideWhenUsed/>
    <w:rsid w:val="00DE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272FD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d.judicial.gov.tw/indexen.asp?struID=4&amp;navID=69&amp;contentID=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2018-08-27T02:17:00Z</dcterms:created>
  <dcterms:modified xsi:type="dcterms:W3CDTF">2018-09-06T00:27:00Z</dcterms:modified>
</cp:coreProperties>
</file>