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E3" w:rsidRDefault="00136931" w:rsidP="00B6072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B6072E" w:rsidRPr="00B6072E">
        <w:rPr>
          <w:rFonts w:ascii="標楷體" w:eastAsia="標楷體" w:hAnsi="標楷體"/>
          <w:sz w:val="28"/>
          <w:szCs w:val="28"/>
        </w:rPr>
        <w:t>、</w:t>
      </w:r>
      <w:r w:rsidR="00D24492">
        <w:rPr>
          <w:rFonts w:ascii="標楷體" w:eastAsia="標楷體" w:hAnsi="標楷體" w:hint="eastAsia"/>
          <w:sz w:val="28"/>
          <w:szCs w:val="28"/>
        </w:rPr>
        <w:t>臺南</w:t>
      </w:r>
      <w:r w:rsidR="004D19E3">
        <w:rPr>
          <w:rFonts w:ascii="標楷體" w:eastAsia="標楷體" w:hAnsi="標楷體" w:hint="eastAsia"/>
          <w:sz w:val="28"/>
          <w:szCs w:val="28"/>
        </w:rPr>
        <w:t>市</w:t>
      </w:r>
      <w:r w:rsidR="00D24492">
        <w:rPr>
          <w:rFonts w:ascii="標楷體" w:eastAsia="標楷體" w:hAnsi="標楷體" w:hint="eastAsia"/>
          <w:sz w:val="28"/>
          <w:szCs w:val="28"/>
        </w:rPr>
        <w:t>政</w:t>
      </w:r>
      <w:r w:rsidR="004D19E3">
        <w:rPr>
          <w:rFonts w:ascii="標楷體" w:eastAsia="標楷體" w:hAnsi="標楷體" w:hint="eastAsia"/>
          <w:sz w:val="28"/>
          <w:szCs w:val="28"/>
        </w:rPr>
        <w:t>府性別平等辦公室陳執行長明珍報告：</w:t>
      </w:r>
      <w:bookmarkStart w:id="0" w:name="_GoBack"/>
      <w:bookmarkEnd w:id="0"/>
    </w:p>
    <w:p w:rsidR="00B9468D" w:rsidRDefault="00B9468D" w:rsidP="00B9468D">
      <w:pPr>
        <w:pStyle w:val="a3"/>
        <w:numPr>
          <w:ilvl w:val="0"/>
          <w:numId w:val="11"/>
        </w:numPr>
        <w:spacing w:line="500" w:lineRule="exact"/>
        <w:ind w:leftChars="0" w:left="851" w:hanging="6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本市105-106年度性別平等業務推動成果</w:t>
      </w:r>
      <w:r w:rsidR="00D24492">
        <w:rPr>
          <w:rFonts w:ascii="標楷體" w:eastAsia="標楷體" w:hAnsi="標楷體" w:hint="eastAsia"/>
          <w:sz w:val="28"/>
          <w:szCs w:val="28"/>
        </w:rPr>
        <w:t>簡報(略)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19E3" w:rsidRPr="004370BE" w:rsidRDefault="004D19E3" w:rsidP="00B9468D">
      <w:pPr>
        <w:pStyle w:val="a3"/>
        <w:numPr>
          <w:ilvl w:val="0"/>
          <w:numId w:val="11"/>
        </w:numPr>
        <w:spacing w:line="500" w:lineRule="exact"/>
        <w:ind w:leftChars="0" w:left="851" w:hanging="611"/>
        <w:rPr>
          <w:rFonts w:ascii="標楷體" w:eastAsia="標楷體" w:hAnsi="標楷體"/>
          <w:b/>
          <w:sz w:val="28"/>
          <w:szCs w:val="28"/>
        </w:rPr>
      </w:pPr>
      <w:r w:rsidRPr="004370BE">
        <w:rPr>
          <w:rFonts w:ascii="標楷體" w:eastAsia="標楷體" w:hAnsi="標楷體" w:hint="eastAsia"/>
          <w:b/>
          <w:sz w:val="28"/>
          <w:szCs w:val="28"/>
        </w:rPr>
        <w:t>請各地政事務所設置性別友善廁所、性別友善停車位</w:t>
      </w:r>
      <w:r w:rsidR="00B9468D" w:rsidRPr="004370BE">
        <w:rPr>
          <w:rFonts w:ascii="標楷體" w:eastAsia="標楷體" w:hAnsi="標楷體" w:hint="eastAsia"/>
          <w:b/>
          <w:sz w:val="28"/>
          <w:szCs w:val="28"/>
        </w:rPr>
        <w:t>、</w:t>
      </w:r>
      <w:r w:rsidRPr="004370BE">
        <w:rPr>
          <w:rFonts w:ascii="標楷體" w:eastAsia="標楷體" w:hAnsi="標楷體" w:hint="eastAsia"/>
          <w:b/>
          <w:sz w:val="28"/>
          <w:szCs w:val="28"/>
        </w:rPr>
        <w:t>集哺乳室及育嬰室。</w:t>
      </w:r>
    </w:p>
    <w:p w:rsidR="004D19E3" w:rsidRPr="004370BE" w:rsidRDefault="00B9468D" w:rsidP="005004C8">
      <w:pPr>
        <w:pStyle w:val="a3"/>
        <w:numPr>
          <w:ilvl w:val="0"/>
          <w:numId w:val="11"/>
        </w:numPr>
        <w:tabs>
          <w:tab w:val="left" w:pos="851"/>
        </w:tabs>
        <w:spacing w:line="500" w:lineRule="exact"/>
        <w:ind w:leftChars="0" w:left="851" w:hanging="611"/>
        <w:rPr>
          <w:rFonts w:ascii="標楷體" w:eastAsia="標楷體" w:hAnsi="標楷體"/>
          <w:b/>
          <w:sz w:val="28"/>
          <w:szCs w:val="28"/>
        </w:rPr>
      </w:pPr>
      <w:r w:rsidRPr="004370BE">
        <w:rPr>
          <w:rFonts w:ascii="標楷體" w:eastAsia="標楷體" w:hAnsi="標楷體" w:hint="eastAsia"/>
          <w:b/>
          <w:sz w:val="28"/>
          <w:szCs w:val="28"/>
        </w:rPr>
        <w:t>請結合鄰近機關共同辦理性別平等電影院或性別平等讀書會等活動，以</w:t>
      </w:r>
      <w:r w:rsidR="005004C8" w:rsidRPr="004370BE">
        <w:rPr>
          <w:rFonts w:ascii="標楷體" w:eastAsia="標楷體" w:hAnsi="標楷體" w:hint="eastAsia"/>
          <w:b/>
          <w:sz w:val="28"/>
          <w:szCs w:val="28"/>
        </w:rPr>
        <w:t>有效利用</w:t>
      </w:r>
      <w:r w:rsidRPr="004370BE">
        <w:rPr>
          <w:rFonts w:ascii="標楷體" w:eastAsia="標楷體" w:hAnsi="標楷體" w:hint="eastAsia"/>
          <w:b/>
          <w:sz w:val="28"/>
          <w:szCs w:val="28"/>
        </w:rPr>
        <w:t>訓練資源</w:t>
      </w:r>
      <w:r w:rsidR="005004C8" w:rsidRPr="004370BE">
        <w:rPr>
          <w:rFonts w:ascii="標楷體" w:eastAsia="標楷體" w:hAnsi="標楷體" w:hint="eastAsia"/>
          <w:b/>
          <w:sz w:val="28"/>
          <w:szCs w:val="28"/>
        </w:rPr>
        <w:t>，並增加跨機關合作之機會。</w:t>
      </w:r>
    </w:p>
    <w:p w:rsidR="00B6072E" w:rsidRPr="00B6072E" w:rsidRDefault="004D19E3" w:rsidP="00B6072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B6072E" w:rsidRPr="00B6072E">
        <w:rPr>
          <w:rFonts w:ascii="標楷體" w:eastAsia="標楷體" w:hAnsi="標楷體" w:hint="eastAsia"/>
          <w:sz w:val="28"/>
          <w:szCs w:val="28"/>
        </w:rPr>
        <w:t>人事室報告</w:t>
      </w:r>
      <w:r w:rsidR="00B6072E" w:rsidRPr="00B6072E">
        <w:rPr>
          <w:rFonts w:ascii="標楷體" w:eastAsia="標楷體" w:hAnsi="標楷體"/>
          <w:sz w:val="28"/>
          <w:szCs w:val="28"/>
        </w:rPr>
        <w:t>：</w:t>
      </w:r>
    </w:p>
    <w:p w:rsidR="005C1AD1" w:rsidRPr="005C1AD1" w:rsidRDefault="005C1AD1" w:rsidP="0056097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5C1AD1">
        <w:rPr>
          <w:rFonts w:ascii="標楷體" w:eastAsia="標楷體" w:hAnsi="標楷體" w:hint="eastAsia"/>
          <w:color w:val="000000"/>
          <w:sz w:val="28"/>
          <w:szCs w:val="28"/>
        </w:rPr>
        <w:t>臺南市政府地政局性別平等工作小組107年第2次會議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簡報(略)。</w:t>
      </w:r>
    </w:p>
    <w:p w:rsidR="00983C76" w:rsidRDefault="00983C76" w:rsidP="00B6072E">
      <w:pPr>
        <w:pStyle w:val="a3"/>
        <w:numPr>
          <w:ilvl w:val="0"/>
          <w:numId w:val="2"/>
        </w:numPr>
        <w:spacing w:line="500" w:lineRule="exact"/>
        <w:ind w:leftChars="0" w:left="851" w:hanging="61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行政院性別平等處</w:t>
      </w:r>
      <w:r w:rsidR="00D92C84">
        <w:rPr>
          <w:rFonts w:ascii="標楷體" w:eastAsia="標楷體" w:hAnsi="標楷體" w:hint="eastAsia"/>
          <w:color w:val="000000"/>
          <w:sz w:val="28"/>
          <w:szCs w:val="28"/>
        </w:rPr>
        <w:t>業於本年8月22日下午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至本市</w:t>
      </w:r>
      <w:r w:rsidR="007C0A73">
        <w:rPr>
          <w:rFonts w:ascii="標楷體" w:eastAsia="標楷體" w:hAnsi="標楷體" w:hint="eastAsia"/>
          <w:color w:val="000000"/>
          <w:sz w:val="28"/>
          <w:szCs w:val="28"/>
        </w:rPr>
        <w:t>進行107年度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>性別平等實地訪評</w:t>
      </w:r>
      <w:r w:rsidR="007C0A73">
        <w:rPr>
          <w:rFonts w:ascii="標楷體" w:eastAsia="標楷體" w:hAnsi="標楷體" w:hint="eastAsia"/>
          <w:color w:val="000000"/>
          <w:sz w:val="28"/>
          <w:szCs w:val="28"/>
        </w:rPr>
        <w:t>(考核105-106年成果)</w:t>
      </w:r>
      <w:r>
        <w:rPr>
          <w:rFonts w:ascii="標楷體" w:eastAsia="標楷體" w:hAnsi="標楷體" w:hint="eastAsia"/>
          <w:color w:val="000000"/>
          <w:sz w:val="28"/>
          <w:szCs w:val="28"/>
        </w:rPr>
        <w:t>完竣，有關各委員建議事項(</w:t>
      </w:r>
      <w:r w:rsidR="00E25291">
        <w:rPr>
          <w:rFonts w:ascii="標楷體" w:eastAsia="標楷體" w:hAnsi="標楷體" w:hint="eastAsia"/>
          <w:color w:val="000000"/>
          <w:sz w:val="28"/>
          <w:szCs w:val="28"/>
        </w:rPr>
        <w:t>詳會議記錄柒</w:t>
      </w:r>
      <w:r w:rsidR="00BD3CE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E25291"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E25291">
        <w:rPr>
          <w:rFonts w:ascii="標楷體" w:eastAsia="標楷體" w:hAnsi="標楷體" w:hint="eastAsia"/>
          <w:color w:val="000000"/>
          <w:sz w:val="28"/>
          <w:szCs w:val="28"/>
        </w:rPr>
        <w:t>-P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25291">
        <w:rPr>
          <w:rFonts w:ascii="標楷體" w:eastAsia="標楷體" w:hAnsi="標楷體" w:hint="eastAsia"/>
          <w:color w:val="000000"/>
          <w:sz w:val="28"/>
          <w:szCs w:val="28"/>
        </w:rPr>
        <w:t>，可供本局參考及注意事項摘陳如下：</w:t>
      </w:r>
    </w:p>
    <w:p w:rsidR="00E25291" w:rsidRDefault="00E25291" w:rsidP="00A649F6">
      <w:pPr>
        <w:pStyle w:val="a3"/>
        <w:numPr>
          <w:ilvl w:val="1"/>
          <w:numId w:val="2"/>
        </w:numPr>
        <w:spacing w:line="500" w:lineRule="exact"/>
        <w:ind w:leftChars="0" w:left="1418" w:hanging="698"/>
        <w:rPr>
          <w:rFonts w:ascii="標楷體" w:eastAsia="標楷體" w:hAnsi="標楷體"/>
          <w:color w:val="000000"/>
          <w:sz w:val="28"/>
          <w:szCs w:val="28"/>
        </w:rPr>
      </w:pPr>
      <w:r w:rsidRPr="004370BE">
        <w:rPr>
          <w:rFonts w:ascii="標楷體" w:eastAsia="標楷體" w:hAnsi="標楷體" w:hint="eastAsia"/>
          <w:color w:val="000000"/>
          <w:sz w:val="28"/>
          <w:szCs w:val="28"/>
        </w:rPr>
        <w:t>性別統計分析部分：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目前新增的性別統計分析多數僅有數字呈現，亦即只有性別統計及統計的「描述」，建議應再深入分析</w:t>
      </w:r>
      <w:r w:rsidR="00A649F6">
        <w:rPr>
          <w:rFonts w:ascii="標楷體" w:eastAsia="標楷體" w:hAnsi="標楷體" w:hint="eastAsia"/>
          <w:color w:val="000000"/>
          <w:sz w:val="28"/>
          <w:szCs w:val="28"/>
        </w:rPr>
        <w:t>數字變化代表的意義，進而可與CEDAW第4條暫行特別措施連結，方可加速實質平等之達成。(會議記錄柒、二(二)</w:t>
      </w:r>
      <w:r w:rsidR="00BD3CE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649F6"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B0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649F6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A649F6" w:rsidRDefault="00A649F6" w:rsidP="00A649F6">
      <w:pPr>
        <w:pStyle w:val="a3"/>
        <w:numPr>
          <w:ilvl w:val="1"/>
          <w:numId w:val="2"/>
        </w:numPr>
        <w:spacing w:line="500" w:lineRule="exact"/>
        <w:ind w:leftChars="0" w:left="1418" w:hanging="698"/>
        <w:rPr>
          <w:rFonts w:ascii="標楷體" w:eastAsia="標楷體" w:hAnsi="標楷體"/>
          <w:color w:val="000000"/>
          <w:sz w:val="28"/>
          <w:szCs w:val="28"/>
        </w:rPr>
      </w:pPr>
      <w:r w:rsidRPr="004370BE">
        <w:rPr>
          <w:rFonts w:ascii="標楷體" w:eastAsia="標楷體" w:hAnsi="標楷體" w:hint="eastAsia"/>
          <w:color w:val="000000"/>
          <w:sz w:val="28"/>
          <w:szCs w:val="28"/>
        </w:rPr>
        <w:t>性別影響評估部分：</w:t>
      </w:r>
      <w:r w:rsidRPr="00A649F6">
        <w:rPr>
          <w:rFonts w:ascii="標楷體" w:eastAsia="標楷體" w:hAnsi="標楷體" w:hint="eastAsia"/>
          <w:color w:val="000000"/>
          <w:sz w:val="28"/>
          <w:szCs w:val="28"/>
        </w:rPr>
        <w:t>性別影響</w:t>
      </w:r>
      <w:r>
        <w:rPr>
          <w:rFonts w:ascii="標楷體" w:eastAsia="標楷體" w:hAnsi="標楷體" w:hint="eastAsia"/>
          <w:color w:val="000000"/>
          <w:sz w:val="28"/>
          <w:szCs w:val="28"/>
        </w:rPr>
        <w:t>評估辦理案件數量非常多，但辦理品質尚待加強，此部分可能是教育訓練不足，期許未來能透過相關課程加強。(會議記錄柒、四(四)</w:t>
      </w:r>
      <w:r w:rsidR="00BD3CE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B0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A649F6" w:rsidRPr="004370BE" w:rsidRDefault="00BD3CED" w:rsidP="00A649F6">
      <w:pPr>
        <w:pStyle w:val="a3"/>
        <w:numPr>
          <w:ilvl w:val="1"/>
          <w:numId w:val="2"/>
        </w:numPr>
        <w:spacing w:line="500" w:lineRule="exact"/>
        <w:ind w:leftChars="0" w:left="1418" w:hanging="698"/>
        <w:rPr>
          <w:rFonts w:ascii="標楷體" w:eastAsia="標楷體" w:hAnsi="標楷體"/>
          <w:color w:val="000000"/>
          <w:sz w:val="28"/>
          <w:szCs w:val="28"/>
        </w:rPr>
      </w:pPr>
      <w:r w:rsidRPr="004370BE">
        <w:rPr>
          <w:rFonts w:ascii="標楷體" w:eastAsia="標楷體" w:hAnsi="標楷體" w:hint="eastAsia"/>
          <w:color w:val="000000"/>
          <w:sz w:val="28"/>
          <w:szCs w:val="28"/>
        </w:rPr>
        <w:t>教育訓練部分：</w:t>
      </w:r>
    </w:p>
    <w:p w:rsidR="00BD3CED" w:rsidRDefault="00BD3CED" w:rsidP="00BD3CED">
      <w:pPr>
        <w:pStyle w:val="a3"/>
        <w:numPr>
          <w:ilvl w:val="0"/>
          <w:numId w:val="9"/>
        </w:numPr>
        <w:spacing w:line="500" w:lineRule="exact"/>
        <w:ind w:leftChars="0" w:left="17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CEDAW教育訓練內涵除了CEDAW條文概念介紹，建議可深入至辨識直接歧視、間接歧視及推動暫行特別措施等內容。(會議記錄柒、三(一)及四(五)，P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0B592B">
        <w:rPr>
          <w:rFonts w:ascii="標楷體" w:eastAsia="標楷體" w:hAnsi="標楷體" w:hint="eastAsia"/>
          <w:color w:val="000000"/>
          <w:sz w:val="28"/>
          <w:szCs w:val="28"/>
        </w:rPr>
        <w:t>-P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D3CED" w:rsidRDefault="00BD3CED" w:rsidP="00BD3CED">
      <w:pPr>
        <w:pStyle w:val="a3"/>
        <w:numPr>
          <w:ilvl w:val="0"/>
          <w:numId w:val="9"/>
        </w:numPr>
        <w:spacing w:line="500" w:lineRule="exact"/>
        <w:ind w:leftChars="0" w:left="17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受訓資料中，參加線上學習部分是男性多於女性，建議男性應多參與實體課程。(會議記錄柒、三(二)，P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B0770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6072E" w:rsidRDefault="00171594" w:rsidP="00B6072E">
      <w:pPr>
        <w:pStyle w:val="a3"/>
        <w:numPr>
          <w:ilvl w:val="0"/>
          <w:numId w:val="2"/>
        </w:numPr>
        <w:spacing w:line="500" w:lineRule="exact"/>
        <w:ind w:leftChars="0" w:left="851" w:hanging="61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臺南市政府107年8月9日府性平字第1070894960號函修訂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t>「105-108年臺南市政府推動各機關性別主流化實施計畫」</w:t>
      </w:r>
      <w:r w:rsidR="00F10B0C">
        <w:rPr>
          <w:rFonts w:ascii="標楷體" w:eastAsia="標楷體" w:hAnsi="標楷體" w:hint="eastAsia"/>
          <w:color w:val="000000"/>
          <w:sz w:val="28"/>
          <w:szCs w:val="28"/>
        </w:rPr>
        <w:t>(P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F10B0C">
        <w:rPr>
          <w:rFonts w:ascii="標楷體" w:eastAsia="標楷體" w:hAnsi="標楷體" w:hint="eastAsia"/>
          <w:color w:val="000000"/>
          <w:sz w:val="28"/>
          <w:szCs w:val="28"/>
        </w:rPr>
        <w:t>-P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F10B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t>略以，</w:t>
      </w:r>
      <w:r w:rsidR="00BF0DEE">
        <w:rPr>
          <w:rFonts w:ascii="標楷體" w:eastAsia="標楷體" w:hAnsi="標楷體" w:hint="eastAsia"/>
          <w:color w:val="000000"/>
          <w:sz w:val="28"/>
          <w:szCs w:val="28"/>
        </w:rPr>
        <w:t>臺南市政府所屬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="00BF0DEE">
        <w:rPr>
          <w:rFonts w:ascii="標楷體" w:eastAsia="標楷體" w:hAnsi="標楷體" w:hint="eastAsia"/>
          <w:color w:val="000000"/>
          <w:sz w:val="28"/>
          <w:szCs w:val="28"/>
        </w:rPr>
        <w:t>及學校應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t>成立性別平等工作小組，每年需召開2次定期會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議，年度成果報告應提報至市府婦女權益促進委員會備查，並將成果公告於市府性別主流化專區網站。</w:t>
      </w:r>
    </w:p>
    <w:p w:rsidR="00B6072E" w:rsidRDefault="00BD3CED" w:rsidP="00B6072E">
      <w:pPr>
        <w:pStyle w:val="a3"/>
        <w:numPr>
          <w:ilvl w:val="0"/>
          <w:numId w:val="2"/>
        </w:numPr>
        <w:spacing w:line="500" w:lineRule="exact"/>
        <w:ind w:leftChars="0" w:left="851" w:hanging="611"/>
        <w:rPr>
          <w:rFonts w:ascii="標楷體" w:eastAsia="標楷體" w:hAnsi="標楷體"/>
          <w:color w:val="000000"/>
          <w:sz w:val="28"/>
          <w:szCs w:val="28"/>
        </w:rPr>
      </w:pPr>
      <w:r w:rsidRPr="00B6072E">
        <w:rPr>
          <w:rFonts w:ascii="標楷體" w:eastAsia="標楷體" w:hAnsi="標楷體" w:hint="eastAsia"/>
          <w:color w:val="000000"/>
          <w:sz w:val="28"/>
          <w:szCs w:val="28"/>
        </w:rPr>
        <w:t>本局依前開計畫訂頒本局推動性別主流化實施計畫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t>(P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/>
          <w:sz w:val="28"/>
          <w:szCs w:val="28"/>
        </w:rPr>
        <w:t>-P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>
        <w:rPr>
          <w:rFonts w:ascii="標楷體" w:eastAsia="標楷體" w:hAnsi="標楷體" w:hint="eastAsia"/>
          <w:color w:val="000000"/>
          <w:sz w:val="28"/>
          <w:szCs w:val="28"/>
        </w:rPr>
        <w:t>)，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t>內容包含「組織性別機制」</w:t>
      </w:r>
      <w:r w:rsidR="00B6072E">
        <w:rPr>
          <w:rFonts w:ascii="標楷體" w:eastAsia="標楷體" w:hAnsi="標楷體" w:hint="eastAsia"/>
          <w:color w:val="000000"/>
          <w:sz w:val="28"/>
          <w:szCs w:val="28"/>
        </w:rPr>
        <w:t>、「強化性別意識培力」、「落實性別影響評估」、「</w:t>
      </w:r>
      <w:r w:rsidR="00520497">
        <w:rPr>
          <w:rFonts w:ascii="標楷體" w:eastAsia="標楷體" w:hAnsi="標楷體" w:hint="eastAsia"/>
          <w:color w:val="000000"/>
          <w:sz w:val="28"/>
          <w:szCs w:val="28"/>
        </w:rPr>
        <w:t>深化性別統計與性別分析」、「持續辦理性別平等宣導」、「性別平等相關法規推動、落實與檢視修正」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t>等各實施面向，並依業務權責分由秘書室、會計室及</w:t>
      </w:r>
      <w:r w:rsidR="00520497">
        <w:rPr>
          <w:rFonts w:ascii="標楷體" w:eastAsia="標楷體" w:hAnsi="標楷體" w:hint="eastAsia"/>
          <w:color w:val="000000"/>
          <w:sz w:val="28"/>
          <w:szCs w:val="28"/>
        </w:rPr>
        <w:t>人事</w:t>
      </w:r>
      <w:r w:rsidR="00B6072E" w:rsidRPr="00B6072E">
        <w:rPr>
          <w:rFonts w:ascii="標楷體" w:eastAsia="標楷體" w:hAnsi="標楷體" w:hint="eastAsia"/>
          <w:color w:val="000000"/>
          <w:sz w:val="28"/>
          <w:szCs w:val="28"/>
        </w:rPr>
        <w:t>室主責辦理。</w:t>
      </w:r>
      <w:r w:rsidR="000E0BB3">
        <w:rPr>
          <w:rFonts w:ascii="標楷體" w:eastAsia="標楷體" w:hAnsi="標楷體" w:hint="eastAsia"/>
          <w:color w:val="000000"/>
          <w:sz w:val="28"/>
          <w:szCs w:val="28"/>
        </w:rPr>
        <w:t>並於107年4月17日</w:t>
      </w:r>
      <w:r w:rsidR="00DB6CD2">
        <w:rPr>
          <w:rFonts w:ascii="標楷體" w:eastAsia="標楷體" w:hAnsi="標楷體" w:hint="eastAsia"/>
          <w:color w:val="000000"/>
          <w:sz w:val="28"/>
          <w:szCs w:val="28"/>
        </w:rPr>
        <w:t>召開第1次會議，會議紀錄如P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DB6CD2">
        <w:rPr>
          <w:rFonts w:ascii="標楷體" w:eastAsia="標楷體" w:hAnsi="標楷體" w:hint="eastAsia"/>
          <w:color w:val="000000"/>
          <w:sz w:val="28"/>
          <w:szCs w:val="28"/>
        </w:rPr>
        <w:t>-P</w:t>
      </w:r>
      <w:r w:rsidR="00FE4484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DB6C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30F42" w:rsidRPr="00A30F42" w:rsidRDefault="00A30F42" w:rsidP="00A30F42">
      <w:pPr>
        <w:spacing w:line="500" w:lineRule="exact"/>
        <w:ind w:leftChars="118" w:left="2553" w:hangingChars="810" w:hanging="2270"/>
        <w:rPr>
          <w:rFonts w:ascii="標楷體" w:eastAsia="標楷體" w:hAnsi="標楷體"/>
          <w:b/>
          <w:color w:val="000000"/>
          <w:sz w:val="28"/>
          <w:szCs w:val="28"/>
        </w:rPr>
      </w:pPr>
      <w:r w:rsidRPr="00A30F42">
        <w:rPr>
          <w:rFonts w:ascii="標楷體" w:eastAsia="標楷體" w:hAnsi="標楷體" w:hint="eastAsia"/>
          <w:b/>
          <w:color w:val="000000"/>
          <w:sz w:val="28"/>
          <w:szCs w:val="28"/>
        </w:rPr>
        <w:t>邱委員美月意見：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宣導標語有關男性、女性或兩性等字眼，請改以「性別」替代，以符性別平等概念。如</w:t>
      </w:r>
      <w:r w:rsidR="009A2990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繼承不分</w:t>
      </w:r>
      <w:r w:rsidRPr="009A299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男女</w:t>
      </w:r>
      <w:r w:rsidR="009A2990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請改為</w:t>
      </w:r>
      <w:r w:rsidR="009A2990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繼</w:t>
      </w:r>
      <w:r w:rsidR="009A2990">
        <w:rPr>
          <w:rFonts w:ascii="標楷體" w:eastAsia="標楷體" w:hAnsi="標楷體" w:hint="eastAsia"/>
          <w:b/>
          <w:color w:val="000000"/>
          <w:sz w:val="28"/>
          <w:szCs w:val="28"/>
        </w:rPr>
        <w:t>承不分</w:t>
      </w:r>
      <w:r w:rsidR="009A2990" w:rsidRPr="009A299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性別</w:t>
      </w:r>
      <w:r w:rsidR="009A2990">
        <w:rPr>
          <w:rFonts w:ascii="標楷體" w:eastAsia="標楷體" w:hAnsi="標楷體" w:hint="eastAsia"/>
          <w:b/>
          <w:color w:val="000000"/>
          <w:sz w:val="28"/>
          <w:szCs w:val="28"/>
        </w:rPr>
        <w:t>」。</w:t>
      </w:r>
    </w:p>
    <w:p w:rsidR="00520497" w:rsidRPr="00520497" w:rsidRDefault="005004C8" w:rsidP="00520497">
      <w:pPr>
        <w:snapToGrid w:val="0"/>
        <w:spacing w:line="500" w:lineRule="exac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柒</w:t>
      </w:r>
      <w:r w:rsidR="00520497" w:rsidRPr="00520497">
        <w:rPr>
          <w:rFonts w:ascii="標楷體" w:eastAsia="標楷體" w:hAnsi="標楷體" w:hint="eastAsia"/>
          <w:sz w:val="28"/>
          <w:szCs w:val="32"/>
        </w:rPr>
        <w:t>、討論</w:t>
      </w:r>
      <w:r w:rsidR="0076411B">
        <w:rPr>
          <w:rFonts w:ascii="標楷體" w:eastAsia="標楷體" w:hAnsi="標楷體" w:hint="eastAsia"/>
          <w:sz w:val="28"/>
          <w:szCs w:val="32"/>
        </w:rPr>
        <w:t>事項</w:t>
      </w:r>
      <w:r w:rsidR="00452A4E">
        <w:rPr>
          <w:rFonts w:ascii="標楷體" w:eastAsia="標楷體" w:hAnsi="標楷體" w:hint="eastAsia"/>
          <w:sz w:val="28"/>
          <w:szCs w:val="32"/>
        </w:rPr>
        <w:t>及決議</w:t>
      </w:r>
      <w:r w:rsidR="00520497" w:rsidRPr="00520497">
        <w:rPr>
          <w:rFonts w:ascii="標楷體" w:eastAsia="標楷體" w:hAnsi="標楷體" w:hint="eastAsia"/>
          <w:sz w:val="28"/>
          <w:szCs w:val="32"/>
        </w:rPr>
        <w:t>：</w:t>
      </w:r>
    </w:p>
    <w:p w:rsidR="00520497" w:rsidRDefault="00520497" w:rsidP="00D35DE3">
      <w:pPr>
        <w:spacing w:line="500" w:lineRule="exact"/>
        <w:ind w:left="1134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案由</w:t>
      </w:r>
      <w:r w:rsidR="00D35DE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816CA">
        <w:rPr>
          <w:rFonts w:ascii="標楷體" w:eastAsia="標楷體" w:hAnsi="標楷體" w:hint="eastAsia"/>
          <w:color w:val="000000"/>
          <w:sz w:val="28"/>
          <w:szCs w:val="28"/>
        </w:rPr>
        <w:t>本局107年第1次性別平等工作小組會議決議事項辦理情形案</w:t>
      </w:r>
      <w:r w:rsidR="00553934">
        <w:rPr>
          <w:rFonts w:ascii="標楷體" w:eastAsia="標楷體" w:hAnsi="標楷體" w:hint="eastAsia"/>
          <w:color w:val="000000"/>
          <w:sz w:val="28"/>
          <w:szCs w:val="28"/>
        </w:rPr>
        <w:t>，請審議</w:t>
      </w:r>
      <w:r w:rsidR="008321A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7EF0" w:rsidRDefault="00297EF0" w:rsidP="00CE6BED">
      <w:pPr>
        <w:spacing w:line="50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r w:rsidR="00553934">
        <w:rPr>
          <w:rFonts w:ascii="標楷體" w:eastAsia="標楷體" w:hAnsi="標楷體" w:hint="eastAsia"/>
          <w:color w:val="000000"/>
          <w:sz w:val="28"/>
          <w:szCs w:val="28"/>
        </w:rPr>
        <w:t>本局107年第1次性別平等工作小組會議前於4月17日下午召開完竣，依提案單位及案由共決議7項目，</w:t>
      </w:r>
      <w:r w:rsidR="00DB6CD2">
        <w:rPr>
          <w:rFonts w:ascii="標楷體" w:eastAsia="標楷體" w:hAnsi="標楷體" w:hint="eastAsia"/>
          <w:color w:val="000000"/>
          <w:sz w:val="28"/>
          <w:szCs w:val="28"/>
        </w:rPr>
        <w:t>已請各主責單位提報</w:t>
      </w:r>
      <w:r w:rsidR="00553934">
        <w:rPr>
          <w:rFonts w:ascii="標楷體" w:eastAsia="標楷體" w:hAnsi="標楷體" w:hint="eastAsia"/>
          <w:color w:val="000000"/>
          <w:sz w:val="28"/>
          <w:szCs w:val="28"/>
        </w:rPr>
        <w:t>辦理情形如下：</w:t>
      </w:r>
    </w:p>
    <w:tbl>
      <w:tblPr>
        <w:tblStyle w:val="aa"/>
        <w:tblW w:w="9776" w:type="dxa"/>
        <w:jc w:val="center"/>
        <w:tblLook w:val="04A0" w:firstRow="1" w:lastRow="0" w:firstColumn="1" w:lastColumn="0" w:noHBand="0" w:noVBand="1"/>
      </w:tblPr>
      <w:tblGrid>
        <w:gridCol w:w="747"/>
        <w:gridCol w:w="1232"/>
        <w:gridCol w:w="2411"/>
        <w:gridCol w:w="2976"/>
        <w:gridCol w:w="2410"/>
      </w:tblGrid>
      <w:tr w:rsidR="00452A4E" w:rsidRPr="00451E65" w:rsidTr="005004C8">
        <w:trPr>
          <w:jc w:val="center"/>
        </w:trPr>
        <w:tc>
          <w:tcPr>
            <w:tcW w:w="747" w:type="dxa"/>
          </w:tcPr>
          <w:p w:rsidR="00452A4E" w:rsidRPr="00451E65" w:rsidRDefault="00452A4E" w:rsidP="00A0636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提案單位</w:t>
            </w:r>
          </w:p>
        </w:tc>
        <w:tc>
          <w:tcPr>
            <w:tcW w:w="1232" w:type="dxa"/>
            <w:vAlign w:val="center"/>
          </w:tcPr>
          <w:p w:rsidR="00452A4E" w:rsidRPr="00451E65" w:rsidRDefault="00452A4E" w:rsidP="00A0636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51E65">
              <w:rPr>
                <w:rFonts w:ascii="標楷體" w:eastAsia="標楷體" w:hAnsi="標楷體" w:hint="eastAsia"/>
                <w:sz w:val="28"/>
              </w:rPr>
              <w:t>案由</w:t>
            </w:r>
          </w:p>
        </w:tc>
        <w:tc>
          <w:tcPr>
            <w:tcW w:w="2411" w:type="dxa"/>
            <w:vAlign w:val="center"/>
          </w:tcPr>
          <w:p w:rsidR="00452A4E" w:rsidRPr="00451E65" w:rsidRDefault="00452A4E" w:rsidP="00A0636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第1次會議</w:t>
            </w:r>
            <w:r w:rsidRPr="00451E65">
              <w:rPr>
                <w:rFonts w:ascii="標楷體" w:eastAsia="標楷體" w:hAnsi="標楷體" w:hint="eastAsia"/>
                <w:sz w:val="28"/>
              </w:rPr>
              <w:t>決議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52A4E" w:rsidRPr="00451E65" w:rsidRDefault="00452A4E" w:rsidP="008E22D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51E65">
              <w:rPr>
                <w:rFonts w:ascii="標楷體" w:eastAsia="標楷體" w:hAnsi="標楷體" w:hint="eastAsia"/>
                <w:sz w:val="28"/>
              </w:rPr>
              <w:t>辦理情形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52A4E" w:rsidRPr="00451E65" w:rsidRDefault="00452A4E" w:rsidP="00452A4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第2次會議決議</w:t>
            </w:r>
          </w:p>
        </w:tc>
      </w:tr>
      <w:tr w:rsidR="00452A4E" w:rsidRPr="00451E65" w:rsidTr="005004C8">
        <w:trPr>
          <w:trHeight w:val="3814"/>
          <w:jc w:val="center"/>
        </w:trPr>
        <w:tc>
          <w:tcPr>
            <w:tcW w:w="747" w:type="dxa"/>
            <w:vMerge w:val="restart"/>
          </w:tcPr>
          <w:p w:rsidR="00452A4E" w:rsidRDefault="00452A4E" w:rsidP="00A0636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人</w:t>
            </w:r>
          </w:p>
          <w:p w:rsidR="00452A4E" w:rsidRDefault="00452A4E" w:rsidP="00A0636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</w:t>
            </w:r>
          </w:p>
          <w:p w:rsidR="00452A4E" w:rsidRDefault="00452A4E" w:rsidP="00A0636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室</w:t>
            </w:r>
          </w:p>
        </w:tc>
        <w:tc>
          <w:tcPr>
            <w:tcW w:w="1232" w:type="dxa"/>
            <w:vMerge w:val="restart"/>
          </w:tcPr>
          <w:p w:rsidR="00452A4E" w:rsidRDefault="00452A4E" w:rsidP="00A063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第一案：</w:t>
            </w:r>
          </w:p>
          <w:p w:rsidR="00452A4E" w:rsidRPr="00451E65" w:rsidRDefault="00452A4E" w:rsidP="00A0636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強化同仁性別主流化觀念，提升性別意識培力。</w:t>
            </w:r>
          </w:p>
        </w:tc>
        <w:tc>
          <w:tcPr>
            <w:tcW w:w="2411" w:type="dxa"/>
          </w:tcPr>
          <w:p w:rsidR="00452A4E" w:rsidRPr="00451E65" w:rsidRDefault="00452A4E" w:rsidP="00A0636B">
            <w:pPr>
              <w:spacing w:line="440" w:lineRule="exact"/>
              <w:ind w:left="462" w:hangingChars="165" w:hanging="4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一、本局及所屬地所公務員(含約聘僱人員)於本年5月31日前，均應完成至少</w:t>
            </w:r>
            <w:r w:rsidRPr="00C26454">
              <w:rPr>
                <w:rFonts w:ascii="標楷體" w:eastAsia="標楷體" w:hAnsi="標楷體" w:hint="eastAsia"/>
                <w:b/>
                <w:sz w:val="28"/>
                <w:u w:val="single"/>
              </w:rPr>
              <w:t>2小時性別主流化數位課程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A4E" w:rsidRPr="00607ACC" w:rsidRDefault="00452A4E" w:rsidP="00A0636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605" w:hanging="605"/>
              <w:rPr>
                <w:rFonts w:ascii="標楷體" w:eastAsia="標楷體" w:hAnsi="標楷體"/>
                <w:sz w:val="28"/>
              </w:rPr>
            </w:pPr>
            <w:r w:rsidRPr="00607ACC">
              <w:rPr>
                <w:rFonts w:ascii="標楷體" w:eastAsia="標楷體" w:hAnsi="標楷體" w:hint="eastAsia"/>
                <w:sz w:val="28"/>
              </w:rPr>
              <w:t>至</w:t>
            </w:r>
            <w:r w:rsidRPr="008E22D7">
              <w:rPr>
                <w:rFonts w:ascii="標楷體" w:eastAsia="標楷體" w:hAnsi="標楷體" w:hint="eastAsia"/>
                <w:sz w:val="28"/>
              </w:rPr>
              <w:t>107年9月27日</w:t>
            </w:r>
            <w:r w:rsidRPr="00607ACC">
              <w:rPr>
                <w:rFonts w:ascii="標楷體" w:eastAsia="標楷體" w:hAnsi="標楷體" w:hint="eastAsia"/>
                <w:sz w:val="28"/>
              </w:rPr>
              <w:t>止，本局職員96人，完成2小時性別主流化數位課程人數為96</w:t>
            </w:r>
            <w:r>
              <w:rPr>
                <w:rFonts w:ascii="標楷體" w:eastAsia="標楷體" w:hAnsi="標楷體" w:hint="eastAsia"/>
                <w:sz w:val="28"/>
              </w:rPr>
              <w:t>人，完訓率100%。</w:t>
            </w:r>
          </w:p>
          <w:p w:rsidR="00452A4E" w:rsidRPr="00607ACC" w:rsidRDefault="00452A4E" w:rsidP="00A0636B">
            <w:pPr>
              <w:pStyle w:val="a3"/>
              <w:numPr>
                <w:ilvl w:val="0"/>
                <w:numId w:val="10"/>
              </w:numPr>
              <w:spacing w:line="440" w:lineRule="exact"/>
              <w:ind w:leftChars="0" w:left="605" w:hanging="60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本局</w:t>
            </w:r>
            <w:r w:rsidRPr="00607ACC">
              <w:rPr>
                <w:rFonts w:ascii="標楷體" w:eastAsia="標楷體" w:hAnsi="標楷體" w:hint="eastAsia"/>
                <w:sz w:val="28"/>
              </w:rPr>
              <w:t>及所屬地</w:t>
            </w:r>
            <w:r>
              <w:rPr>
                <w:rFonts w:ascii="標楷體" w:eastAsia="標楷體" w:hAnsi="標楷體" w:hint="eastAsia"/>
                <w:sz w:val="28"/>
              </w:rPr>
              <w:t>政事務所職</w:t>
            </w:r>
            <w:r w:rsidRPr="00607ACC">
              <w:rPr>
                <w:rFonts w:ascii="標楷體" w:eastAsia="標楷體" w:hAnsi="標楷體" w:hint="eastAsia"/>
                <w:sz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</w:rPr>
              <w:t>共524人，完成</w:t>
            </w:r>
            <w:r w:rsidRPr="00607ACC">
              <w:rPr>
                <w:rFonts w:ascii="標楷體" w:eastAsia="標楷體" w:hAnsi="標楷體" w:hint="eastAsia"/>
                <w:sz w:val="28"/>
              </w:rPr>
              <w:t>2小時性別主流化數位課程</w:t>
            </w:r>
            <w:r>
              <w:rPr>
                <w:rFonts w:ascii="標楷體" w:eastAsia="標楷體" w:hAnsi="標楷體" w:hint="eastAsia"/>
                <w:sz w:val="28"/>
              </w:rPr>
              <w:t>人數為524人，</w:t>
            </w:r>
            <w:r w:rsidRPr="00607ACC">
              <w:rPr>
                <w:rFonts w:ascii="標楷體" w:eastAsia="標楷體" w:hAnsi="標楷體" w:hint="eastAsia"/>
                <w:sz w:val="28"/>
              </w:rPr>
              <w:t>完訓率</w:t>
            </w:r>
            <w:r w:rsidRPr="00607ACC">
              <w:rPr>
                <w:rFonts w:ascii="標楷體" w:eastAsia="標楷體" w:hAnsi="標楷體" w:hint="eastAsia"/>
                <w:b/>
                <w:sz w:val="28"/>
                <w:u w:val="single"/>
              </w:rPr>
              <w:t>100%</w:t>
            </w:r>
            <w:r w:rsidRPr="00607ACC">
              <w:rPr>
                <w:rFonts w:ascii="標楷體" w:eastAsia="標楷體" w:hAnsi="標楷體" w:hint="eastAsia"/>
                <w:sz w:val="28"/>
              </w:rPr>
              <w:t>。(如附件1</w:t>
            </w:r>
            <w:r>
              <w:rPr>
                <w:rFonts w:ascii="標楷體" w:eastAsia="標楷體" w:hAnsi="標楷體" w:hint="eastAsia"/>
                <w:sz w:val="28"/>
              </w:rPr>
              <w:t>，P27</w:t>
            </w:r>
            <w:r w:rsidRPr="00607ACC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52A4E" w:rsidRPr="005004C8" w:rsidRDefault="00452A4E" w:rsidP="00452A4E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t>照案通過。</w:t>
            </w:r>
          </w:p>
        </w:tc>
      </w:tr>
      <w:tr w:rsidR="00452A4E" w:rsidRPr="00451E65" w:rsidTr="005004C8">
        <w:trPr>
          <w:trHeight w:val="4959"/>
          <w:jc w:val="center"/>
        </w:trPr>
        <w:tc>
          <w:tcPr>
            <w:tcW w:w="747" w:type="dxa"/>
            <w:vMerge/>
          </w:tcPr>
          <w:p w:rsidR="00452A4E" w:rsidRPr="00451E65" w:rsidRDefault="00452A4E" w:rsidP="00A0636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:rsidR="00452A4E" w:rsidRPr="00451E65" w:rsidRDefault="00452A4E" w:rsidP="00A0636B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1" w:type="dxa"/>
          </w:tcPr>
          <w:p w:rsidR="00452A4E" w:rsidRPr="00451E65" w:rsidRDefault="00452A4E" w:rsidP="00A0636B">
            <w:pPr>
              <w:spacing w:line="440" w:lineRule="exact"/>
              <w:ind w:left="462" w:hangingChars="165" w:hanging="4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二、本局及所屬地所一般公務員(含聘僱人員)及高階公務人員(薦任主管以上人員)本年度參加</w:t>
            </w:r>
            <w:r w:rsidRPr="00C26454">
              <w:rPr>
                <w:rFonts w:ascii="標楷體" w:eastAsia="標楷體" w:hAnsi="標楷體" w:hint="eastAsia"/>
                <w:b/>
                <w:sz w:val="28"/>
                <w:u w:val="single"/>
              </w:rPr>
              <w:t>3小時CEDAW實體課程</w:t>
            </w:r>
            <w:r>
              <w:rPr>
                <w:rFonts w:ascii="標楷體" w:eastAsia="標楷體" w:hAnsi="標楷體" w:hint="eastAsia"/>
                <w:sz w:val="28"/>
              </w:rPr>
              <w:t>(「一般公務人員班」及「高階公務人員班」)比例應分別達40%，請各科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室及地所配合辦理並配合調訓。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A4E" w:rsidRDefault="00452A4E" w:rsidP="00A0636B">
            <w:pPr>
              <w:spacing w:line="440" w:lineRule="exact"/>
              <w:ind w:left="605" w:hangingChars="216" w:hanging="60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一、本年度所屬永康、臺南、歸仁及鹽水等地政事務所共辦理</w:t>
            </w:r>
            <w:r w:rsidRPr="002A1580">
              <w:rPr>
                <w:rFonts w:ascii="標楷體" w:eastAsia="標楷體" w:hAnsi="標楷體" w:hint="eastAsia"/>
                <w:sz w:val="28"/>
                <w:u w:val="single"/>
              </w:rPr>
              <w:t>7場次</w:t>
            </w:r>
            <w:r>
              <w:rPr>
                <w:rFonts w:ascii="標楷體" w:eastAsia="標楷體" w:hAnsi="標楷體" w:hint="eastAsia"/>
                <w:sz w:val="28"/>
              </w:rPr>
              <w:t>CEDAW實體課程；本局與民治六局共合辦</w:t>
            </w:r>
            <w:r w:rsidRPr="002A1580">
              <w:rPr>
                <w:rFonts w:ascii="標楷體" w:eastAsia="標楷體" w:hAnsi="標楷體" w:hint="eastAsia"/>
                <w:sz w:val="28"/>
                <w:u w:val="single"/>
              </w:rPr>
              <w:t>3場次</w:t>
            </w:r>
            <w:r>
              <w:rPr>
                <w:rFonts w:ascii="標楷體" w:eastAsia="標楷體" w:hAnsi="標楷體" w:hint="eastAsia"/>
                <w:sz w:val="28"/>
              </w:rPr>
              <w:t>。每場次皆按人員(一般公務人員班及高階公務人員班)設計不同課程。</w:t>
            </w:r>
          </w:p>
          <w:p w:rsidR="00452A4E" w:rsidRDefault="00452A4E" w:rsidP="00A0636B">
            <w:pPr>
              <w:spacing w:line="440" w:lineRule="exact"/>
              <w:ind w:left="462" w:hangingChars="165" w:hanging="4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二、本局公務人員3小時CEDAW實體課程參訓率分述如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下：</w:t>
            </w:r>
          </w:p>
          <w:p w:rsidR="00452A4E" w:rsidRDefault="00452A4E" w:rsidP="00A0636B">
            <w:pPr>
              <w:spacing w:line="440" w:lineRule="exact"/>
              <w:ind w:leftChars="100" w:left="702" w:hangingChars="165" w:hanging="4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(一)</w:t>
            </w:r>
            <w:r w:rsidRPr="002A1580">
              <w:rPr>
                <w:rFonts w:ascii="標楷體" w:eastAsia="標楷體" w:hAnsi="標楷體" w:hint="eastAsia"/>
                <w:b/>
                <w:sz w:val="28"/>
                <w:u w:val="single"/>
              </w:rPr>
              <w:t>主管</w:t>
            </w:r>
            <w:r>
              <w:rPr>
                <w:rFonts w:ascii="標楷體" w:eastAsia="標楷體" w:hAnsi="標楷體" w:hint="eastAsia"/>
                <w:sz w:val="28"/>
              </w:rPr>
              <w:t>：13/16</w:t>
            </w:r>
            <w:r>
              <w:rPr>
                <w:rFonts w:ascii="標楷體" w:eastAsia="標楷體" w:hAnsi="標楷體"/>
                <w:sz w:val="28"/>
              </w:rPr>
              <w:t>=</w:t>
            </w:r>
            <w:r w:rsidRPr="002A1580">
              <w:rPr>
                <w:rFonts w:ascii="標楷體" w:eastAsia="標楷體" w:hAnsi="標楷體"/>
                <w:b/>
                <w:sz w:val="28"/>
                <w:u w:val="single"/>
              </w:rPr>
              <w:t>81.25%</w:t>
            </w:r>
          </w:p>
          <w:p w:rsidR="00452A4E" w:rsidRPr="00451E65" w:rsidRDefault="00452A4E" w:rsidP="00A0636B">
            <w:pPr>
              <w:spacing w:line="440" w:lineRule="exact"/>
              <w:ind w:leftChars="100" w:left="702" w:hangingChars="165" w:hanging="4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</w:t>
            </w:r>
            <w:r w:rsidRPr="002A1580">
              <w:rPr>
                <w:rFonts w:ascii="標楷體" w:eastAsia="標楷體" w:hAnsi="標楷體" w:hint="eastAsia"/>
                <w:b/>
                <w:sz w:val="28"/>
                <w:u w:val="single"/>
              </w:rPr>
              <w:t>一般人員</w:t>
            </w:r>
            <w:r>
              <w:rPr>
                <w:rFonts w:ascii="標楷體" w:eastAsia="標楷體" w:hAnsi="標楷體" w:hint="eastAsia"/>
                <w:sz w:val="28"/>
              </w:rPr>
              <w:t>：118/131</w:t>
            </w:r>
            <w:r>
              <w:rPr>
                <w:rFonts w:ascii="標楷體" w:eastAsia="標楷體" w:hAnsi="標楷體"/>
                <w:sz w:val="28"/>
              </w:rPr>
              <w:t>=</w:t>
            </w:r>
            <w:r w:rsidRPr="002A1580">
              <w:rPr>
                <w:rFonts w:ascii="標楷體" w:eastAsia="標楷體" w:hAnsi="標楷體"/>
                <w:b/>
                <w:sz w:val="28"/>
                <w:u w:val="single"/>
              </w:rPr>
              <w:t>90%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52A4E" w:rsidRPr="005004C8" w:rsidRDefault="00452A4E" w:rsidP="00A0636B">
            <w:pPr>
              <w:spacing w:line="440" w:lineRule="exact"/>
              <w:ind w:left="605" w:hangingChars="216" w:hanging="605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lastRenderedPageBreak/>
              <w:t>照案通過。</w:t>
            </w:r>
          </w:p>
        </w:tc>
      </w:tr>
      <w:tr w:rsidR="00452A4E" w:rsidRPr="00451E65" w:rsidTr="005004C8">
        <w:trPr>
          <w:jc w:val="center"/>
        </w:trPr>
        <w:tc>
          <w:tcPr>
            <w:tcW w:w="747" w:type="dxa"/>
            <w:vMerge w:val="restart"/>
          </w:tcPr>
          <w:p w:rsidR="00452A4E" w:rsidRDefault="00452A4E" w:rsidP="005539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秘</w:t>
            </w:r>
          </w:p>
          <w:p w:rsidR="00452A4E" w:rsidRDefault="00452A4E" w:rsidP="005539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書</w:t>
            </w:r>
          </w:p>
          <w:p w:rsidR="00452A4E" w:rsidRPr="00451E65" w:rsidRDefault="00452A4E" w:rsidP="0055393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室</w:t>
            </w:r>
          </w:p>
        </w:tc>
        <w:tc>
          <w:tcPr>
            <w:tcW w:w="1232" w:type="dxa"/>
            <w:vMerge w:val="restart"/>
          </w:tcPr>
          <w:p w:rsidR="00452A4E" w:rsidRDefault="00452A4E" w:rsidP="0055393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第二案：</w:t>
            </w:r>
          </w:p>
          <w:p w:rsidR="00452A4E" w:rsidRPr="00451E65" w:rsidRDefault="00452A4E" w:rsidP="0055393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訂定「落實性別影響評估」及「性別平等相關法規推動、落實與檢視修正」目標案。</w:t>
            </w:r>
          </w:p>
        </w:tc>
        <w:tc>
          <w:tcPr>
            <w:tcW w:w="2411" w:type="dxa"/>
          </w:tcPr>
          <w:p w:rsidR="00452A4E" w:rsidRPr="00451E65" w:rsidRDefault="00452A4E" w:rsidP="00553934">
            <w:pPr>
              <w:spacing w:line="44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一、請</w:t>
            </w:r>
            <w:r w:rsidRPr="00AD4DFF">
              <w:rPr>
                <w:rFonts w:ascii="標楷體" w:eastAsia="標楷體" w:hAnsi="標楷體" w:hint="eastAsia"/>
                <w:b/>
                <w:sz w:val="28"/>
              </w:rPr>
              <w:t>開發工程科</w:t>
            </w:r>
            <w:r>
              <w:rPr>
                <w:rFonts w:ascii="標楷體" w:eastAsia="標楷體" w:hAnsi="標楷體" w:hint="eastAsia"/>
                <w:sz w:val="28"/>
              </w:rPr>
              <w:t>於6月15日前提交一項不須由臺南市政府一層決行之計畫辦理性別影響評估。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A4E" w:rsidRDefault="00452A4E" w:rsidP="005539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52BD3">
              <w:rPr>
                <w:rFonts w:ascii="標楷體" w:eastAsia="標楷體" w:hAnsi="標楷體" w:hint="eastAsia"/>
                <w:sz w:val="28"/>
              </w:rPr>
              <w:t>開發工程科</w:t>
            </w:r>
            <w:r>
              <w:rPr>
                <w:rFonts w:ascii="標楷體" w:eastAsia="標楷體" w:hAnsi="標楷體" w:hint="eastAsia"/>
                <w:sz w:val="28"/>
              </w:rPr>
              <w:t>已依限提交</w:t>
            </w:r>
            <w:r w:rsidRPr="00D35DE3">
              <w:rPr>
                <w:rFonts w:ascii="標楷體" w:eastAsia="標楷體" w:hAnsi="標楷體" w:hint="eastAsia"/>
                <w:b/>
                <w:sz w:val="28"/>
                <w:u w:val="single"/>
              </w:rPr>
              <w:t>「臺南市北安商業區市地重劃工程委託專案管理技術服務」勞務採購計畫</w:t>
            </w:r>
            <w:r>
              <w:rPr>
                <w:rFonts w:ascii="標楷體" w:eastAsia="標楷體" w:hAnsi="標楷體" w:hint="eastAsia"/>
                <w:sz w:val="28"/>
              </w:rPr>
              <w:t>之性別影響評估檢視表。</w:t>
            </w:r>
          </w:p>
          <w:p w:rsidR="00452A4E" w:rsidRPr="00451E65" w:rsidRDefault="00452A4E" w:rsidP="0055393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(P28-P32)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52A4E" w:rsidRPr="005004C8" w:rsidRDefault="00452A4E" w:rsidP="0055393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t>照案通過。</w:t>
            </w:r>
          </w:p>
        </w:tc>
      </w:tr>
      <w:tr w:rsidR="00452A4E" w:rsidRPr="00451E65" w:rsidTr="005004C8">
        <w:trPr>
          <w:jc w:val="center"/>
        </w:trPr>
        <w:tc>
          <w:tcPr>
            <w:tcW w:w="747" w:type="dxa"/>
            <w:vMerge/>
          </w:tcPr>
          <w:p w:rsidR="00452A4E" w:rsidRPr="00451E65" w:rsidRDefault="00452A4E" w:rsidP="00452A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:rsidR="00452A4E" w:rsidRPr="00451E65" w:rsidRDefault="00452A4E" w:rsidP="00452A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1" w:type="dxa"/>
          </w:tcPr>
          <w:p w:rsidR="00452A4E" w:rsidRPr="00451E65" w:rsidRDefault="00452A4E" w:rsidP="00452A4E">
            <w:pPr>
              <w:spacing w:line="44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二、請</w:t>
            </w:r>
            <w:r w:rsidRPr="00AD4DFF">
              <w:rPr>
                <w:rFonts w:ascii="標楷體" w:eastAsia="標楷體" w:hAnsi="標楷體" w:hint="eastAsia"/>
                <w:b/>
                <w:sz w:val="28"/>
              </w:rPr>
              <w:t>市地重劃科</w:t>
            </w:r>
            <w:r>
              <w:rPr>
                <w:rFonts w:ascii="標楷體" w:eastAsia="標楷體" w:hAnsi="標楷體" w:hint="eastAsia"/>
                <w:sz w:val="28"/>
              </w:rPr>
              <w:t>及</w:t>
            </w:r>
            <w:r w:rsidRPr="00AD4DFF">
              <w:rPr>
                <w:rFonts w:ascii="標楷體" w:eastAsia="標楷體" w:hAnsi="標楷體" w:hint="eastAsia"/>
                <w:b/>
                <w:sz w:val="28"/>
              </w:rPr>
              <w:t>農地重劃科</w:t>
            </w:r>
            <w:r>
              <w:rPr>
                <w:rFonts w:ascii="標楷體" w:eastAsia="標楷體" w:hAnsi="標楷體" w:hint="eastAsia"/>
                <w:sz w:val="28"/>
              </w:rPr>
              <w:t>分別提交「市地重劃委員會設置要點」、「農地重劃區農路水路管理維護要點」法規修正之性別影響評估檢視表。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A4E" w:rsidRDefault="00452A4E" w:rsidP="00452A4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市地重劃科</w:t>
            </w:r>
            <w:r w:rsidRPr="00052BD3">
              <w:rPr>
                <w:rFonts w:ascii="標楷體" w:eastAsia="標楷體" w:hAnsi="標楷體" w:hint="eastAsia"/>
                <w:sz w:val="28"/>
              </w:rPr>
              <w:t>、農地重劃科</w:t>
            </w:r>
            <w:r>
              <w:rPr>
                <w:rFonts w:ascii="標楷體" w:eastAsia="標楷體" w:hAnsi="標楷體" w:hint="eastAsia"/>
                <w:sz w:val="28"/>
              </w:rPr>
              <w:t>已</w:t>
            </w:r>
            <w:r w:rsidRPr="00052BD3">
              <w:rPr>
                <w:rFonts w:ascii="標楷體" w:eastAsia="標楷體" w:hAnsi="標楷體" w:hint="eastAsia"/>
                <w:sz w:val="28"/>
              </w:rPr>
              <w:t>分別提交</w:t>
            </w:r>
            <w:r w:rsidRPr="00D35DE3">
              <w:rPr>
                <w:rFonts w:ascii="標楷體" w:eastAsia="標楷體" w:hAnsi="標楷體" w:hint="eastAsia"/>
                <w:b/>
                <w:sz w:val="28"/>
                <w:u w:val="single"/>
              </w:rPr>
              <w:t>「臺南市市地重劃委員會設置要點」</w:t>
            </w:r>
            <w:r w:rsidRPr="00052BD3">
              <w:rPr>
                <w:rFonts w:ascii="標楷體" w:eastAsia="標楷體" w:hAnsi="標楷體" w:hint="eastAsia"/>
                <w:sz w:val="28"/>
              </w:rPr>
              <w:t>、</w:t>
            </w:r>
            <w:r w:rsidRPr="00D35DE3">
              <w:rPr>
                <w:rFonts w:ascii="標楷體" w:eastAsia="標楷體" w:hAnsi="標楷體" w:hint="eastAsia"/>
                <w:b/>
                <w:sz w:val="28"/>
                <w:u w:val="single"/>
              </w:rPr>
              <w:t>「臺南市農地重劃區農路水路管理維護執行要點」</w:t>
            </w:r>
            <w:r w:rsidRPr="00052BD3">
              <w:rPr>
                <w:rFonts w:ascii="標楷體" w:eastAsia="標楷體" w:hAnsi="標楷體" w:hint="eastAsia"/>
                <w:sz w:val="28"/>
              </w:rPr>
              <w:t>法規修正之性別影響評估檢視表。</w:t>
            </w:r>
          </w:p>
          <w:p w:rsidR="00452A4E" w:rsidRPr="00451E65" w:rsidRDefault="00452A4E" w:rsidP="00452A4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(P33-P40)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52A4E" w:rsidRPr="005004C8" w:rsidRDefault="00452A4E" w:rsidP="00452A4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t>照案通過。</w:t>
            </w:r>
          </w:p>
        </w:tc>
      </w:tr>
      <w:tr w:rsidR="00452A4E" w:rsidRPr="00451E65" w:rsidTr="005004C8">
        <w:trPr>
          <w:jc w:val="center"/>
        </w:trPr>
        <w:tc>
          <w:tcPr>
            <w:tcW w:w="747" w:type="dxa"/>
            <w:vMerge/>
          </w:tcPr>
          <w:p w:rsidR="00452A4E" w:rsidRPr="00451E65" w:rsidRDefault="00452A4E" w:rsidP="00452A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:rsidR="00452A4E" w:rsidRPr="00451E65" w:rsidRDefault="00452A4E" w:rsidP="00452A4E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1" w:type="dxa"/>
          </w:tcPr>
          <w:p w:rsidR="00452A4E" w:rsidRPr="00451E65" w:rsidRDefault="00452A4E" w:rsidP="00452A4E">
            <w:pPr>
              <w:spacing w:line="44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三、為完善性別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影響評估檢視作業，性別影響評估檢視表請統送秘書室審視送請性別平等學者專家審查。</w:t>
            </w:r>
          </w:p>
        </w:tc>
        <w:tc>
          <w:tcPr>
            <w:tcW w:w="2976" w:type="dxa"/>
            <w:shd w:val="clear" w:color="auto" w:fill="FFFFFF" w:themeFill="background1"/>
          </w:tcPr>
          <w:p w:rsidR="00452A4E" w:rsidRPr="00451E65" w:rsidRDefault="00452A4E" w:rsidP="00452A4E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已將市地重劃科</w:t>
            </w:r>
            <w:r w:rsidRPr="00052BD3">
              <w:rPr>
                <w:rFonts w:ascii="標楷體" w:eastAsia="標楷體" w:hAnsi="標楷體" w:hint="eastAsia"/>
                <w:sz w:val="28"/>
              </w:rPr>
              <w:t>、農</w:t>
            </w:r>
            <w:r w:rsidRPr="00052BD3">
              <w:rPr>
                <w:rFonts w:ascii="標楷體" w:eastAsia="標楷體" w:hAnsi="標楷體" w:hint="eastAsia"/>
                <w:sz w:val="28"/>
              </w:rPr>
              <w:lastRenderedPageBreak/>
              <w:t>地重劃科</w:t>
            </w:r>
            <w:r>
              <w:rPr>
                <w:rFonts w:ascii="標楷體" w:eastAsia="標楷體" w:hAnsi="標楷體" w:hint="eastAsia"/>
                <w:sz w:val="28"/>
              </w:rPr>
              <w:t>提交之法規修正</w:t>
            </w:r>
            <w:r w:rsidRPr="00052BD3">
              <w:rPr>
                <w:rFonts w:ascii="標楷體" w:eastAsia="標楷體" w:hAnsi="標楷體" w:hint="eastAsia"/>
                <w:sz w:val="28"/>
              </w:rPr>
              <w:t>性別影響評估檢視表</w:t>
            </w:r>
            <w:r>
              <w:rPr>
                <w:rFonts w:ascii="標楷體" w:eastAsia="標楷體" w:hAnsi="標楷體" w:hint="eastAsia"/>
                <w:sz w:val="28"/>
              </w:rPr>
              <w:t>，連同</w:t>
            </w:r>
            <w:r w:rsidRPr="00052BD3">
              <w:rPr>
                <w:rFonts w:ascii="標楷體" w:eastAsia="標楷體" w:hAnsi="標楷體" w:hint="eastAsia"/>
                <w:sz w:val="28"/>
              </w:rPr>
              <w:t>開發工程科</w:t>
            </w:r>
            <w:r>
              <w:rPr>
                <w:rFonts w:ascii="標楷體" w:eastAsia="標楷體" w:hAnsi="標楷體" w:hint="eastAsia"/>
                <w:sz w:val="28"/>
              </w:rPr>
              <w:t>先前提交上開計畫之性別影響評估檢視表，送請性別平等學者專家書面審查，刻正審查中。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52A4E" w:rsidRPr="005004C8" w:rsidRDefault="00452A4E" w:rsidP="00452A4E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lastRenderedPageBreak/>
              <w:t>請</w:t>
            </w:r>
            <w:r w:rsidR="002A086F" w:rsidRPr="005004C8">
              <w:rPr>
                <w:rFonts w:ascii="標楷體" w:eastAsia="標楷體" w:hAnsi="標楷體" w:hint="eastAsia"/>
                <w:b/>
                <w:sz w:val="28"/>
              </w:rPr>
              <w:t>市地重劃科、</w:t>
            </w:r>
            <w:r w:rsidR="002A086F" w:rsidRPr="005004C8">
              <w:rPr>
                <w:rFonts w:ascii="標楷體" w:eastAsia="標楷體" w:hAnsi="標楷體" w:hint="eastAsia"/>
                <w:b/>
                <w:sz w:val="28"/>
              </w:rPr>
              <w:lastRenderedPageBreak/>
              <w:t>農地重劃科及開發工程科</w:t>
            </w:r>
            <w:r w:rsidRPr="005004C8">
              <w:rPr>
                <w:rFonts w:ascii="標楷體" w:eastAsia="標楷體" w:hAnsi="標楷體" w:hint="eastAsia"/>
                <w:b/>
                <w:sz w:val="28"/>
              </w:rPr>
              <w:t>依委員</w:t>
            </w:r>
            <w:r w:rsidR="009F3ED4" w:rsidRPr="005004C8">
              <w:rPr>
                <w:rFonts w:ascii="標楷體" w:eastAsia="標楷體" w:hAnsi="標楷體" w:hint="eastAsia"/>
                <w:b/>
                <w:sz w:val="28"/>
              </w:rPr>
              <w:t>檢視結果填寫參採情形</w:t>
            </w:r>
            <w:r w:rsidR="005569CC" w:rsidRPr="005004C8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</w:tc>
      </w:tr>
      <w:tr w:rsidR="00D14484" w:rsidRPr="00451E65" w:rsidTr="005004C8">
        <w:trPr>
          <w:jc w:val="center"/>
        </w:trPr>
        <w:tc>
          <w:tcPr>
            <w:tcW w:w="747" w:type="dxa"/>
            <w:vMerge w:val="restart"/>
          </w:tcPr>
          <w:p w:rsidR="00D14484" w:rsidRDefault="00D14484" w:rsidP="00D144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會</w:t>
            </w:r>
          </w:p>
          <w:p w:rsidR="00D14484" w:rsidRDefault="00D14484" w:rsidP="00D144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</w:t>
            </w:r>
          </w:p>
          <w:p w:rsidR="00D14484" w:rsidRPr="00451E65" w:rsidRDefault="00D14484" w:rsidP="00D1448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室</w:t>
            </w:r>
          </w:p>
        </w:tc>
        <w:tc>
          <w:tcPr>
            <w:tcW w:w="1232" w:type="dxa"/>
            <w:vMerge w:val="restart"/>
          </w:tcPr>
          <w:p w:rsidR="00D14484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第三案：</w:t>
            </w:r>
          </w:p>
          <w:p w:rsidR="00D14484" w:rsidRPr="00451E65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檢視「性別預算」及「性別統計與性別分析」相關資料。</w:t>
            </w:r>
          </w:p>
        </w:tc>
        <w:tc>
          <w:tcPr>
            <w:tcW w:w="2411" w:type="dxa"/>
          </w:tcPr>
          <w:p w:rsidR="00D14484" w:rsidRPr="00451E65" w:rsidRDefault="00D14484" w:rsidP="00D14484">
            <w:pPr>
              <w:spacing w:line="44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一、請各科室及各地所依「臺南市政府各機關性別預算表填表說明」，重行檢視並提報108年性別預算後交會計室彙整。</w:t>
            </w:r>
          </w:p>
        </w:tc>
        <w:tc>
          <w:tcPr>
            <w:tcW w:w="2976" w:type="dxa"/>
            <w:shd w:val="clear" w:color="auto" w:fill="FFFFFF" w:themeFill="background1"/>
          </w:tcPr>
          <w:p w:rsidR="00D14484" w:rsidRPr="00451E65" w:rsidRDefault="00D14484" w:rsidP="00D1448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彙整各科室填報之性別預算，預計於本局第2次性別平等工作小組會議提案討論本局108年度性別預算表。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(P63-P65)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14484" w:rsidRPr="005004C8" w:rsidRDefault="00D14484" w:rsidP="00D1448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t>如案由二。</w:t>
            </w:r>
          </w:p>
        </w:tc>
      </w:tr>
      <w:tr w:rsidR="00D14484" w:rsidRPr="00451E65" w:rsidTr="005004C8">
        <w:trPr>
          <w:jc w:val="center"/>
        </w:trPr>
        <w:tc>
          <w:tcPr>
            <w:tcW w:w="747" w:type="dxa"/>
            <w:vMerge/>
          </w:tcPr>
          <w:p w:rsidR="00D14484" w:rsidRPr="00451E65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2" w:type="dxa"/>
            <w:vMerge/>
          </w:tcPr>
          <w:p w:rsidR="00D14484" w:rsidRPr="00451E65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1" w:type="dxa"/>
          </w:tcPr>
          <w:p w:rsidR="00D14484" w:rsidRPr="00451E65" w:rsidRDefault="00D14484" w:rsidP="00D14484">
            <w:pPr>
              <w:spacing w:line="44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二、107年度性別統計與性別分析請</w:t>
            </w:r>
            <w:r w:rsidRPr="00AD4DFF">
              <w:rPr>
                <w:rFonts w:ascii="標楷體" w:eastAsia="標楷體" w:hAnsi="標楷體" w:hint="eastAsia"/>
                <w:b/>
                <w:sz w:val="28"/>
              </w:rPr>
              <w:t>地籍科</w:t>
            </w:r>
            <w:r>
              <w:rPr>
                <w:rFonts w:ascii="標楷體" w:eastAsia="標楷體" w:hAnsi="標楷體" w:hint="eastAsia"/>
                <w:sz w:val="28"/>
              </w:rPr>
              <w:t>提報，地籍科可修正「106年度外國人取得臺南市不動產研究分析報告書」再納入性別統計及分析。</w:t>
            </w:r>
          </w:p>
        </w:tc>
        <w:tc>
          <w:tcPr>
            <w:tcW w:w="2976" w:type="dxa"/>
            <w:shd w:val="clear" w:color="auto" w:fill="FFFFFF" w:themeFill="background1"/>
          </w:tcPr>
          <w:p w:rsidR="00D14484" w:rsidRPr="00451E65" w:rsidRDefault="00D14484" w:rsidP="00D1448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將地籍科提供</w:t>
            </w:r>
            <w:r w:rsidRPr="00D35DE3">
              <w:rPr>
                <w:rFonts w:ascii="標楷體" w:eastAsia="標楷體" w:hAnsi="標楷體" w:hint="eastAsia"/>
                <w:b/>
                <w:sz w:val="28"/>
                <w:u w:val="single"/>
              </w:rPr>
              <w:t>「10</w:t>
            </w:r>
            <w:r w:rsidRPr="00D35DE3">
              <w:rPr>
                <w:rFonts w:ascii="標楷體" w:eastAsia="標楷體" w:hAnsi="標楷體"/>
                <w:b/>
                <w:sz w:val="28"/>
                <w:u w:val="single"/>
              </w:rPr>
              <w:t>7</w:t>
            </w:r>
            <w:r w:rsidRPr="00D35DE3">
              <w:rPr>
                <w:rFonts w:ascii="標楷體" w:eastAsia="標楷體" w:hAnsi="標楷體" w:hint="eastAsia"/>
                <w:b/>
                <w:sz w:val="28"/>
                <w:u w:val="single"/>
              </w:rPr>
              <w:t>年度外國人取得臺南市不動產研究分析報告書」</w:t>
            </w:r>
            <w:r>
              <w:rPr>
                <w:rFonts w:ascii="標楷體" w:eastAsia="標楷體" w:hAnsi="標楷體" w:hint="eastAsia"/>
                <w:sz w:val="28"/>
              </w:rPr>
              <w:t>列入性別統計及分析，並上傳本局網站。(P41-P62)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14484" w:rsidRPr="005004C8" w:rsidRDefault="00BA0B8E" w:rsidP="00BA0B8E">
            <w:pPr>
              <w:spacing w:line="400" w:lineRule="exact"/>
              <w:ind w:left="462" w:hangingChars="165" w:hanging="462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D14484" w:rsidRPr="005004C8">
              <w:rPr>
                <w:rFonts w:ascii="標楷體" w:eastAsia="標楷體" w:hAnsi="標楷體" w:hint="eastAsia"/>
                <w:b/>
                <w:sz w:val="28"/>
              </w:rPr>
              <w:t>照案通過</w:t>
            </w:r>
            <w:r w:rsidRPr="005004C8">
              <w:rPr>
                <w:rFonts w:ascii="標楷體" w:eastAsia="標楷體" w:hAnsi="標楷體" w:hint="eastAsia"/>
                <w:b/>
                <w:sz w:val="28"/>
              </w:rPr>
              <w:t>，並依本局性別平等工作小組107年第1次會議決議，核予承辦人嘉獎2次</w:t>
            </w:r>
            <w:r w:rsidR="00D14484" w:rsidRPr="005004C8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BA0B8E" w:rsidRPr="005004C8" w:rsidRDefault="00BA0B8E" w:rsidP="00BA0B8E">
            <w:pPr>
              <w:spacing w:line="400" w:lineRule="exact"/>
              <w:ind w:left="462" w:hangingChars="165" w:hanging="462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t>二、108年性別統計分析請地籍科於明年3月前</w:t>
            </w:r>
            <w:r w:rsidR="000C64C4" w:rsidRPr="005004C8">
              <w:rPr>
                <w:rFonts w:ascii="標楷體" w:eastAsia="標楷體" w:hAnsi="標楷體" w:hint="eastAsia"/>
                <w:b/>
                <w:sz w:val="28"/>
              </w:rPr>
              <w:t>提</w:t>
            </w:r>
            <w:r w:rsidRPr="005004C8">
              <w:rPr>
                <w:rFonts w:ascii="標楷體" w:eastAsia="標楷體" w:hAnsi="標楷體" w:hint="eastAsia"/>
                <w:b/>
                <w:sz w:val="28"/>
              </w:rPr>
              <w:t>送會計室，並請地政事務所協助提供相關資料。</w:t>
            </w:r>
          </w:p>
        </w:tc>
      </w:tr>
      <w:tr w:rsidR="00D14484" w:rsidRPr="00451E65" w:rsidTr="005004C8">
        <w:trPr>
          <w:jc w:val="center"/>
        </w:trPr>
        <w:tc>
          <w:tcPr>
            <w:tcW w:w="747" w:type="dxa"/>
          </w:tcPr>
          <w:p w:rsidR="00D14484" w:rsidRPr="00451E65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臨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時動議</w:t>
            </w:r>
          </w:p>
        </w:tc>
        <w:tc>
          <w:tcPr>
            <w:tcW w:w="1232" w:type="dxa"/>
          </w:tcPr>
          <w:p w:rsidR="00D14484" w:rsidRPr="00451E65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1" w:type="dxa"/>
          </w:tcPr>
          <w:p w:rsidR="00D14484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請各科室及各地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所結合自身業務對業管人民團體或民間組織(如地政士公會、不動產估價師公會等)辦理多元性別平等宣導，並將宣導活動預告及成果上傳行政院性別平等會「地方性平有GO站」網站。</w:t>
            </w:r>
          </w:p>
        </w:tc>
        <w:tc>
          <w:tcPr>
            <w:tcW w:w="2976" w:type="dxa"/>
            <w:shd w:val="clear" w:color="auto" w:fill="FFFFFF" w:themeFill="background1"/>
          </w:tcPr>
          <w:p w:rsidR="00D14484" w:rsidRDefault="00D14484" w:rsidP="00D1448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各科室如有辦理性別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平等宣導活動預告及成果，請將相關資料提供秘書室上傳行政院性別平等會「地方性平有GO站」網站。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14484" w:rsidRPr="005004C8" w:rsidRDefault="00D14484" w:rsidP="00D1448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lastRenderedPageBreak/>
              <w:t>照案通過。</w:t>
            </w:r>
          </w:p>
        </w:tc>
      </w:tr>
      <w:tr w:rsidR="00D14484" w:rsidRPr="00451E65" w:rsidTr="005004C8">
        <w:trPr>
          <w:jc w:val="center"/>
        </w:trPr>
        <w:tc>
          <w:tcPr>
            <w:tcW w:w="747" w:type="dxa"/>
          </w:tcPr>
          <w:p w:rsidR="00D14484" w:rsidRPr="00451E65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臨時動議</w:t>
            </w:r>
          </w:p>
        </w:tc>
        <w:tc>
          <w:tcPr>
            <w:tcW w:w="1232" w:type="dxa"/>
          </w:tcPr>
          <w:p w:rsidR="00D14484" w:rsidRPr="00451E65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1" w:type="dxa"/>
          </w:tcPr>
          <w:p w:rsidR="00D14484" w:rsidRDefault="00D14484" w:rsidP="00D14484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所屬委員會(或任務編組)委員屆次或改派時，請落實委員任一性別比例達三分之一。</w:t>
            </w:r>
          </w:p>
        </w:tc>
        <w:tc>
          <w:tcPr>
            <w:tcW w:w="2976" w:type="dxa"/>
            <w:shd w:val="clear" w:color="auto" w:fill="FFFFFF" w:themeFill="background1"/>
          </w:tcPr>
          <w:p w:rsidR="00D14484" w:rsidRDefault="00D14484" w:rsidP="00D1448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請各科室配合辦理，以落實委員會委員任一性別比例達三分之一。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14484" w:rsidRPr="005004C8" w:rsidRDefault="00D14484" w:rsidP="00D14484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5004C8">
              <w:rPr>
                <w:rFonts w:ascii="標楷體" w:eastAsia="標楷體" w:hAnsi="標楷體" w:hint="eastAsia"/>
                <w:b/>
                <w:sz w:val="28"/>
              </w:rPr>
              <w:t>照案通過。</w:t>
            </w:r>
          </w:p>
        </w:tc>
      </w:tr>
    </w:tbl>
    <w:p w:rsidR="004C6DDB" w:rsidRDefault="004C6DDB" w:rsidP="0052049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C6DDB" w:rsidRDefault="004C6DDB" w:rsidP="007C0800">
      <w:pPr>
        <w:spacing w:line="500" w:lineRule="exact"/>
        <w:ind w:left="991" w:hangingChars="354" w:hanging="99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案由</w:t>
      </w:r>
      <w:r w:rsidR="00D35DE3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35A97">
        <w:rPr>
          <w:rFonts w:ascii="標楷體" w:eastAsia="標楷體" w:hAnsi="標楷體" w:hint="eastAsia"/>
          <w:sz w:val="28"/>
          <w:szCs w:val="28"/>
        </w:rPr>
        <w:t>本局及各地所提報108年度性別預算</w:t>
      </w:r>
      <w:r w:rsidR="000B592B">
        <w:rPr>
          <w:rFonts w:ascii="標楷體" w:eastAsia="標楷體" w:hAnsi="標楷體" w:hint="eastAsia"/>
          <w:sz w:val="28"/>
          <w:szCs w:val="28"/>
        </w:rPr>
        <w:t>(P</w:t>
      </w:r>
      <w:r w:rsidR="003E10CC">
        <w:rPr>
          <w:rFonts w:ascii="標楷體" w:eastAsia="標楷體" w:hAnsi="標楷體" w:hint="eastAsia"/>
          <w:sz w:val="28"/>
          <w:szCs w:val="28"/>
        </w:rPr>
        <w:t>63</w:t>
      </w:r>
      <w:r w:rsidR="007C0800">
        <w:rPr>
          <w:rFonts w:ascii="標楷體" w:eastAsia="標楷體" w:hAnsi="標楷體" w:hint="eastAsia"/>
          <w:sz w:val="28"/>
          <w:szCs w:val="28"/>
        </w:rPr>
        <w:t>-P</w:t>
      </w:r>
      <w:r w:rsidR="003E10CC">
        <w:rPr>
          <w:rFonts w:ascii="標楷體" w:eastAsia="標楷體" w:hAnsi="標楷體" w:hint="eastAsia"/>
          <w:sz w:val="28"/>
          <w:szCs w:val="28"/>
        </w:rPr>
        <w:t>65</w:t>
      </w:r>
      <w:r w:rsidR="007C0800">
        <w:rPr>
          <w:rFonts w:ascii="標楷體" w:eastAsia="標楷體" w:hAnsi="標楷體" w:hint="eastAsia"/>
          <w:sz w:val="28"/>
          <w:szCs w:val="28"/>
        </w:rPr>
        <w:t>)</w:t>
      </w:r>
      <w:r w:rsidR="00535A97">
        <w:rPr>
          <w:rFonts w:ascii="標楷體" w:eastAsia="標楷體" w:hAnsi="標楷體" w:hint="eastAsia"/>
          <w:sz w:val="28"/>
          <w:szCs w:val="28"/>
        </w:rPr>
        <w:t>，提請討論。</w:t>
      </w:r>
      <w:r w:rsidR="00CE6BED">
        <w:rPr>
          <w:rFonts w:ascii="標楷體" w:eastAsia="標楷體" w:hAnsi="標楷體" w:hint="eastAsia"/>
          <w:color w:val="000000"/>
          <w:sz w:val="28"/>
          <w:szCs w:val="28"/>
        </w:rPr>
        <w:t>(會計室提案)</w:t>
      </w:r>
    </w:p>
    <w:p w:rsidR="004C6DDB" w:rsidRDefault="004C6DDB" w:rsidP="004C6DDB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  <w:r w:rsidR="00535A97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535A97" w:rsidRDefault="00535A97" w:rsidP="00641EF8">
      <w:pPr>
        <w:pStyle w:val="a3"/>
        <w:numPr>
          <w:ilvl w:val="0"/>
          <w:numId w:val="6"/>
        </w:numPr>
        <w:spacing w:line="500" w:lineRule="exact"/>
        <w:ind w:leftChars="0" w:left="851" w:hanging="61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F55E9">
        <w:rPr>
          <w:rFonts w:ascii="標楷體" w:eastAsia="標楷體" w:hAnsi="標楷體" w:hint="eastAsia"/>
          <w:color w:val="000000"/>
          <w:sz w:val="28"/>
          <w:szCs w:val="28"/>
        </w:rPr>
        <w:t>臺南市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政府各機關單位性別預算表」</w:t>
      </w:r>
      <w:r w:rsidR="00641EF8">
        <w:rPr>
          <w:rFonts w:ascii="標楷體" w:eastAsia="標楷體" w:hAnsi="標楷體" w:hint="eastAsia"/>
          <w:color w:val="000000"/>
          <w:sz w:val="28"/>
          <w:szCs w:val="28"/>
        </w:rPr>
        <w:t>一、單位預算部分，共本局、永康、臺南、安南及東南地政事務所提報</w:t>
      </w:r>
      <w:r w:rsidR="00E337E0">
        <w:rPr>
          <w:rFonts w:ascii="標楷體" w:eastAsia="標楷體" w:hAnsi="標楷體" w:hint="eastAsia"/>
          <w:color w:val="000000"/>
          <w:sz w:val="28"/>
          <w:szCs w:val="28"/>
        </w:rPr>
        <w:t>10項</w:t>
      </w:r>
      <w:r w:rsidR="00641EF8">
        <w:rPr>
          <w:rFonts w:ascii="標楷體" w:eastAsia="標楷體" w:hAnsi="標楷體" w:hint="eastAsia"/>
          <w:color w:val="000000"/>
          <w:sz w:val="28"/>
          <w:szCs w:val="28"/>
        </w:rPr>
        <w:t>性別預算</w:t>
      </w:r>
      <w:r w:rsidR="00E337E0">
        <w:rPr>
          <w:rFonts w:ascii="標楷體" w:eastAsia="標楷體" w:hAnsi="標楷體" w:hint="eastAsia"/>
          <w:color w:val="000000"/>
          <w:sz w:val="28"/>
          <w:szCs w:val="28"/>
        </w:rPr>
        <w:t>168</w:t>
      </w:r>
      <w:r w:rsidR="00E337E0">
        <w:rPr>
          <w:rFonts w:ascii="標楷體" w:eastAsia="標楷體" w:hAnsi="標楷體"/>
          <w:color w:val="000000"/>
          <w:sz w:val="28"/>
          <w:szCs w:val="28"/>
        </w:rPr>
        <w:t>,</w:t>
      </w:r>
      <w:r w:rsidR="00E337E0">
        <w:rPr>
          <w:rFonts w:ascii="標楷體" w:eastAsia="標楷體" w:hAnsi="標楷體" w:hint="eastAsia"/>
          <w:color w:val="000000"/>
          <w:sz w:val="28"/>
          <w:szCs w:val="28"/>
        </w:rPr>
        <w:t>400元</w:t>
      </w:r>
      <w:r w:rsidR="00D545F0">
        <w:rPr>
          <w:rFonts w:ascii="標楷體" w:eastAsia="標楷體" w:hAnsi="標楷體" w:hint="eastAsia"/>
          <w:color w:val="000000"/>
          <w:sz w:val="28"/>
          <w:szCs w:val="28"/>
        </w:rPr>
        <w:t>，較107年度減少80</w:t>
      </w:r>
      <w:r w:rsidR="00D545F0">
        <w:rPr>
          <w:rFonts w:ascii="標楷體" w:eastAsia="標楷體" w:hAnsi="標楷體"/>
          <w:color w:val="000000"/>
          <w:sz w:val="28"/>
          <w:szCs w:val="28"/>
        </w:rPr>
        <w:t>,</w:t>
      </w:r>
      <w:r w:rsidR="00D545F0">
        <w:rPr>
          <w:rFonts w:ascii="標楷體" w:eastAsia="標楷體" w:hAnsi="標楷體" w:hint="eastAsia"/>
          <w:color w:val="000000"/>
          <w:sz w:val="28"/>
          <w:szCs w:val="28"/>
        </w:rPr>
        <w:t>035元</w:t>
      </w:r>
      <w:r w:rsidR="00641E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41EF8" w:rsidRDefault="00641EF8" w:rsidP="00641EF8">
      <w:pPr>
        <w:pStyle w:val="a3"/>
        <w:numPr>
          <w:ilvl w:val="0"/>
          <w:numId w:val="6"/>
        </w:numPr>
        <w:spacing w:line="500" w:lineRule="exact"/>
        <w:ind w:leftChars="0" w:left="851" w:hanging="61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「臺南市政府各機關單位性別預算表」二、附屬單位預算部分2促進各種職場性別平等工作機會的預算，由本局</w:t>
      </w:r>
      <w:r w:rsidR="00544393">
        <w:rPr>
          <w:rFonts w:ascii="標楷體" w:eastAsia="標楷體" w:hAnsi="標楷體" w:hint="eastAsia"/>
          <w:color w:val="000000"/>
          <w:sz w:val="28"/>
          <w:szCs w:val="28"/>
        </w:rPr>
        <w:t>開發工程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科提報「臺南市北安商業區市地重劃工程委託專案管理技術服務採購」4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</w:rPr>
        <w:t>391</w:t>
      </w:r>
      <w:r>
        <w:rPr>
          <w:rFonts w:ascii="標楷體" w:eastAsia="標楷體" w:hAnsi="標楷體"/>
          <w:color w:val="000000"/>
          <w:sz w:val="28"/>
          <w:szCs w:val="28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</w:rPr>
        <w:t>000元，藉以鼓勵廠商提升內部性別多元化及執行相關性平計畫。</w:t>
      </w:r>
    </w:p>
    <w:p w:rsidR="00624520" w:rsidRPr="00F2412B" w:rsidRDefault="00624520" w:rsidP="00F2412B">
      <w:pPr>
        <w:spacing w:line="500" w:lineRule="exact"/>
        <w:ind w:left="2268" w:hanging="2126"/>
        <w:rPr>
          <w:rFonts w:ascii="標楷體" w:eastAsia="標楷體" w:hAnsi="標楷體"/>
          <w:b/>
          <w:color w:val="000000"/>
          <w:sz w:val="28"/>
          <w:szCs w:val="28"/>
        </w:rPr>
      </w:pPr>
      <w:r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邱美月委員意見：計畫案辦理招標時，建議增列廠商須受過4小時以上性別平等教育訓練之條件</w:t>
      </w:r>
      <w:r w:rsidR="00D14484"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，以確保其人員具性別</w:t>
      </w:r>
      <w:r w:rsidR="00F2412B"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概念</w:t>
      </w:r>
      <w:r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4C6DDB" w:rsidRPr="00F2412B" w:rsidRDefault="004C6DDB" w:rsidP="00F2412B">
      <w:pPr>
        <w:spacing w:line="500" w:lineRule="exact"/>
        <w:ind w:left="993" w:hanging="851"/>
        <w:rPr>
          <w:rFonts w:ascii="標楷體" w:eastAsia="標楷體" w:hAnsi="標楷體"/>
          <w:b/>
          <w:color w:val="000000"/>
          <w:sz w:val="28"/>
          <w:szCs w:val="28"/>
        </w:rPr>
      </w:pPr>
      <w:r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決議：</w:t>
      </w:r>
      <w:r w:rsidR="00D14484"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編列109年度性別預算時，請本局各科室及各地政事務所</w:t>
      </w:r>
      <w:r w:rsidR="002E355F"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依</w:t>
      </w:r>
      <w:r w:rsidR="00D14484"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「臺南市政府各機關性別預算填表說明」檢視提報。</w:t>
      </w:r>
    </w:p>
    <w:p w:rsidR="004C6DDB" w:rsidRDefault="005004C8" w:rsidP="0052049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4C6DDB">
        <w:rPr>
          <w:rFonts w:ascii="標楷體" w:eastAsia="標楷體" w:hAnsi="標楷體" w:hint="eastAsia"/>
          <w:color w:val="000000"/>
          <w:sz w:val="28"/>
          <w:szCs w:val="28"/>
        </w:rPr>
        <w:t>：臨時動議：</w:t>
      </w:r>
    </w:p>
    <w:p w:rsidR="00F2412B" w:rsidRDefault="00F2412B" w:rsidP="00635DEC">
      <w:pPr>
        <w:spacing w:line="500" w:lineRule="exact"/>
        <w:ind w:leftChars="59" w:left="2412" w:hangingChars="810" w:hanging="2270"/>
        <w:rPr>
          <w:rFonts w:ascii="標楷體" w:eastAsia="標楷體" w:hAnsi="標楷體"/>
          <w:b/>
          <w:color w:val="000000"/>
          <w:sz w:val="28"/>
          <w:szCs w:val="28"/>
        </w:rPr>
      </w:pPr>
      <w:r w:rsidRPr="00F2412B">
        <w:rPr>
          <w:rFonts w:ascii="標楷體" w:eastAsia="標楷體" w:hAnsi="標楷體" w:hint="eastAsia"/>
          <w:b/>
          <w:color w:val="000000"/>
          <w:sz w:val="28"/>
          <w:szCs w:val="28"/>
        </w:rPr>
        <w:t>邱美月委員提案：</w:t>
      </w:r>
      <w:r w:rsidR="00635DEC">
        <w:rPr>
          <w:rFonts w:ascii="標楷體" w:eastAsia="標楷體" w:hAnsi="標楷體" w:hint="eastAsia"/>
          <w:b/>
          <w:color w:val="000000"/>
          <w:sz w:val="28"/>
          <w:szCs w:val="28"/>
        </w:rPr>
        <w:t>建議辦理各地政事務所性別</w:t>
      </w:r>
      <w:r w:rsidR="005C1AD1">
        <w:rPr>
          <w:rFonts w:ascii="標楷體" w:eastAsia="標楷體" w:hAnsi="標楷體" w:hint="eastAsia"/>
          <w:b/>
          <w:color w:val="000000"/>
          <w:sz w:val="28"/>
          <w:szCs w:val="28"/>
        </w:rPr>
        <w:t>標語活動競賽</w:t>
      </w:r>
      <w:r w:rsidR="00635DEC">
        <w:rPr>
          <w:rFonts w:ascii="標楷體" w:eastAsia="標楷體" w:hAnsi="標楷體" w:hint="eastAsia"/>
          <w:b/>
          <w:color w:val="000000"/>
          <w:sz w:val="28"/>
          <w:szCs w:val="28"/>
        </w:rPr>
        <w:t>，以</w:t>
      </w:r>
      <w:r w:rsidR="005C1AD1">
        <w:rPr>
          <w:rFonts w:ascii="標楷體" w:eastAsia="標楷體" w:hAnsi="標楷體" w:hint="eastAsia"/>
          <w:b/>
          <w:color w:val="000000"/>
          <w:sz w:val="28"/>
          <w:szCs w:val="28"/>
        </w:rPr>
        <w:t>促進地所</w:t>
      </w:r>
      <w:r w:rsidR="00F739DA">
        <w:rPr>
          <w:rFonts w:ascii="標楷體" w:eastAsia="標楷體" w:hAnsi="標楷體" w:hint="eastAsia"/>
          <w:b/>
          <w:color w:val="000000"/>
          <w:sz w:val="28"/>
          <w:szCs w:val="28"/>
        </w:rPr>
        <w:t>性別平等業務</w:t>
      </w:r>
      <w:r w:rsidR="00635DEC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35DEC" w:rsidRPr="00635DEC" w:rsidRDefault="00635DEC" w:rsidP="00635DEC">
      <w:pPr>
        <w:spacing w:line="500" w:lineRule="exact"/>
        <w:ind w:leftChars="59" w:left="991" w:hangingChars="303" w:hanging="849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決議：請秘書室將</w:t>
      </w:r>
      <w:r w:rsidR="005C1AD1">
        <w:rPr>
          <w:rFonts w:ascii="標楷體" w:eastAsia="標楷體" w:hAnsi="標楷體" w:hint="eastAsia"/>
          <w:b/>
          <w:color w:val="000000"/>
          <w:sz w:val="28"/>
          <w:szCs w:val="28"/>
        </w:rPr>
        <w:t>地所推動性別友善環境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納入對地所業務督導考核加分項目，以</w:t>
      </w:r>
      <w:r w:rsidR="005C1AD1">
        <w:rPr>
          <w:rFonts w:ascii="標楷體" w:eastAsia="標楷體" w:hAnsi="標楷體" w:hint="eastAsia"/>
          <w:b/>
          <w:color w:val="000000"/>
          <w:sz w:val="28"/>
          <w:szCs w:val="28"/>
        </w:rPr>
        <w:t>提升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各地政事務所</w:t>
      </w:r>
      <w:r w:rsidR="005C1AD1">
        <w:rPr>
          <w:rFonts w:ascii="標楷體" w:eastAsia="標楷體" w:hAnsi="標楷體" w:hint="eastAsia"/>
          <w:b/>
          <w:color w:val="000000"/>
          <w:sz w:val="28"/>
          <w:szCs w:val="28"/>
        </w:rPr>
        <w:t>推動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性別平等業務之執行力。</w:t>
      </w:r>
    </w:p>
    <w:p w:rsidR="004C6DDB" w:rsidRPr="004C6DDB" w:rsidRDefault="005004C8" w:rsidP="0052049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="004C6DDB">
        <w:rPr>
          <w:rFonts w:ascii="標楷體" w:eastAsia="標楷體" w:hAnsi="標楷體" w:hint="eastAsia"/>
          <w:color w:val="000000"/>
          <w:sz w:val="28"/>
          <w:szCs w:val="28"/>
        </w:rPr>
        <w:t>：散會時間：</w:t>
      </w:r>
      <w:r w:rsidR="00F2412B">
        <w:rPr>
          <w:rFonts w:ascii="標楷體" w:eastAsia="標楷體" w:hAnsi="標楷體" w:hint="eastAsia"/>
          <w:color w:val="000000"/>
          <w:sz w:val="28"/>
          <w:szCs w:val="28"/>
        </w:rPr>
        <w:t>107年10月15日下午5時30分。</w:t>
      </w:r>
    </w:p>
    <w:sectPr w:rsidR="004C6DDB" w:rsidRPr="004C6DDB" w:rsidSect="00B6072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087" w:rsidRDefault="000F4087" w:rsidP="00E24281">
      <w:r>
        <w:separator/>
      </w:r>
    </w:p>
  </w:endnote>
  <w:endnote w:type="continuationSeparator" w:id="0">
    <w:p w:rsidR="000F4087" w:rsidRDefault="000F4087" w:rsidP="00E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281889"/>
      <w:docPartObj>
        <w:docPartGallery w:val="Page Numbers (Bottom of Page)"/>
        <w:docPartUnique/>
      </w:docPartObj>
    </w:sdtPr>
    <w:sdtEndPr/>
    <w:sdtContent>
      <w:p w:rsidR="00E24281" w:rsidRDefault="00E242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AB" w:rsidRPr="00C412AB">
          <w:rPr>
            <w:noProof/>
            <w:lang w:val="zh-TW"/>
          </w:rPr>
          <w:t>4</w:t>
        </w:r>
        <w:r>
          <w:fldChar w:fldCharType="end"/>
        </w:r>
      </w:p>
    </w:sdtContent>
  </w:sdt>
  <w:p w:rsidR="00E24281" w:rsidRDefault="00E242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087" w:rsidRDefault="000F4087" w:rsidP="00E24281">
      <w:r>
        <w:separator/>
      </w:r>
    </w:p>
  </w:footnote>
  <w:footnote w:type="continuationSeparator" w:id="0">
    <w:p w:rsidR="000F4087" w:rsidRDefault="000F4087" w:rsidP="00E2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1E" w:rsidRDefault="009C5C1E" w:rsidP="009C5C1E">
    <w:pPr>
      <w:spacing w:line="500" w:lineRule="exact"/>
      <w:rPr>
        <w:rFonts w:ascii="標楷體" w:eastAsia="標楷體" w:hAnsi="標楷體"/>
        <w:sz w:val="28"/>
        <w:szCs w:val="28"/>
      </w:rPr>
    </w:pPr>
    <w:r w:rsidRPr="009C5C1E">
      <w:rPr>
        <w:rFonts w:ascii="標楷體" w:eastAsia="標楷體" w:hAnsi="標楷體" w:hint="eastAsia"/>
        <w:sz w:val="28"/>
        <w:szCs w:val="28"/>
      </w:rPr>
      <w:t>臺南市政府地政局性別平等工作小組107年第2次會議紀錄</w:t>
    </w:r>
  </w:p>
  <w:p w:rsidR="009C5C1E" w:rsidRPr="009C5C1E" w:rsidRDefault="009C5C1E">
    <w:pPr>
      <w:pStyle w:val="a6"/>
    </w:pPr>
  </w:p>
  <w:p w:rsidR="009C5C1E" w:rsidRDefault="009C5C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3F7A"/>
    <w:multiLevelType w:val="hybridMultilevel"/>
    <w:tmpl w:val="B38469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72BE4"/>
    <w:multiLevelType w:val="hybridMultilevel"/>
    <w:tmpl w:val="E516059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70A7259"/>
    <w:multiLevelType w:val="hybridMultilevel"/>
    <w:tmpl w:val="07E8A2B0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E073B6"/>
    <w:multiLevelType w:val="hybridMultilevel"/>
    <w:tmpl w:val="5058AC3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69567AFA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1204DE9"/>
    <w:multiLevelType w:val="hybridMultilevel"/>
    <w:tmpl w:val="AAE0E04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4250CA1"/>
    <w:multiLevelType w:val="hybridMultilevel"/>
    <w:tmpl w:val="78C8FAE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8907DDE"/>
    <w:multiLevelType w:val="hybridMultilevel"/>
    <w:tmpl w:val="F652527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D5610F6"/>
    <w:multiLevelType w:val="hybridMultilevel"/>
    <w:tmpl w:val="E43A1C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300ED9"/>
    <w:multiLevelType w:val="hybridMultilevel"/>
    <w:tmpl w:val="8F02BFF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 w15:restartNumberingAfterBreak="0">
    <w:nsid w:val="777C2A5C"/>
    <w:multiLevelType w:val="hybridMultilevel"/>
    <w:tmpl w:val="AAE0E04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9701AC2"/>
    <w:multiLevelType w:val="hybridMultilevel"/>
    <w:tmpl w:val="483ED5A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69567AFA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E"/>
    <w:rsid w:val="000030CC"/>
    <w:rsid w:val="00044092"/>
    <w:rsid w:val="00046BC9"/>
    <w:rsid w:val="00086718"/>
    <w:rsid w:val="000B20A3"/>
    <w:rsid w:val="000B592B"/>
    <w:rsid w:val="000C64C4"/>
    <w:rsid w:val="000E0BB3"/>
    <w:rsid w:val="000E3D25"/>
    <w:rsid w:val="000F4087"/>
    <w:rsid w:val="00120DED"/>
    <w:rsid w:val="00136931"/>
    <w:rsid w:val="00171594"/>
    <w:rsid w:val="001A60EF"/>
    <w:rsid w:val="001B61C3"/>
    <w:rsid w:val="001E7770"/>
    <w:rsid w:val="00274F5C"/>
    <w:rsid w:val="00294E7A"/>
    <w:rsid w:val="00297EF0"/>
    <w:rsid w:val="002A086F"/>
    <w:rsid w:val="002E355F"/>
    <w:rsid w:val="0034406E"/>
    <w:rsid w:val="003816CA"/>
    <w:rsid w:val="003E10CC"/>
    <w:rsid w:val="004128C0"/>
    <w:rsid w:val="004370BE"/>
    <w:rsid w:val="00452A4E"/>
    <w:rsid w:val="00466161"/>
    <w:rsid w:val="004712D9"/>
    <w:rsid w:val="00472D7F"/>
    <w:rsid w:val="0048439E"/>
    <w:rsid w:val="0049563B"/>
    <w:rsid w:val="004C6DDB"/>
    <w:rsid w:val="004D19E3"/>
    <w:rsid w:val="004F55E9"/>
    <w:rsid w:val="005004C8"/>
    <w:rsid w:val="00520497"/>
    <w:rsid w:val="00535A97"/>
    <w:rsid w:val="0053694B"/>
    <w:rsid w:val="00544393"/>
    <w:rsid w:val="00553934"/>
    <w:rsid w:val="005569CC"/>
    <w:rsid w:val="005C1AD1"/>
    <w:rsid w:val="006040EC"/>
    <w:rsid w:val="00607ACC"/>
    <w:rsid w:val="00620DA2"/>
    <w:rsid w:val="00624520"/>
    <w:rsid w:val="00635DEC"/>
    <w:rsid w:val="00641EF8"/>
    <w:rsid w:val="006720F1"/>
    <w:rsid w:val="00684212"/>
    <w:rsid w:val="0076411B"/>
    <w:rsid w:val="007C0800"/>
    <w:rsid w:val="007C0A73"/>
    <w:rsid w:val="008321A2"/>
    <w:rsid w:val="008579EB"/>
    <w:rsid w:val="00863DDB"/>
    <w:rsid w:val="008B7934"/>
    <w:rsid w:val="008E22D7"/>
    <w:rsid w:val="00904CDA"/>
    <w:rsid w:val="00926474"/>
    <w:rsid w:val="00983C76"/>
    <w:rsid w:val="00985242"/>
    <w:rsid w:val="009A08A3"/>
    <w:rsid w:val="009A2990"/>
    <w:rsid w:val="009C0542"/>
    <w:rsid w:val="009C5C1E"/>
    <w:rsid w:val="009F3ED4"/>
    <w:rsid w:val="00A0636B"/>
    <w:rsid w:val="00A07E7E"/>
    <w:rsid w:val="00A30F42"/>
    <w:rsid w:val="00A328D5"/>
    <w:rsid w:val="00A649F6"/>
    <w:rsid w:val="00AC06B2"/>
    <w:rsid w:val="00AE62D0"/>
    <w:rsid w:val="00AE63ED"/>
    <w:rsid w:val="00B07708"/>
    <w:rsid w:val="00B6072E"/>
    <w:rsid w:val="00B640E3"/>
    <w:rsid w:val="00B9468D"/>
    <w:rsid w:val="00BA0B8E"/>
    <w:rsid w:val="00BA54A1"/>
    <w:rsid w:val="00BD3CED"/>
    <w:rsid w:val="00BF0DEE"/>
    <w:rsid w:val="00C412AB"/>
    <w:rsid w:val="00C57AFF"/>
    <w:rsid w:val="00CE6BED"/>
    <w:rsid w:val="00D14484"/>
    <w:rsid w:val="00D24492"/>
    <w:rsid w:val="00D30AB0"/>
    <w:rsid w:val="00D35DE3"/>
    <w:rsid w:val="00D377B0"/>
    <w:rsid w:val="00D545F0"/>
    <w:rsid w:val="00D86C75"/>
    <w:rsid w:val="00D92C84"/>
    <w:rsid w:val="00DB4D00"/>
    <w:rsid w:val="00DB6CD2"/>
    <w:rsid w:val="00E23A36"/>
    <w:rsid w:val="00E24281"/>
    <w:rsid w:val="00E25291"/>
    <w:rsid w:val="00E337E0"/>
    <w:rsid w:val="00E40035"/>
    <w:rsid w:val="00E94332"/>
    <w:rsid w:val="00EA193C"/>
    <w:rsid w:val="00EE663B"/>
    <w:rsid w:val="00F10B0C"/>
    <w:rsid w:val="00F2412B"/>
    <w:rsid w:val="00F739DA"/>
    <w:rsid w:val="00F857C1"/>
    <w:rsid w:val="00FB25F6"/>
    <w:rsid w:val="00FC3A1B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C640"/>
  <w15:chartTrackingRefBased/>
  <w15:docId w15:val="{6867D08B-812C-4BCC-A249-70DDE495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B6072E"/>
    <w:rPr>
      <w:rFonts w:ascii="sөũ" w:hAnsi="sөũ" w:hint="default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072E"/>
    <w:pPr>
      <w:ind w:leftChars="200" w:left="480"/>
    </w:pPr>
  </w:style>
  <w:style w:type="paragraph" w:customStyle="1" w:styleId="Default">
    <w:name w:val="Default"/>
    <w:rsid w:val="0004409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2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281"/>
    <w:rPr>
      <w:sz w:val="20"/>
      <w:szCs w:val="20"/>
    </w:rPr>
  </w:style>
  <w:style w:type="table" w:styleId="aa">
    <w:name w:val="Table Grid"/>
    <w:basedOn w:val="a1"/>
    <w:uiPriority w:val="39"/>
    <w:rsid w:val="0038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A299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2990"/>
  </w:style>
  <w:style w:type="character" w:customStyle="1" w:styleId="ad">
    <w:name w:val="註解文字 字元"/>
    <w:basedOn w:val="a0"/>
    <w:link w:val="ac"/>
    <w:uiPriority w:val="99"/>
    <w:semiHidden/>
    <w:rsid w:val="009A299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299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A2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陳怡璉</cp:lastModifiedBy>
  <cp:revision>12</cp:revision>
  <cp:lastPrinted>2018-10-16T08:46:00Z</cp:lastPrinted>
  <dcterms:created xsi:type="dcterms:W3CDTF">2018-10-16T07:02:00Z</dcterms:created>
  <dcterms:modified xsi:type="dcterms:W3CDTF">2019-04-26T10:14:00Z</dcterms:modified>
</cp:coreProperties>
</file>