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tabs>
          <w:tab w:val="clear" w:pos="50"/>
        </w:tabs>
        <w:overflowPunct w:val="false"/>
        <w:autoSpaceDE w:val="false"/>
        <w:spacing w:lineRule="exact" w:line="420"/>
        <w:ind w:left="800" w:hanging="800"/>
        <w:jc w:val="center"/>
        <w:rPr>
          <w:rFonts w:eastAsia="標楷體"/>
          <w:sz w:val="40"/>
          <w:szCs w:val="40"/>
        </w:rPr>
      </w:pPr>
      <w:bookmarkStart w:id="0" w:name="OLE_LINK29"/>
      <w:bookmarkStart w:id="1" w:name="OLE_LINK2"/>
      <w:bookmarkEnd w:id="0"/>
      <w:r>
        <w:rPr>
          <w:rFonts w:eastAsia="標楷體"/>
          <w:sz w:val="40"/>
          <w:szCs w:val="40"/>
        </w:rPr>
        <w:t>臺南市政府及所屬機關學校約聘僱人員進用管理考核要點</w:t>
      </w:r>
      <w:bookmarkEnd w:id="1"/>
    </w:p>
    <w:p>
      <w:pPr>
        <w:pStyle w:val="Style19"/>
        <w:tabs>
          <w:tab w:val="clear" w:pos="50"/>
          <w:tab w:val="left" w:pos="567" w:leader="none"/>
        </w:tabs>
        <w:overflowPunct w:val="false"/>
        <w:jc w:val="right"/>
        <w:rPr>
          <w:rFonts w:ascii="標楷體" w:hAnsi="標楷體" w:eastAsia="標楷體"/>
          <w:sz w:val="20"/>
        </w:rPr>
      </w:pPr>
      <w:r>
        <w:rPr>
          <w:rFonts w:ascii="標楷體" w:hAnsi="標楷體" w:eastAsia="標楷體"/>
          <w:sz w:val="20"/>
        </w:rPr>
        <w:t>臺南市政府</w:t>
      </w:r>
      <w:r>
        <w:rPr>
          <w:rFonts w:eastAsia="標楷體" w:ascii="標楷體" w:hAnsi="標楷體"/>
          <w:sz w:val="20"/>
        </w:rPr>
        <w:t>100</w:t>
      </w:r>
      <w:r>
        <w:rPr>
          <w:rFonts w:ascii="標楷體" w:hAnsi="標楷體" w:eastAsia="標楷體"/>
          <w:sz w:val="20"/>
        </w:rPr>
        <w:t>年</w:t>
      </w:r>
      <w:r>
        <w:rPr>
          <w:rFonts w:eastAsia="標楷體" w:ascii="標楷體" w:hAnsi="標楷體"/>
          <w:sz w:val="20"/>
        </w:rPr>
        <w:t>3</w:t>
      </w:r>
      <w:r>
        <w:rPr>
          <w:rFonts w:ascii="標楷體" w:hAnsi="標楷體" w:eastAsia="標楷體"/>
          <w:sz w:val="20"/>
        </w:rPr>
        <w:t>月</w:t>
      </w:r>
      <w:r>
        <w:rPr>
          <w:rFonts w:eastAsia="標楷體" w:ascii="標楷體" w:hAnsi="標楷體"/>
          <w:sz w:val="20"/>
        </w:rPr>
        <w:t>29</w:t>
      </w:r>
      <w:r>
        <w:rPr>
          <w:rFonts w:ascii="標楷體" w:hAnsi="標楷體" w:eastAsia="標楷體"/>
          <w:sz w:val="20"/>
        </w:rPr>
        <w:t>日府人力字第</w:t>
      </w:r>
      <w:r>
        <w:rPr>
          <w:rFonts w:eastAsia="標楷體" w:ascii="標楷體" w:hAnsi="標楷體"/>
          <w:sz w:val="20"/>
        </w:rPr>
        <w:t>1000111620</w:t>
      </w:r>
      <w:r>
        <w:rPr>
          <w:rFonts w:ascii="標楷體" w:hAnsi="標楷體" w:eastAsia="標楷體"/>
          <w:sz w:val="20"/>
        </w:rPr>
        <w:t>號函訂定</w:t>
      </w:r>
    </w:p>
    <w:p>
      <w:pPr>
        <w:pStyle w:val="Style19"/>
        <w:tabs>
          <w:tab w:val="clear" w:pos="50"/>
          <w:tab w:val="left" w:pos="567" w:leader="none"/>
        </w:tabs>
        <w:overflowPunct w:val="false"/>
        <w:jc w:val="right"/>
        <w:rPr/>
      </w:pPr>
      <w:r>
        <w:rPr>
          <w:rStyle w:val="Style14"/>
          <w:rFonts w:ascii="標楷體" w:hAnsi="標楷體" w:eastAsia="標楷體"/>
          <w:color w:val="000000"/>
          <w:kern w:val="0"/>
          <w:sz w:val="20"/>
        </w:rPr>
        <w:t>臺南市政府</w:t>
      </w:r>
      <w:r>
        <w:rPr>
          <w:rStyle w:val="Style14"/>
          <w:rFonts w:eastAsia="標楷體" w:ascii="標楷體" w:hAnsi="標楷體"/>
          <w:color w:val="000000"/>
          <w:kern w:val="0"/>
          <w:sz w:val="20"/>
        </w:rPr>
        <w:t>104</w:t>
      </w:r>
      <w:r>
        <w:rPr>
          <w:rStyle w:val="Style14"/>
          <w:rFonts w:ascii="標楷體" w:hAnsi="標楷體" w:eastAsia="標楷體"/>
          <w:color w:val="000000"/>
          <w:kern w:val="0"/>
          <w:sz w:val="20"/>
        </w:rPr>
        <w:t>年</w:t>
      </w:r>
      <w:r>
        <w:rPr>
          <w:rStyle w:val="Style14"/>
          <w:rFonts w:eastAsia="標楷體" w:ascii="標楷體" w:hAnsi="標楷體"/>
          <w:color w:val="000000"/>
          <w:kern w:val="0"/>
          <w:sz w:val="20"/>
        </w:rPr>
        <w:t>6</w:t>
      </w:r>
      <w:r>
        <w:rPr>
          <w:rStyle w:val="Style14"/>
          <w:rFonts w:ascii="標楷體" w:hAnsi="標楷體" w:eastAsia="標楷體"/>
          <w:color w:val="000000"/>
          <w:kern w:val="0"/>
          <w:sz w:val="20"/>
        </w:rPr>
        <w:t>月</w:t>
      </w:r>
      <w:r>
        <w:rPr>
          <w:rStyle w:val="Style14"/>
          <w:rFonts w:eastAsia="標楷體" w:ascii="標楷體" w:hAnsi="標楷體"/>
          <w:color w:val="000000"/>
          <w:kern w:val="0"/>
          <w:sz w:val="20"/>
        </w:rPr>
        <w:t>8</w:t>
      </w:r>
      <w:r>
        <w:rPr>
          <w:rStyle w:val="Style14"/>
          <w:rFonts w:ascii="標楷體" w:hAnsi="標楷體" w:eastAsia="標楷體"/>
          <w:color w:val="000000"/>
          <w:kern w:val="0"/>
          <w:sz w:val="20"/>
        </w:rPr>
        <w:t>日府人力字第</w:t>
      </w:r>
      <w:r>
        <w:rPr>
          <w:rStyle w:val="Style14"/>
          <w:rFonts w:eastAsia="標楷體" w:ascii="標楷體" w:hAnsi="標楷體"/>
          <w:sz w:val="20"/>
        </w:rPr>
        <w:t>1040276973</w:t>
      </w:r>
      <w:r>
        <w:rPr>
          <w:rStyle w:val="Style14"/>
          <w:rFonts w:ascii="標楷體" w:hAnsi="標楷體" w:eastAsia="標楷體"/>
          <w:kern w:val="0"/>
          <w:sz w:val="20"/>
        </w:rPr>
        <w:t>號</w:t>
      </w:r>
      <w:r>
        <w:rPr>
          <w:rStyle w:val="Style14"/>
          <w:rFonts w:ascii="標楷體" w:hAnsi="標楷體" w:eastAsia="標楷體"/>
          <w:color w:val="000000"/>
          <w:kern w:val="0"/>
          <w:sz w:val="20"/>
        </w:rPr>
        <w:t>函修正</w:t>
      </w:r>
      <w:r>
        <w:rPr>
          <w:rStyle w:val="Style14"/>
          <w:rFonts w:ascii="標楷體" w:hAnsi="標楷體" w:eastAsia="標楷體"/>
          <w:sz w:val="20"/>
        </w:rPr>
        <w:t>「臺南市政府及所屬機關學校約聘（僱）人員考核要點」</w:t>
      </w:r>
      <w:r>
        <w:rPr>
          <w:rStyle w:val="Style14"/>
          <w:rFonts w:ascii="標楷體" w:hAnsi="標楷體" w:eastAsia="標楷體"/>
          <w:color w:val="000000"/>
          <w:kern w:val="0"/>
          <w:sz w:val="20"/>
        </w:rPr>
        <w:t>第十</w:t>
      </w:r>
      <w:r>
        <w:rPr>
          <w:rStyle w:val="Style14"/>
          <w:rFonts w:ascii="標楷體" w:hAnsi="標楷體" w:eastAsia="標楷體"/>
          <w:sz w:val="20"/>
        </w:rPr>
        <w:t>點、第十一點，名稱並修正為「臺南市政府及所屬機關學校約聘僱人員考核要點」</w:t>
      </w:r>
    </w:p>
    <w:p>
      <w:pPr>
        <w:pStyle w:val="Style19"/>
        <w:tabs>
          <w:tab w:val="clear" w:pos="50"/>
          <w:tab w:val="left" w:pos="567" w:leader="none"/>
        </w:tabs>
        <w:overflowPunct w:val="false"/>
        <w:jc w:val="right"/>
        <w:rPr/>
      </w:pPr>
      <w:r>
        <w:rPr>
          <w:rStyle w:val="Style14"/>
          <w:rFonts w:ascii="標楷體" w:hAnsi="標楷體" w:eastAsia="標楷體"/>
          <w:color w:val="000000"/>
          <w:kern w:val="0"/>
          <w:sz w:val="20"/>
        </w:rPr>
        <w:t>臺南市政府</w:t>
      </w:r>
      <w:r>
        <w:rPr>
          <w:rStyle w:val="Style14"/>
          <w:rFonts w:eastAsia="標楷體" w:ascii="標楷體" w:hAnsi="標楷體"/>
          <w:color w:val="000000"/>
          <w:kern w:val="0"/>
          <w:sz w:val="20"/>
        </w:rPr>
        <w:t>105</w:t>
      </w:r>
      <w:r>
        <w:rPr>
          <w:rStyle w:val="Style14"/>
          <w:rFonts w:ascii="標楷體" w:hAnsi="標楷體" w:eastAsia="標楷體"/>
          <w:color w:val="000000"/>
          <w:kern w:val="0"/>
          <w:sz w:val="20"/>
        </w:rPr>
        <w:t>年</w:t>
      </w:r>
      <w:r>
        <w:rPr>
          <w:rStyle w:val="Style14"/>
          <w:rFonts w:eastAsia="標楷體" w:ascii="標楷體" w:hAnsi="標楷體"/>
          <w:color w:val="000000"/>
          <w:kern w:val="0"/>
          <w:sz w:val="20"/>
        </w:rPr>
        <w:t>3</w:t>
      </w:r>
      <w:r>
        <w:rPr>
          <w:rStyle w:val="Style14"/>
          <w:rFonts w:ascii="標楷體" w:hAnsi="標楷體" w:eastAsia="標楷體"/>
          <w:color w:val="000000"/>
          <w:kern w:val="0"/>
          <w:sz w:val="20"/>
        </w:rPr>
        <w:t>月</w:t>
      </w:r>
      <w:r>
        <w:rPr>
          <w:rStyle w:val="Style14"/>
          <w:rFonts w:eastAsia="標楷體" w:ascii="標楷體" w:hAnsi="標楷體"/>
          <w:color w:val="000000"/>
          <w:kern w:val="0"/>
          <w:sz w:val="20"/>
        </w:rPr>
        <w:t>1</w:t>
      </w:r>
      <w:r>
        <w:rPr>
          <w:rStyle w:val="Style14"/>
          <w:rFonts w:ascii="標楷體" w:hAnsi="標楷體" w:eastAsia="標楷體"/>
          <w:color w:val="000000"/>
          <w:kern w:val="0"/>
          <w:sz w:val="20"/>
        </w:rPr>
        <w:t>日府人力字第</w:t>
      </w:r>
      <w:r>
        <w:rPr>
          <w:rStyle w:val="Style14"/>
          <w:rFonts w:eastAsia="標楷體" w:ascii="標楷體" w:hAnsi="標楷體"/>
          <w:sz w:val="20"/>
        </w:rPr>
        <w:t>1050144192</w:t>
      </w:r>
      <w:r>
        <w:rPr>
          <w:rStyle w:val="Style14"/>
          <w:rFonts w:ascii="標楷體" w:hAnsi="標楷體" w:eastAsia="標楷體"/>
          <w:kern w:val="0"/>
          <w:sz w:val="20"/>
        </w:rPr>
        <w:t>號</w:t>
      </w:r>
      <w:r>
        <w:rPr>
          <w:rStyle w:val="Style14"/>
          <w:rFonts w:ascii="標楷體" w:hAnsi="標楷體" w:eastAsia="標楷體"/>
          <w:color w:val="000000"/>
          <w:kern w:val="0"/>
          <w:sz w:val="20"/>
        </w:rPr>
        <w:t>函修正部分規定，並自即日起生效</w:t>
      </w:r>
    </w:p>
    <w:p>
      <w:pPr>
        <w:pStyle w:val="Style19"/>
        <w:tabs>
          <w:tab w:val="clear" w:pos="50"/>
          <w:tab w:val="left" w:pos="567" w:leader="none"/>
        </w:tabs>
        <w:overflowPunct w:val="false"/>
        <w:jc w:val="right"/>
        <w:rPr/>
      </w:pPr>
      <w:r>
        <w:rPr>
          <w:rStyle w:val="Style14"/>
          <w:rFonts w:ascii="標楷體" w:hAnsi="標楷體" w:eastAsia="標楷體"/>
          <w:color w:val="000000"/>
          <w:kern w:val="0"/>
          <w:sz w:val="20"/>
        </w:rPr>
        <w:t>臺南市政府</w:t>
      </w:r>
      <w:r>
        <w:rPr>
          <w:rStyle w:val="Style14"/>
          <w:rFonts w:eastAsia="標楷體" w:ascii="標楷體" w:hAnsi="標楷體"/>
          <w:color w:val="000000"/>
          <w:kern w:val="0"/>
          <w:sz w:val="20"/>
        </w:rPr>
        <w:t>109</w:t>
      </w:r>
      <w:r>
        <w:rPr>
          <w:rStyle w:val="Style14"/>
          <w:rFonts w:ascii="標楷體" w:hAnsi="標楷體" w:eastAsia="標楷體"/>
          <w:color w:val="000000"/>
          <w:kern w:val="0"/>
          <w:sz w:val="20"/>
        </w:rPr>
        <w:t>年</w:t>
      </w:r>
      <w:r>
        <w:rPr>
          <w:rStyle w:val="Style14"/>
          <w:rFonts w:eastAsia="標楷體" w:ascii="標楷體" w:hAnsi="標楷體"/>
          <w:color w:val="000000"/>
          <w:kern w:val="0"/>
          <w:sz w:val="20"/>
        </w:rPr>
        <w:t>2</w:t>
      </w:r>
      <w:r>
        <w:rPr>
          <w:rStyle w:val="Style14"/>
          <w:rFonts w:ascii="標楷體" w:hAnsi="標楷體" w:eastAsia="標楷體"/>
          <w:color w:val="000000"/>
          <w:kern w:val="0"/>
          <w:sz w:val="20"/>
        </w:rPr>
        <w:t>月</w:t>
      </w:r>
      <w:r>
        <w:rPr>
          <w:rStyle w:val="Style14"/>
          <w:rFonts w:eastAsia="標楷體" w:ascii="標楷體" w:hAnsi="標楷體"/>
          <w:color w:val="000000"/>
          <w:kern w:val="0"/>
          <w:sz w:val="20"/>
        </w:rPr>
        <w:t>12</w:t>
      </w:r>
      <w:r>
        <w:rPr>
          <w:rStyle w:val="Style14"/>
          <w:rFonts w:ascii="標楷體" w:hAnsi="標楷體" w:eastAsia="標楷體"/>
          <w:color w:val="000000"/>
          <w:kern w:val="0"/>
          <w:sz w:val="20"/>
        </w:rPr>
        <w:t>日府人力字第</w:t>
      </w:r>
      <w:r>
        <w:rPr>
          <w:rStyle w:val="Style14"/>
          <w:rFonts w:eastAsia="標楷體" w:ascii="標楷體" w:hAnsi="標楷體"/>
          <w:color w:val="000000"/>
          <w:kern w:val="0"/>
          <w:sz w:val="20"/>
        </w:rPr>
        <w:t>1090199786</w:t>
      </w:r>
      <w:r>
        <w:rPr>
          <w:rStyle w:val="Style14"/>
          <w:rFonts w:ascii="標楷體" w:hAnsi="標楷體" w:eastAsia="標楷體"/>
          <w:kern w:val="0"/>
          <w:sz w:val="20"/>
        </w:rPr>
        <w:t>號</w:t>
      </w:r>
      <w:r>
        <w:rPr>
          <w:rStyle w:val="Style14"/>
          <w:rFonts w:ascii="標楷體" w:hAnsi="標楷體" w:eastAsia="標楷體"/>
          <w:color w:val="000000"/>
          <w:kern w:val="0"/>
          <w:sz w:val="20"/>
        </w:rPr>
        <w:t>函修正，並自</w:t>
      </w:r>
      <w:r>
        <w:rPr>
          <w:rStyle w:val="Style14"/>
          <w:rFonts w:eastAsia="標楷體" w:ascii="標楷體" w:hAnsi="標楷體"/>
          <w:color w:val="000000"/>
          <w:kern w:val="0"/>
          <w:sz w:val="20"/>
        </w:rPr>
        <w:t>109</w:t>
      </w:r>
      <w:r>
        <w:rPr>
          <w:rStyle w:val="Style14"/>
          <w:rFonts w:ascii="標楷體" w:hAnsi="標楷體" w:eastAsia="標楷體"/>
          <w:color w:val="000000"/>
          <w:kern w:val="0"/>
          <w:sz w:val="20"/>
        </w:rPr>
        <w:t>年</w:t>
      </w:r>
      <w:r>
        <w:rPr>
          <w:rStyle w:val="Style14"/>
          <w:rFonts w:eastAsia="標楷體" w:ascii="標楷體" w:hAnsi="標楷體"/>
          <w:color w:val="000000"/>
          <w:kern w:val="0"/>
          <w:sz w:val="20"/>
        </w:rPr>
        <w:t>1</w:t>
      </w:r>
      <w:r>
        <w:rPr>
          <w:rStyle w:val="Style14"/>
          <w:rFonts w:ascii="標楷體" w:hAnsi="標楷體" w:eastAsia="標楷體"/>
          <w:color w:val="000000"/>
          <w:kern w:val="0"/>
          <w:sz w:val="20"/>
        </w:rPr>
        <w:t>月</w:t>
      </w:r>
      <w:r>
        <w:rPr>
          <w:rStyle w:val="Style14"/>
          <w:rFonts w:eastAsia="標楷體" w:ascii="標楷體" w:hAnsi="標楷體"/>
          <w:color w:val="000000"/>
          <w:kern w:val="0"/>
          <w:sz w:val="20"/>
        </w:rPr>
        <w:t>1</w:t>
      </w:r>
      <w:r>
        <w:rPr>
          <w:rStyle w:val="Style14"/>
          <w:rFonts w:ascii="標楷體" w:hAnsi="標楷體" w:eastAsia="標楷體"/>
          <w:color w:val="000000"/>
          <w:kern w:val="0"/>
          <w:sz w:val="20"/>
        </w:rPr>
        <w:t>日生效</w:t>
      </w:r>
    </w:p>
    <w:p>
      <w:pPr>
        <w:pStyle w:val="Style19"/>
        <w:tabs>
          <w:tab w:val="clear" w:pos="50"/>
          <w:tab w:val="left" w:pos="567" w:leader="none"/>
        </w:tabs>
        <w:overflowPunct w:val="false"/>
        <w:jc w:val="right"/>
        <w:rPr/>
      </w:pPr>
      <w:r>
        <w:rPr>
          <w:rStyle w:val="Style14"/>
          <w:rFonts w:ascii="標楷體" w:hAnsi="標楷體" w:eastAsia="標楷體"/>
          <w:color w:val="000000"/>
          <w:kern w:val="0"/>
          <w:sz w:val="20"/>
        </w:rPr>
        <w:t>臺南市政府</w:t>
      </w:r>
      <w:r>
        <w:rPr>
          <w:rStyle w:val="Style14"/>
          <w:rFonts w:eastAsia="標楷體" w:ascii="標楷體" w:hAnsi="標楷體"/>
          <w:color w:val="000000"/>
          <w:kern w:val="0"/>
          <w:sz w:val="20"/>
        </w:rPr>
        <w:t>111</w:t>
      </w:r>
      <w:r>
        <w:rPr>
          <w:rStyle w:val="Style14"/>
          <w:rFonts w:ascii="標楷體" w:hAnsi="標楷體" w:eastAsia="標楷體"/>
          <w:color w:val="000000"/>
          <w:kern w:val="0"/>
          <w:sz w:val="20"/>
        </w:rPr>
        <w:t>年</w:t>
      </w:r>
      <w:r>
        <w:rPr>
          <w:rStyle w:val="Style14"/>
          <w:rFonts w:eastAsia="標楷體" w:ascii="標楷體" w:hAnsi="標楷體"/>
          <w:color w:val="000000"/>
          <w:kern w:val="0"/>
          <w:sz w:val="20"/>
        </w:rPr>
        <w:t>4</w:t>
      </w:r>
      <w:r>
        <w:rPr>
          <w:rStyle w:val="Style14"/>
          <w:rFonts w:ascii="標楷體" w:hAnsi="標楷體" w:eastAsia="標楷體"/>
          <w:color w:val="000000"/>
          <w:kern w:val="0"/>
          <w:sz w:val="20"/>
        </w:rPr>
        <w:t>月</w:t>
      </w:r>
      <w:r>
        <w:rPr>
          <w:rStyle w:val="Style14"/>
          <w:rFonts w:eastAsia="標楷體" w:ascii="標楷體" w:hAnsi="標楷體"/>
          <w:color w:val="000000"/>
          <w:kern w:val="0"/>
          <w:sz w:val="20"/>
        </w:rPr>
        <w:t>15</w:t>
      </w:r>
      <w:r>
        <w:rPr>
          <w:rStyle w:val="Style14"/>
          <w:rFonts w:ascii="標楷體" w:hAnsi="標楷體" w:eastAsia="標楷體"/>
          <w:color w:val="000000"/>
          <w:kern w:val="0"/>
          <w:sz w:val="20"/>
        </w:rPr>
        <w:t>日府人力字第</w:t>
      </w:r>
      <w:r>
        <w:rPr>
          <w:rStyle w:val="Style14"/>
          <w:rFonts w:eastAsia="標楷體" w:ascii="標楷體" w:hAnsi="標楷體"/>
          <w:color w:val="000000"/>
          <w:kern w:val="0"/>
          <w:sz w:val="20"/>
        </w:rPr>
        <w:t>1110208355</w:t>
      </w:r>
      <w:r>
        <w:rPr>
          <w:rStyle w:val="Style14"/>
          <w:rFonts w:ascii="標楷體" w:hAnsi="標楷體" w:eastAsia="標楷體"/>
          <w:kern w:val="0"/>
          <w:sz w:val="20"/>
        </w:rPr>
        <w:t>號</w:t>
      </w:r>
      <w:r>
        <w:rPr>
          <w:rStyle w:val="Style14"/>
          <w:rFonts w:ascii="標楷體" w:hAnsi="標楷體" w:eastAsia="標楷體"/>
          <w:color w:val="000000"/>
          <w:kern w:val="0"/>
          <w:sz w:val="20"/>
        </w:rPr>
        <w:t>函修正第九點，並自</w:t>
      </w:r>
      <w:r>
        <w:rPr>
          <w:rStyle w:val="Style14"/>
          <w:rFonts w:eastAsia="標楷體" w:ascii="標楷體" w:hAnsi="標楷體"/>
          <w:color w:val="000000"/>
          <w:kern w:val="0"/>
          <w:sz w:val="20"/>
        </w:rPr>
        <w:t>111</w:t>
      </w:r>
      <w:r>
        <w:rPr>
          <w:rStyle w:val="Style14"/>
          <w:rFonts w:ascii="標楷體" w:hAnsi="標楷體" w:eastAsia="標楷體"/>
          <w:color w:val="000000"/>
          <w:kern w:val="0"/>
          <w:sz w:val="20"/>
        </w:rPr>
        <w:t>年</w:t>
      </w:r>
      <w:r>
        <w:rPr>
          <w:rStyle w:val="Style14"/>
          <w:rFonts w:eastAsia="標楷體" w:ascii="標楷體" w:hAnsi="標楷體"/>
          <w:color w:val="000000"/>
          <w:kern w:val="0"/>
          <w:sz w:val="20"/>
        </w:rPr>
        <w:t>1</w:t>
      </w:r>
      <w:r>
        <w:rPr>
          <w:rStyle w:val="Style14"/>
          <w:rFonts w:ascii="標楷體" w:hAnsi="標楷體" w:eastAsia="標楷體"/>
          <w:color w:val="000000"/>
          <w:kern w:val="0"/>
          <w:sz w:val="20"/>
        </w:rPr>
        <w:t>月</w:t>
      </w:r>
      <w:r>
        <w:rPr>
          <w:rStyle w:val="Style14"/>
          <w:rFonts w:eastAsia="標楷體" w:ascii="標楷體" w:hAnsi="標楷體"/>
          <w:color w:val="000000"/>
          <w:kern w:val="0"/>
          <w:sz w:val="20"/>
        </w:rPr>
        <w:t>1</w:t>
      </w:r>
      <w:r>
        <w:rPr>
          <w:rStyle w:val="Style14"/>
          <w:rFonts w:ascii="標楷體" w:hAnsi="標楷體" w:eastAsia="標楷體"/>
          <w:color w:val="000000"/>
          <w:kern w:val="0"/>
          <w:sz w:val="20"/>
        </w:rPr>
        <w:t>日生效</w:t>
      </w:r>
    </w:p>
    <w:p>
      <w:pPr>
        <w:pStyle w:val="Style19"/>
        <w:tabs>
          <w:tab w:val="clear" w:pos="50"/>
          <w:tab w:val="left" w:pos="567" w:leader="none"/>
        </w:tabs>
        <w:overflowPunct w:val="false"/>
        <w:jc w:val="right"/>
        <w:rPr/>
      </w:pPr>
      <w:r>
        <w:rPr>
          <w:rStyle w:val="Style14"/>
          <w:rFonts w:ascii="標楷體" w:hAnsi="標楷體" w:eastAsia="標楷體"/>
          <w:color w:val="000000"/>
          <w:kern w:val="0"/>
          <w:sz w:val="20"/>
        </w:rPr>
        <w:t>臺南市政府</w:t>
      </w:r>
      <w:r>
        <w:rPr>
          <w:rStyle w:val="Style14"/>
          <w:rFonts w:eastAsia="標楷體" w:ascii="標楷體" w:hAnsi="標楷體"/>
          <w:color w:val="000000"/>
          <w:kern w:val="0"/>
          <w:sz w:val="20"/>
        </w:rPr>
        <w:t>112</w:t>
      </w:r>
      <w:r>
        <w:rPr>
          <w:rStyle w:val="Style14"/>
          <w:rFonts w:ascii="標楷體" w:hAnsi="標楷體" w:eastAsia="標楷體"/>
          <w:color w:val="000000"/>
          <w:kern w:val="0"/>
          <w:sz w:val="20"/>
        </w:rPr>
        <w:t>年</w:t>
      </w:r>
      <w:r>
        <w:rPr>
          <w:rStyle w:val="Style14"/>
          <w:rFonts w:eastAsia="標楷體" w:ascii="標楷體" w:hAnsi="標楷體"/>
          <w:color w:val="000000"/>
          <w:kern w:val="0"/>
          <w:sz w:val="20"/>
        </w:rPr>
        <w:t>9</w:t>
      </w:r>
      <w:r>
        <w:rPr>
          <w:rStyle w:val="Style14"/>
          <w:rFonts w:ascii="標楷體" w:hAnsi="標楷體" w:eastAsia="標楷體"/>
          <w:color w:val="000000"/>
          <w:kern w:val="0"/>
          <w:sz w:val="20"/>
        </w:rPr>
        <w:t>月</w:t>
      </w:r>
      <w:r>
        <w:rPr>
          <w:rStyle w:val="Style14"/>
          <w:rFonts w:eastAsia="標楷體" w:ascii="標楷體" w:hAnsi="標楷體"/>
          <w:color w:val="000000"/>
          <w:kern w:val="0"/>
          <w:sz w:val="20"/>
        </w:rPr>
        <w:t>11</w:t>
      </w:r>
      <w:r>
        <w:rPr>
          <w:rStyle w:val="Style14"/>
          <w:rFonts w:ascii="標楷體" w:hAnsi="標楷體" w:eastAsia="標楷體"/>
          <w:color w:val="000000"/>
          <w:kern w:val="0"/>
          <w:sz w:val="20"/>
        </w:rPr>
        <w:t>日府人力字第</w:t>
      </w:r>
      <w:r>
        <w:rPr>
          <w:rStyle w:val="Style14"/>
          <w:rFonts w:eastAsia="標楷體" w:ascii="標楷體" w:hAnsi="標楷體"/>
          <w:color w:val="000000"/>
          <w:kern w:val="0"/>
          <w:sz w:val="20"/>
        </w:rPr>
        <w:t>1120990551</w:t>
      </w:r>
      <w:r>
        <w:rPr>
          <w:rStyle w:val="Style14"/>
          <w:rFonts w:ascii="標楷體" w:hAnsi="標楷體" w:eastAsia="標楷體"/>
          <w:kern w:val="0"/>
          <w:sz w:val="20"/>
        </w:rPr>
        <w:t>號</w:t>
      </w:r>
      <w:r>
        <w:rPr>
          <w:rStyle w:val="Style14"/>
          <w:rFonts w:ascii="標楷體" w:hAnsi="標楷體" w:eastAsia="標楷體"/>
          <w:color w:val="000000"/>
          <w:kern w:val="0"/>
          <w:sz w:val="20"/>
        </w:rPr>
        <w:t>函修正「臺南市政府及所屬機關學校約聘僱人員考核要點」，名稱並修正為「臺南市政府及所屬機關學校約聘僱人員進用管理考核要點」，並自即日生效</w:t>
      </w:r>
    </w:p>
    <w:p>
      <w:pPr>
        <w:pStyle w:val="Style19"/>
        <w:tabs>
          <w:tab w:val="clear" w:pos="50"/>
          <w:tab w:val="left" w:pos="567" w:leader="none"/>
        </w:tabs>
        <w:overflowPunct w:val="false"/>
        <w:spacing w:lineRule="exact" w:line="420"/>
        <w:ind w:left="566" w:hanging="566"/>
        <w:jc w:val="both"/>
        <w:rPr>
          <w:rFonts w:ascii="標楷體" w:hAnsi="標楷體" w:eastAsia="標楷體"/>
          <w:sz w:val="28"/>
          <w:szCs w:val="28"/>
        </w:rPr>
      </w:pPr>
      <w:bookmarkStart w:id="2" w:name="OLE_LINK29"/>
      <w:bookmarkEnd w:id="2"/>
      <w:r>
        <w:rPr>
          <w:rFonts w:ascii="標楷體" w:hAnsi="標楷體" w:eastAsia="標楷體"/>
          <w:sz w:val="28"/>
          <w:szCs w:val="28"/>
        </w:rPr>
        <w:t>一、為加強本府及所屬各機關學校（以下簡稱各機關）約聘（僱）人員管理，提高工作效率，特訂定本要點。</w:t>
      </w:r>
    </w:p>
    <w:p>
      <w:pPr>
        <w:pStyle w:val="Style19"/>
        <w:tabs>
          <w:tab w:val="clear" w:pos="50"/>
          <w:tab w:val="left" w:pos="567" w:leader="none"/>
        </w:tabs>
        <w:overflowPunct w:val="false"/>
        <w:spacing w:lineRule="exact" w:line="420"/>
        <w:ind w:left="848" w:hanging="848"/>
        <w:jc w:val="both"/>
        <w:rPr>
          <w:rFonts w:ascii="標楷體" w:hAnsi="標楷體" w:eastAsia="標楷體"/>
          <w:sz w:val="28"/>
          <w:szCs w:val="28"/>
        </w:rPr>
      </w:pPr>
      <w:r>
        <w:rPr>
          <w:rFonts w:ascii="標楷體" w:hAnsi="標楷體" w:eastAsia="標楷體"/>
          <w:sz w:val="28"/>
          <w:szCs w:val="28"/>
        </w:rPr>
        <w:t>二、本要點適用對象如下：</w:t>
      </w:r>
    </w:p>
    <w:p>
      <w:pPr>
        <w:pStyle w:val="Style19"/>
        <w:tabs>
          <w:tab w:val="clear" w:pos="50"/>
          <w:tab w:val="left" w:pos="567" w:leader="none"/>
        </w:tabs>
        <w:overflowPunct w:val="false"/>
        <w:spacing w:lineRule="exact" w:line="420"/>
        <w:ind w:left="848" w:hanging="848"/>
        <w:jc w:val="both"/>
        <w:rPr>
          <w:rFonts w:ascii="標楷體" w:hAnsi="標楷體" w:eastAsia="標楷體"/>
          <w:sz w:val="28"/>
          <w:szCs w:val="28"/>
        </w:rPr>
      </w:pPr>
      <w:r>
        <w:rPr>
          <w:rFonts w:ascii="標楷體" w:hAnsi="標楷體" w:eastAsia="標楷體"/>
          <w:sz w:val="28"/>
          <w:szCs w:val="28"/>
        </w:rPr>
        <w:t>（一）約聘人員：依聘用人員聘用條例聘用之人員。</w:t>
      </w:r>
    </w:p>
    <w:p>
      <w:pPr>
        <w:pStyle w:val="Style19"/>
        <w:tabs>
          <w:tab w:val="clear" w:pos="50"/>
          <w:tab w:val="left" w:pos="567" w:leader="none"/>
        </w:tabs>
        <w:overflowPunct w:val="false"/>
        <w:spacing w:lineRule="exact" w:line="420"/>
        <w:ind w:left="848" w:hanging="848"/>
        <w:jc w:val="both"/>
        <w:rPr>
          <w:rFonts w:ascii="標楷體" w:hAnsi="標楷體" w:eastAsia="標楷體"/>
          <w:sz w:val="28"/>
          <w:szCs w:val="28"/>
        </w:rPr>
      </w:pPr>
      <w:r>
        <w:rPr>
          <w:rFonts w:ascii="標楷體" w:hAnsi="標楷體" w:eastAsia="標楷體"/>
          <w:sz w:val="28"/>
          <w:szCs w:val="28"/>
        </w:rPr>
        <w:t>（二）約僱人員：依行政院與所屬中央及地方各機關約僱人員僱用辦法僱用之人員。</w:t>
      </w:r>
    </w:p>
    <w:p>
      <w:pPr>
        <w:pStyle w:val="Style19"/>
        <w:tabs>
          <w:tab w:val="clear" w:pos="50"/>
          <w:tab w:val="left" w:pos="567" w:leader="none"/>
        </w:tabs>
        <w:overflowPunct w:val="false"/>
        <w:spacing w:lineRule="exact" w:line="420"/>
        <w:ind w:left="848" w:hanging="848"/>
        <w:jc w:val="both"/>
        <w:rPr>
          <w:rFonts w:ascii="標楷體" w:hAnsi="標楷體" w:eastAsia="標楷體"/>
          <w:sz w:val="28"/>
          <w:szCs w:val="28"/>
        </w:rPr>
      </w:pPr>
      <w:r>
        <w:rPr>
          <w:rFonts w:ascii="標楷體" w:hAnsi="標楷體" w:eastAsia="標楷體"/>
          <w:sz w:val="28"/>
          <w:szCs w:val="28"/>
        </w:rPr>
        <w:t>（三）依公務人員留職停薪辦法、育嬰留職停薪實施辦法及各機關職務代理應行注意事項進用之約聘（僱）職務代理人員。</w:t>
      </w:r>
    </w:p>
    <w:p>
      <w:pPr>
        <w:pStyle w:val="Style19"/>
        <w:tabs>
          <w:tab w:val="clear" w:pos="50"/>
          <w:tab w:val="left" w:pos="567" w:leader="none"/>
        </w:tabs>
        <w:overflowPunct w:val="false"/>
        <w:spacing w:lineRule="exact" w:line="420"/>
        <w:ind w:left="566" w:hanging="566"/>
        <w:jc w:val="both"/>
        <w:rPr>
          <w:rFonts w:ascii="標楷體" w:hAnsi="標楷體" w:eastAsia="標楷體"/>
          <w:sz w:val="28"/>
          <w:szCs w:val="28"/>
        </w:rPr>
      </w:pPr>
      <w:r>
        <w:rPr>
          <w:rFonts w:ascii="標楷體" w:hAnsi="標楷體" w:eastAsia="標楷體"/>
          <w:sz w:val="28"/>
          <w:szCs w:val="28"/>
        </w:rPr>
        <w:t>三、各機關應依本府或授權機關核定之約聘（僱）用計畫書（表），訂定公開甄選資格條件。</w:t>
      </w:r>
    </w:p>
    <w:p>
      <w:pPr>
        <w:pStyle w:val="Style19"/>
        <w:tabs>
          <w:tab w:val="clear" w:pos="50"/>
          <w:tab w:val="left" w:pos="567" w:leader="none"/>
        </w:tabs>
        <w:overflowPunct w:val="false"/>
        <w:spacing w:lineRule="exact" w:line="420"/>
        <w:ind w:left="566" w:hanging="566"/>
        <w:jc w:val="both"/>
        <w:rPr>
          <w:rFonts w:ascii="標楷體" w:hAnsi="標楷體" w:eastAsia="標楷體"/>
          <w:sz w:val="28"/>
          <w:szCs w:val="28"/>
        </w:rPr>
      </w:pPr>
      <w:r>
        <w:rPr>
          <w:rFonts w:ascii="標楷體" w:hAnsi="標楷體" w:eastAsia="標楷體"/>
          <w:sz w:val="28"/>
          <w:szCs w:val="28"/>
        </w:rPr>
        <w:t>四、各機關進用約聘僱人員，應以公開甄選為原則，並依本府所定集中甄選作業計畫等相關規定辦理。</w:t>
      </w:r>
    </w:p>
    <w:p>
      <w:pPr>
        <w:pStyle w:val="Style19"/>
        <w:tabs>
          <w:tab w:val="clear" w:pos="50"/>
          <w:tab w:val="left" w:pos="567" w:leader="none"/>
        </w:tabs>
        <w:overflowPunct w:val="false"/>
        <w:spacing w:lineRule="exact" w:line="420"/>
        <w:ind w:left="566" w:hanging="566"/>
        <w:jc w:val="both"/>
        <w:rPr>
          <w:rFonts w:ascii="標楷體" w:hAnsi="標楷體" w:eastAsia="標楷體"/>
          <w:sz w:val="28"/>
          <w:szCs w:val="28"/>
        </w:rPr>
      </w:pPr>
      <w:r>
        <w:rPr>
          <w:rFonts w:ascii="標楷體" w:hAnsi="標楷體" w:eastAsia="標楷體"/>
          <w:sz w:val="28"/>
          <w:szCs w:val="28"/>
        </w:rPr>
        <w:t>五、經公開甄選錄取或續聘（僱）用之約聘（僱）人員應與各機關簽訂行政契約，並忠實履行契約義務。</w:t>
      </w:r>
    </w:p>
    <w:p>
      <w:pPr>
        <w:pStyle w:val="Style19"/>
        <w:tabs>
          <w:tab w:val="clear" w:pos="50"/>
          <w:tab w:val="left" w:pos="567" w:leader="none"/>
        </w:tabs>
        <w:overflowPunct w:val="false"/>
        <w:spacing w:lineRule="exact" w:line="420"/>
        <w:ind w:left="847" w:firstLine="3"/>
        <w:jc w:val="both"/>
        <w:rPr>
          <w:rFonts w:ascii="標楷體" w:hAnsi="標楷體" w:eastAsia="標楷體"/>
          <w:sz w:val="28"/>
          <w:szCs w:val="28"/>
        </w:rPr>
      </w:pPr>
      <w:r>
        <w:rPr>
          <w:rFonts w:ascii="標楷體" w:hAnsi="標楷體" w:eastAsia="標楷體"/>
          <w:sz w:val="28"/>
          <w:szCs w:val="28"/>
        </w:rPr>
        <w:t>前項契約應載明契約未規定者，依本要點及其他相關法令辦理。</w:t>
      </w:r>
    </w:p>
    <w:p>
      <w:pPr>
        <w:pStyle w:val="Style19"/>
        <w:tabs>
          <w:tab w:val="clear" w:pos="50"/>
          <w:tab w:val="left" w:pos="567" w:leader="none"/>
        </w:tabs>
        <w:overflowPunct w:val="false"/>
        <w:spacing w:lineRule="exact" w:line="420"/>
        <w:ind w:left="566" w:hanging="566"/>
        <w:jc w:val="both"/>
        <w:rPr>
          <w:rFonts w:ascii="標楷體" w:hAnsi="標楷體" w:eastAsia="標楷體"/>
          <w:sz w:val="28"/>
          <w:szCs w:val="28"/>
        </w:rPr>
      </w:pPr>
      <w:r>
        <w:rPr>
          <w:rFonts w:ascii="標楷體" w:hAnsi="標楷體" w:eastAsia="標楷體"/>
          <w:sz w:val="28"/>
          <w:szCs w:val="28"/>
        </w:rPr>
        <w:t>六、約聘（僱）人員之報酬視工作之職責程度與應具備之知能條件，認定支給報酬之等別及薪點，並依行政院核定之薪點折合率折合通用貨幣後，載明於契約中。</w:t>
      </w:r>
    </w:p>
    <w:p>
      <w:pPr>
        <w:pStyle w:val="Style19"/>
        <w:tabs>
          <w:tab w:val="clear" w:pos="50"/>
          <w:tab w:val="left" w:pos="567" w:leader="none"/>
        </w:tabs>
        <w:overflowPunct w:val="false"/>
        <w:spacing w:lineRule="exact" w:line="420"/>
        <w:ind w:left="566" w:firstLine="283"/>
        <w:jc w:val="both"/>
        <w:rPr>
          <w:rFonts w:ascii="標楷體" w:hAnsi="標楷體" w:eastAsia="標楷體"/>
          <w:sz w:val="28"/>
          <w:szCs w:val="28"/>
        </w:rPr>
      </w:pPr>
      <w:r>
        <w:rPr>
          <w:rFonts w:ascii="標楷體" w:hAnsi="標楷體" w:eastAsia="標楷體"/>
          <w:sz w:val="28"/>
          <w:szCs w:val="28"/>
        </w:rPr>
        <w:t>約聘（僱）人員之報酬薪點，以其聘（僱）用計畫所列薪點範圍內之最低薪點起支為原則。</w:t>
      </w:r>
    </w:p>
    <w:p>
      <w:pPr>
        <w:pStyle w:val="Style19"/>
        <w:tabs>
          <w:tab w:val="clear" w:pos="50"/>
          <w:tab w:val="left" w:pos="567" w:leader="none"/>
        </w:tabs>
        <w:overflowPunct w:val="false"/>
        <w:spacing w:lineRule="exact" w:line="420"/>
        <w:ind w:left="566" w:hanging="566"/>
        <w:jc w:val="both"/>
        <w:rPr>
          <w:rFonts w:ascii="標楷體" w:hAnsi="標楷體" w:eastAsia="標楷體"/>
          <w:sz w:val="28"/>
          <w:szCs w:val="28"/>
        </w:rPr>
      </w:pPr>
      <w:r>
        <w:rPr>
          <w:rFonts w:ascii="標楷體" w:hAnsi="標楷體" w:eastAsia="標楷體"/>
          <w:sz w:val="28"/>
          <w:szCs w:val="28"/>
        </w:rPr>
        <w:t>七、約聘（僱）人員之報酬，除委託計畫或補助機關另有規定者外，依下列規定支給：</w:t>
      </w:r>
    </w:p>
    <w:p>
      <w:pPr>
        <w:pStyle w:val="Style19"/>
        <w:tabs>
          <w:tab w:val="clear" w:pos="50"/>
          <w:tab w:val="left" w:pos="567" w:leader="none"/>
        </w:tabs>
        <w:overflowPunct w:val="false"/>
        <w:spacing w:lineRule="exact" w:line="420"/>
        <w:ind w:left="848" w:hanging="848"/>
        <w:jc w:val="both"/>
        <w:rPr>
          <w:rFonts w:ascii="標楷體" w:hAnsi="標楷體" w:eastAsia="標楷體"/>
          <w:sz w:val="28"/>
          <w:szCs w:val="28"/>
        </w:rPr>
      </w:pPr>
      <w:r>
        <w:rPr>
          <w:rFonts w:ascii="標楷體" w:hAnsi="標楷體" w:eastAsia="標楷體"/>
          <w:sz w:val="28"/>
          <w:szCs w:val="28"/>
        </w:rPr>
        <w:t>（一）約聘人員：依行政院暨所屬各級機關聘用人員注意事項所定之聘用人員比照分類職位公務人員俸點支給報酬標準表規定辦理。</w:t>
      </w:r>
    </w:p>
    <w:p>
      <w:pPr>
        <w:pStyle w:val="Style19"/>
        <w:tabs>
          <w:tab w:val="clear" w:pos="50"/>
          <w:tab w:val="left" w:pos="567" w:leader="none"/>
        </w:tabs>
        <w:overflowPunct w:val="false"/>
        <w:spacing w:lineRule="exact" w:line="420"/>
        <w:ind w:left="848" w:hanging="848"/>
        <w:jc w:val="both"/>
        <w:rPr>
          <w:rFonts w:ascii="標楷體" w:hAnsi="標楷體" w:eastAsia="標楷體"/>
          <w:sz w:val="28"/>
          <w:szCs w:val="28"/>
        </w:rPr>
      </w:pPr>
      <w:r>
        <w:rPr>
          <w:rFonts w:ascii="標楷體" w:hAnsi="標楷體" w:eastAsia="標楷體"/>
          <w:sz w:val="28"/>
          <w:szCs w:val="28"/>
        </w:rPr>
        <w:t>（二）約僱人員：依行政院與所屬中央及地方各機關約僱人員僱用辦法所定之約僱人員報酬標準表規定辦理。</w:t>
      </w:r>
    </w:p>
    <w:p>
      <w:pPr>
        <w:pStyle w:val="Style19"/>
        <w:tabs>
          <w:tab w:val="clear" w:pos="50"/>
          <w:tab w:val="left" w:pos="567" w:leader="none"/>
        </w:tabs>
        <w:overflowPunct w:val="false"/>
        <w:spacing w:lineRule="exact" w:line="420"/>
        <w:ind w:left="848" w:hanging="848"/>
        <w:jc w:val="both"/>
        <w:rPr>
          <w:rFonts w:ascii="標楷體" w:hAnsi="標楷體" w:eastAsia="標楷體"/>
          <w:sz w:val="28"/>
          <w:szCs w:val="28"/>
        </w:rPr>
      </w:pPr>
      <w:r>
        <w:rPr>
          <w:rFonts w:ascii="標楷體" w:hAnsi="標楷體" w:eastAsia="標楷體"/>
          <w:sz w:val="28"/>
          <w:szCs w:val="28"/>
        </w:rPr>
        <w:t>（三）約聘（僱）職務代理人：依臺南市政府及所屬機關學校約聘（僱）職務代理人核支報酬薪點原則之規定辦理。</w:t>
      </w:r>
    </w:p>
    <w:p>
      <w:pPr>
        <w:pStyle w:val="Style19"/>
        <w:tabs>
          <w:tab w:val="clear" w:pos="50"/>
          <w:tab w:val="left" w:pos="567" w:leader="none"/>
        </w:tabs>
        <w:overflowPunct w:val="false"/>
        <w:spacing w:lineRule="exact" w:line="420"/>
        <w:ind w:left="848" w:hanging="848"/>
        <w:jc w:val="both"/>
        <w:rPr>
          <w:rFonts w:ascii="標楷體" w:hAnsi="標楷體" w:eastAsia="標楷體"/>
          <w:sz w:val="28"/>
          <w:szCs w:val="28"/>
        </w:rPr>
      </w:pPr>
      <w:r>
        <w:rPr>
          <w:rFonts w:ascii="標楷體" w:hAnsi="標楷體" w:eastAsia="標楷體"/>
          <w:sz w:val="28"/>
          <w:szCs w:val="28"/>
        </w:rPr>
        <w:t>八、約聘（僱）人員之考核如下：</w:t>
      </w:r>
    </w:p>
    <w:p>
      <w:pPr>
        <w:pStyle w:val="Style19"/>
        <w:tabs>
          <w:tab w:val="clear" w:pos="50"/>
          <w:tab w:val="left" w:pos="567" w:leader="none"/>
        </w:tabs>
        <w:overflowPunct w:val="false"/>
        <w:spacing w:lineRule="exact" w:line="420"/>
        <w:ind w:left="848" w:hanging="848"/>
        <w:jc w:val="both"/>
        <w:rPr>
          <w:rFonts w:ascii="標楷體" w:hAnsi="標楷體" w:eastAsia="標楷體"/>
          <w:sz w:val="28"/>
          <w:szCs w:val="28"/>
        </w:rPr>
      </w:pPr>
      <w:r>
        <w:rPr>
          <w:rFonts w:ascii="標楷體" w:hAnsi="標楷體" w:eastAsia="標楷體"/>
          <w:sz w:val="28"/>
          <w:szCs w:val="28"/>
        </w:rPr>
        <w:t>（一）平時考核與年終考核：各機關應於每年四月及八月辦理平時考核，作為年終考核重要依據。任職至年度終了者，均應辦理年終考核。</w:t>
      </w:r>
    </w:p>
    <w:p>
      <w:pPr>
        <w:pStyle w:val="Style19"/>
        <w:tabs>
          <w:tab w:val="clear" w:pos="50"/>
          <w:tab w:val="left" w:pos="567" w:leader="none"/>
        </w:tabs>
        <w:overflowPunct w:val="false"/>
        <w:spacing w:lineRule="exact" w:line="420"/>
        <w:ind w:left="848" w:hanging="848"/>
        <w:jc w:val="both"/>
        <w:rPr>
          <w:rFonts w:ascii="標楷體" w:hAnsi="標楷體" w:eastAsia="標楷體"/>
          <w:sz w:val="28"/>
          <w:szCs w:val="28"/>
        </w:rPr>
      </w:pPr>
      <w:r>
        <w:rPr>
          <w:rFonts w:ascii="標楷體" w:hAnsi="標楷體" w:eastAsia="標楷體"/>
          <w:sz w:val="28"/>
          <w:szCs w:val="28"/>
        </w:rPr>
        <w:t>（二）專案考核：約聘（僱）人員有第十九點所定各款規定情事之一者，應即時辦理之考核。</w:t>
      </w:r>
    </w:p>
    <w:p>
      <w:pPr>
        <w:pStyle w:val="Style19"/>
        <w:tabs>
          <w:tab w:val="clear" w:pos="50"/>
          <w:tab w:val="left" w:pos="567" w:leader="none"/>
        </w:tabs>
        <w:overflowPunct w:val="false"/>
        <w:spacing w:lineRule="exact" w:line="420"/>
        <w:ind w:left="566" w:firstLine="283"/>
        <w:jc w:val="both"/>
        <w:rPr>
          <w:rFonts w:ascii="標楷體" w:hAnsi="標楷體" w:eastAsia="標楷體"/>
          <w:sz w:val="28"/>
          <w:szCs w:val="28"/>
        </w:rPr>
      </w:pPr>
      <w:r>
        <w:rPr>
          <w:rFonts w:ascii="標楷體" w:hAnsi="標楷體" w:eastAsia="標楷體"/>
          <w:sz w:val="28"/>
          <w:szCs w:val="28"/>
        </w:rPr>
        <w:t>第二點第三款之職務代理人員，不適用前項第一款之規定。</w:t>
      </w:r>
    </w:p>
    <w:p>
      <w:pPr>
        <w:pStyle w:val="Style19"/>
        <w:tabs>
          <w:tab w:val="clear" w:pos="50"/>
          <w:tab w:val="left" w:pos="567" w:leader="none"/>
        </w:tabs>
        <w:overflowPunct w:val="false"/>
        <w:spacing w:lineRule="exact" w:line="420"/>
        <w:ind w:left="566" w:hanging="566"/>
        <w:jc w:val="both"/>
        <w:rPr>
          <w:rFonts w:ascii="標楷體" w:hAnsi="標楷體" w:eastAsia="標楷體"/>
          <w:sz w:val="28"/>
          <w:szCs w:val="28"/>
        </w:rPr>
      </w:pPr>
      <w:r>
        <w:rPr>
          <w:rFonts w:ascii="標楷體" w:hAnsi="標楷體" w:eastAsia="標楷體"/>
          <w:sz w:val="28"/>
          <w:szCs w:val="28"/>
        </w:rPr>
        <w:t>九、各機關辦理約聘（僱）人員考核時，應將約聘（僱）人員之勤惰與獎懲紀錄，登載於平時及年終考核紀錄表（附表一及附表二），並由單位主管就考核項目，本綜覈名實，作客觀且公正之評核。</w:t>
      </w:r>
    </w:p>
    <w:p>
      <w:pPr>
        <w:pStyle w:val="Style19"/>
        <w:tabs>
          <w:tab w:val="clear" w:pos="50"/>
          <w:tab w:val="left" w:pos="567" w:leader="none"/>
        </w:tabs>
        <w:overflowPunct w:val="false"/>
        <w:spacing w:lineRule="exact" w:line="420"/>
        <w:ind w:left="566" w:firstLine="283"/>
        <w:jc w:val="both"/>
        <w:rPr>
          <w:rFonts w:ascii="標楷體" w:hAnsi="標楷體" w:eastAsia="標楷體"/>
          <w:sz w:val="28"/>
          <w:szCs w:val="28"/>
        </w:rPr>
      </w:pPr>
      <w:r>
        <w:rPr>
          <w:rFonts w:ascii="標楷體" w:hAnsi="標楷體" w:eastAsia="標楷體"/>
          <w:sz w:val="28"/>
          <w:szCs w:val="28"/>
        </w:rPr>
        <w:t>前項平時考核紀錄表，應密陳機關（單位）首長（主管）核閱，上級主管或機關（單位）首長（主管）得隨時查閱；考核紀錄有不當或與事實不符者，得加註意見送請主管人員覆考或逕予更正之。</w:t>
      </w:r>
    </w:p>
    <w:p>
      <w:pPr>
        <w:pStyle w:val="Style19"/>
        <w:tabs>
          <w:tab w:val="clear" w:pos="50"/>
          <w:tab w:val="left" w:pos="567" w:leader="none"/>
        </w:tabs>
        <w:overflowPunct w:val="false"/>
        <w:spacing w:lineRule="exact" w:line="420"/>
        <w:ind w:left="848" w:hanging="848"/>
        <w:jc w:val="both"/>
        <w:rPr>
          <w:rFonts w:ascii="標楷體" w:hAnsi="標楷體" w:eastAsia="標楷體"/>
          <w:sz w:val="28"/>
          <w:szCs w:val="28"/>
        </w:rPr>
      </w:pPr>
      <w:r>
        <w:rPr>
          <w:rFonts w:ascii="標楷體" w:hAnsi="標楷體" w:eastAsia="標楷體"/>
          <w:sz w:val="28"/>
          <w:szCs w:val="28"/>
        </w:rPr>
        <w:t>十、平時考核等級如下：</w:t>
      </w:r>
    </w:p>
    <w:p>
      <w:pPr>
        <w:pStyle w:val="Style19"/>
        <w:tabs>
          <w:tab w:val="clear" w:pos="50"/>
          <w:tab w:val="left" w:pos="567" w:leader="none"/>
        </w:tabs>
        <w:overflowPunct w:val="false"/>
        <w:spacing w:lineRule="exact" w:line="420"/>
        <w:ind w:left="848" w:hanging="848"/>
        <w:jc w:val="both"/>
        <w:rPr>
          <w:rFonts w:ascii="標楷體" w:hAnsi="標楷體" w:eastAsia="標楷體"/>
          <w:sz w:val="28"/>
          <w:szCs w:val="28"/>
        </w:rPr>
      </w:pPr>
      <w:r>
        <w:rPr>
          <w:rFonts w:ascii="標楷體" w:hAnsi="標楷體" w:eastAsia="標楷體"/>
          <w:sz w:val="28"/>
          <w:szCs w:val="28"/>
        </w:rPr>
        <w:t>（一）</w:t>
      </w:r>
      <w:r>
        <w:rPr>
          <w:rFonts w:eastAsia="標楷體" w:ascii="標楷體" w:hAnsi="標楷體"/>
          <w:sz w:val="28"/>
          <w:szCs w:val="28"/>
        </w:rPr>
        <w:t>A</w:t>
      </w:r>
      <w:r>
        <w:rPr>
          <w:rFonts w:ascii="標楷體" w:hAnsi="標楷體" w:eastAsia="標楷體"/>
          <w:sz w:val="28"/>
          <w:szCs w:val="28"/>
        </w:rPr>
        <w:t>級：表現明顯超出要求水準。</w:t>
      </w:r>
    </w:p>
    <w:p>
      <w:pPr>
        <w:pStyle w:val="Style19"/>
        <w:tabs>
          <w:tab w:val="clear" w:pos="50"/>
          <w:tab w:val="left" w:pos="567" w:leader="none"/>
        </w:tabs>
        <w:overflowPunct w:val="false"/>
        <w:spacing w:lineRule="exact" w:line="420"/>
        <w:ind w:left="848" w:hanging="848"/>
        <w:jc w:val="both"/>
        <w:rPr>
          <w:rFonts w:ascii="標楷體" w:hAnsi="標楷體" w:eastAsia="標楷體"/>
          <w:sz w:val="28"/>
          <w:szCs w:val="28"/>
        </w:rPr>
      </w:pPr>
      <w:r>
        <w:rPr>
          <w:rFonts w:ascii="標楷體" w:hAnsi="標楷體" w:eastAsia="標楷體"/>
          <w:sz w:val="28"/>
          <w:szCs w:val="28"/>
        </w:rPr>
        <w:t>（二）</w:t>
      </w:r>
      <w:r>
        <w:rPr>
          <w:rFonts w:eastAsia="標楷體" w:ascii="標楷體" w:hAnsi="標楷體"/>
          <w:sz w:val="28"/>
          <w:szCs w:val="28"/>
        </w:rPr>
        <w:t>B</w:t>
      </w:r>
      <w:r>
        <w:rPr>
          <w:rFonts w:ascii="標楷體" w:hAnsi="標楷體" w:eastAsia="標楷體"/>
          <w:sz w:val="28"/>
          <w:szCs w:val="28"/>
        </w:rPr>
        <w:t>級：表現尚能達到要求水準。</w:t>
      </w:r>
    </w:p>
    <w:p>
      <w:pPr>
        <w:pStyle w:val="Style19"/>
        <w:tabs>
          <w:tab w:val="clear" w:pos="50"/>
          <w:tab w:val="left" w:pos="567" w:leader="none"/>
        </w:tabs>
        <w:overflowPunct w:val="false"/>
        <w:spacing w:lineRule="exact" w:line="420"/>
        <w:ind w:left="848" w:hanging="848"/>
        <w:jc w:val="both"/>
        <w:rPr>
          <w:rFonts w:ascii="標楷體" w:hAnsi="標楷體" w:eastAsia="標楷體"/>
          <w:sz w:val="28"/>
          <w:szCs w:val="28"/>
        </w:rPr>
      </w:pPr>
      <w:r>
        <w:rPr>
          <w:rFonts w:ascii="標楷體" w:hAnsi="標楷體" w:eastAsia="標楷體"/>
          <w:sz w:val="28"/>
          <w:szCs w:val="28"/>
        </w:rPr>
        <w:t>（三）</w:t>
      </w:r>
      <w:r>
        <w:rPr>
          <w:rFonts w:eastAsia="標楷體" w:ascii="標楷體" w:hAnsi="標楷體"/>
          <w:sz w:val="28"/>
          <w:szCs w:val="28"/>
        </w:rPr>
        <w:t>C</w:t>
      </w:r>
      <w:r>
        <w:rPr>
          <w:rFonts w:ascii="標楷體" w:hAnsi="標楷體" w:eastAsia="標楷體"/>
          <w:sz w:val="28"/>
          <w:szCs w:val="28"/>
        </w:rPr>
        <w:t>級：表現未符合基本要求。</w:t>
      </w:r>
    </w:p>
    <w:p>
      <w:pPr>
        <w:pStyle w:val="Style19"/>
        <w:tabs>
          <w:tab w:val="clear" w:pos="50"/>
          <w:tab w:val="left" w:pos="567" w:leader="none"/>
        </w:tabs>
        <w:overflowPunct w:val="false"/>
        <w:spacing w:lineRule="exact" w:line="420"/>
        <w:ind w:left="566" w:firstLine="283"/>
        <w:jc w:val="both"/>
        <w:rPr>
          <w:rFonts w:ascii="標楷體" w:hAnsi="標楷體" w:eastAsia="標楷體"/>
          <w:sz w:val="28"/>
          <w:szCs w:val="28"/>
        </w:rPr>
      </w:pPr>
      <w:r>
        <w:rPr>
          <w:rFonts w:ascii="標楷體" w:hAnsi="標楷體" w:eastAsia="標楷體"/>
          <w:sz w:val="28"/>
          <w:szCs w:val="28"/>
        </w:rPr>
        <w:t>平時考核項目被評定為</w:t>
      </w:r>
      <w:r>
        <w:rPr>
          <w:rFonts w:eastAsia="標楷體" w:ascii="標楷體" w:hAnsi="標楷體"/>
          <w:sz w:val="28"/>
          <w:szCs w:val="28"/>
        </w:rPr>
        <w:t>C</w:t>
      </w:r>
      <w:r>
        <w:rPr>
          <w:rFonts w:ascii="標楷體" w:hAnsi="標楷體" w:eastAsia="標楷體"/>
          <w:sz w:val="28"/>
          <w:szCs w:val="28"/>
        </w:rPr>
        <w:t>級者，單位主管應與當事人面談，並將面談內容及結果詳實記錄於平時考核紀錄表中，作為年終考核評列等第之重要依據。</w:t>
      </w:r>
    </w:p>
    <w:p>
      <w:pPr>
        <w:pStyle w:val="Style19"/>
        <w:tabs>
          <w:tab w:val="clear" w:pos="50"/>
          <w:tab w:val="left" w:pos="567" w:leader="none"/>
        </w:tabs>
        <w:overflowPunct w:val="false"/>
        <w:spacing w:lineRule="exact" w:line="420"/>
        <w:ind w:left="848" w:hanging="848"/>
        <w:jc w:val="both"/>
        <w:rPr>
          <w:rFonts w:ascii="標楷體" w:hAnsi="標楷體" w:eastAsia="標楷體"/>
          <w:sz w:val="28"/>
          <w:szCs w:val="28"/>
        </w:rPr>
      </w:pPr>
      <w:r>
        <w:rPr>
          <w:rFonts w:ascii="標楷體" w:hAnsi="標楷體" w:eastAsia="標楷體"/>
          <w:sz w:val="28"/>
          <w:szCs w:val="28"/>
        </w:rPr>
        <w:t>十一、約聘（僱）人員由服務機關（單位）依下列規定辦理年終考核：</w:t>
      </w:r>
    </w:p>
    <w:p>
      <w:pPr>
        <w:pStyle w:val="Style19"/>
        <w:tabs>
          <w:tab w:val="clear" w:pos="50"/>
          <w:tab w:val="left" w:pos="567" w:leader="none"/>
        </w:tabs>
        <w:overflowPunct w:val="false"/>
        <w:spacing w:lineRule="exact" w:line="420"/>
        <w:ind w:left="1129" w:hanging="848"/>
        <w:jc w:val="both"/>
        <w:rPr>
          <w:rFonts w:ascii="標楷體" w:hAnsi="標楷體" w:eastAsia="標楷體"/>
          <w:sz w:val="28"/>
          <w:szCs w:val="28"/>
        </w:rPr>
      </w:pPr>
      <w:r>
        <w:rPr>
          <w:rFonts w:ascii="標楷體" w:hAnsi="標楷體" w:eastAsia="標楷體"/>
          <w:sz w:val="28"/>
          <w:szCs w:val="28"/>
        </w:rPr>
        <w:t>（一）由本府各單位考核者，經單位主管核定後，應副知本府人事處。</w:t>
      </w:r>
    </w:p>
    <w:p>
      <w:pPr>
        <w:pStyle w:val="Style19"/>
        <w:tabs>
          <w:tab w:val="clear" w:pos="50"/>
          <w:tab w:val="left" w:pos="567" w:leader="none"/>
        </w:tabs>
        <w:overflowPunct w:val="false"/>
        <w:spacing w:lineRule="exact" w:line="420"/>
        <w:ind w:left="1129" w:hanging="848"/>
        <w:jc w:val="both"/>
        <w:rPr>
          <w:rFonts w:ascii="標楷體" w:hAnsi="標楷體" w:eastAsia="標楷體"/>
          <w:sz w:val="28"/>
          <w:szCs w:val="28"/>
        </w:rPr>
      </w:pPr>
      <w:r>
        <w:rPr>
          <w:rFonts w:ascii="標楷體" w:hAnsi="標楷體" w:eastAsia="標楷體"/>
          <w:sz w:val="28"/>
          <w:szCs w:val="28"/>
        </w:rPr>
        <w:t>（二）由本府所屬機關學校考核者，考核結果為不予續聘（僱）時，應併附考核表副知本府。</w:t>
      </w:r>
    </w:p>
    <w:p>
      <w:pPr>
        <w:pStyle w:val="Style19"/>
        <w:tabs>
          <w:tab w:val="clear" w:pos="50"/>
          <w:tab w:val="left" w:pos="567" w:leader="none"/>
        </w:tabs>
        <w:overflowPunct w:val="false"/>
        <w:spacing w:lineRule="exact" w:line="420"/>
        <w:ind w:left="848" w:hanging="848"/>
        <w:jc w:val="both"/>
        <w:rPr>
          <w:rFonts w:ascii="標楷體" w:hAnsi="標楷體" w:eastAsia="標楷體"/>
          <w:sz w:val="28"/>
          <w:szCs w:val="28"/>
        </w:rPr>
      </w:pPr>
      <w:r>
        <w:rPr>
          <w:rFonts w:ascii="標楷體" w:hAnsi="標楷體" w:eastAsia="標楷體"/>
          <w:sz w:val="28"/>
          <w:szCs w:val="28"/>
        </w:rPr>
        <w:t>十二、年終考核之項目及配分如下：</w:t>
      </w:r>
    </w:p>
    <w:p>
      <w:pPr>
        <w:pStyle w:val="Style19"/>
        <w:tabs>
          <w:tab w:val="clear" w:pos="50"/>
          <w:tab w:val="left" w:pos="567" w:leader="none"/>
        </w:tabs>
        <w:overflowPunct w:val="false"/>
        <w:spacing w:lineRule="exact" w:line="420"/>
        <w:ind w:left="846" w:hanging="563"/>
        <w:jc w:val="both"/>
        <w:rPr>
          <w:rFonts w:ascii="標楷體" w:hAnsi="標楷體" w:eastAsia="標楷體"/>
          <w:sz w:val="28"/>
          <w:szCs w:val="28"/>
        </w:rPr>
      </w:pPr>
      <w:r>
        <w:rPr>
          <w:rFonts w:ascii="標楷體" w:hAnsi="標楷體" w:eastAsia="標楷體"/>
          <w:sz w:val="28"/>
          <w:szCs w:val="28"/>
        </w:rPr>
        <w:t>（一）工作績效與態度：（占百分之五十）</w:t>
      </w:r>
    </w:p>
    <w:p>
      <w:pPr>
        <w:pStyle w:val="Style19"/>
        <w:tabs>
          <w:tab w:val="clear" w:pos="50"/>
          <w:tab w:val="left" w:pos="567" w:leader="none"/>
        </w:tabs>
        <w:overflowPunct w:val="false"/>
        <w:spacing w:lineRule="exact" w:line="420"/>
        <w:ind w:left="847" w:firstLine="286"/>
        <w:jc w:val="both"/>
        <w:rPr>
          <w:rFonts w:ascii="標楷體" w:hAnsi="標楷體" w:eastAsia="標楷體"/>
          <w:sz w:val="28"/>
          <w:szCs w:val="28"/>
        </w:rPr>
      </w:pPr>
      <w:r>
        <w:rPr>
          <w:rFonts w:ascii="標楷體" w:hAnsi="標楷體" w:eastAsia="標楷體"/>
          <w:sz w:val="28"/>
          <w:szCs w:val="28"/>
        </w:rPr>
        <w:t>１．處理業務是否精確妥善及數量多寡。</w:t>
      </w:r>
    </w:p>
    <w:p>
      <w:pPr>
        <w:pStyle w:val="Style19"/>
        <w:tabs>
          <w:tab w:val="clear" w:pos="50"/>
          <w:tab w:val="left" w:pos="567" w:leader="none"/>
        </w:tabs>
        <w:overflowPunct w:val="false"/>
        <w:spacing w:lineRule="exact" w:line="420"/>
        <w:ind w:left="847" w:firstLine="286"/>
        <w:jc w:val="both"/>
        <w:rPr>
          <w:rFonts w:ascii="標楷體" w:hAnsi="標楷體" w:eastAsia="標楷體"/>
          <w:sz w:val="28"/>
          <w:szCs w:val="28"/>
        </w:rPr>
      </w:pPr>
      <w:r>
        <w:rPr>
          <w:rFonts w:ascii="標楷體" w:hAnsi="標楷體" w:eastAsia="標楷體"/>
          <w:sz w:val="28"/>
          <w:szCs w:val="28"/>
        </w:rPr>
        <w:t>２．是否依限完成應辦之工作。</w:t>
      </w:r>
    </w:p>
    <w:p>
      <w:pPr>
        <w:pStyle w:val="Style19"/>
        <w:tabs>
          <w:tab w:val="clear" w:pos="50"/>
          <w:tab w:val="left" w:pos="567" w:leader="none"/>
        </w:tabs>
        <w:overflowPunct w:val="false"/>
        <w:spacing w:lineRule="exact" w:line="420"/>
        <w:ind w:left="847" w:firstLine="286"/>
        <w:jc w:val="both"/>
        <w:rPr>
          <w:rFonts w:ascii="標楷體" w:hAnsi="標楷體" w:eastAsia="標楷體"/>
          <w:sz w:val="28"/>
          <w:szCs w:val="28"/>
        </w:rPr>
      </w:pPr>
      <w:r>
        <w:rPr>
          <w:rFonts w:ascii="標楷體" w:hAnsi="標楷體" w:eastAsia="標楷體"/>
          <w:sz w:val="28"/>
          <w:szCs w:val="28"/>
        </w:rPr>
        <w:t>３．能否以熱心及同理心，為洽公民眾或同仁處理公務。</w:t>
      </w:r>
    </w:p>
    <w:p>
      <w:pPr>
        <w:pStyle w:val="Style19"/>
        <w:tabs>
          <w:tab w:val="clear" w:pos="50"/>
          <w:tab w:val="left" w:pos="567" w:leader="none"/>
        </w:tabs>
        <w:overflowPunct w:val="false"/>
        <w:spacing w:lineRule="exact" w:line="420"/>
        <w:ind w:left="847" w:firstLine="286"/>
        <w:jc w:val="both"/>
        <w:rPr>
          <w:rFonts w:ascii="標楷體" w:hAnsi="標楷體" w:eastAsia="標楷體"/>
          <w:sz w:val="28"/>
          <w:szCs w:val="28"/>
        </w:rPr>
      </w:pPr>
      <w:r>
        <w:rPr>
          <w:rFonts w:ascii="標楷體" w:hAnsi="標楷體" w:eastAsia="標楷體"/>
          <w:sz w:val="28"/>
          <w:szCs w:val="28"/>
        </w:rPr>
        <w:t>４．能否不待督促，自動自發積極辦理。</w:t>
      </w:r>
    </w:p>
    <w:p>
      <w:pPr>
        <w:pStyle w:val="Style19"/>
        <w:tabs>
          <w:tab w:val="clear" w:pos="50"/>
          <w:tab w:val="left" w:pos="567" w:leader="none"/>
        </w:tabs>
        <w:overflowPunct w:val="false"/>
        <w:spacing w:lineRule="exact" w:line="420"/>
        <w:ind w:left="847" w:firstLine="286"/>
        <w:jc w:val="both"/>
        <w:rPr>
          <w:rFonts w:ascii="標楷體" w:hAnsi="標楷體" w:eastAsia="標楷體"/>
          <w:sz w:val="28"/>
          <w:szCs w:val="28"/>
        </w:rPr>
      </w:pPr>
      <w:r>
        <w:rPr>
          <w:rFonts w:ascii="標楷體" w:hAnsi="標楷體" w:eastAsia="標楷體"/>
          <w:sz w:val="28"/>
          <w:szCs w:val="28"/>
        </w:rPr>
        <w:t>５．能否任勞任怨，勇於負責。</w:t>
      </w:r>
    </w:p>
    <w:p>
      <w:pPr>
        <w:pStyle w:val="Style19"/>
        <w:tabs>
          <w:tab w:val="clear" w:pos="50"/>
          <w:tab w:val="left" w:pos="567" w:leader="none"/>
        </w:tabs>
        <w:overflowPunct w:val="false"/>
        <w:spacing w:lineRule="exact" w:line="420"/>
        <w:ind w:left="847" w:firstLine="286"/>
        <w:jc w:val="both"/>
        <w:rPr>
          <w:rFonts w:ascii="標楷體" w:hAnsi="標楷體" w:eastAsia="標楷體"/>
          <w:sz w:val="28"/>
          <w:szCs w:val="28"/>
        </w:rPr>
      </w:pPr>
      <w:r>
        <w:rPr>
          <w:rFonts w:ascii="標楷體" w:hAnsi="標楷體" w:eastAsia="標楷體"/>
          <w:sz w:val="28"/>
          <w:szCs w:val="28"/>
        </w:rPr>
        <w:t>６．能否與其他有關人員密切配合，具團隊精神及高度認同感。</w:t>
      </w:r>
    </w:p>
    <w:p>
      <w:pPr>
        <w:pStyle w:val="Style19"/>
        <w:tabs>
          <w:tab w:val="clear" w:pos="50"/>
          <w:tab w:val="left" w:pos="567" w:leader="none"/>
        </w:tabs>
        <w:overflowPunct w:val="false"/>
        <w:spacing w:lineRule="exact" w:line="420"/>
        <w:ind w:left="847" w:firstLine="286"/>
        <w:jc w:val="both"/>
        <w:rPr>
          <w:rFonts w:ascii="標楷體" w:hAnsi="標楷體" w:eastAsia="標楷體"/>
          <w:sz w:val="28"/>
          <w:szCs w:val="28"/>
        </w:rPr>
      </w:pPr>
      <w:r>
        <w:rPr>
          <w:rFonts w:ascii="標楷體" w:hAnsi="標楷體" w:eastAsia="標楷體"/>
          <w:sz w:val="28"/>
          <w:szCs w:val="28"/>
        </w:rPr>
        <w:t>７．對應辦業務能否不斷檢討虛心研究，力求改進。</w:t>
      </w:r>
    </w:p>
    <w:p>
      <w:pPr>
        <w:pStyle w:val="Style19"/>
        <w:tabs>
          <w:tab w:val="clear" w:pos="50"/>
          <w:tab w:val="left" w:pos="567" w:leader="none"/>
        </w:tabs>
        <w:overflowPunct w:val="false"/>
        <w:spacing w:lineRule="exact" w:line="420"/>
        <w:ind w:left="846" w:hanging="563"/>
        <w:jc w:val="both"/>
        <w:rPr>
          <w:rFonts w:ascii="標楷體" w:hAnsi="標楷體" w:eastAsia="標楷體"/>
          <w:sz w:val="28"/>
          <w:szCs w:val="28"/>
        </w:rPr>
      </w:pPr>
      <w:r>
        <w:rPr>
          <w:rFonts w:ascii="標楷體" w:hAnsi="標楷體" w:eastAsia="標楷體"/>
          <w:sz w:val="28"/>
          <w:szCs w:val="28"/>
        </w:rPr>
        <w:t>（二）品德操守：（占百分之二十五）</w:t>
      </w:r>
    </w:p>
    <w:p>
      <w:pPr>
        <w:pStyle w:val="Style19"/>
        <w:tabs>
          <w:tab w:val="clear" w:pos="50"/>
          <w:tab w:val="left" w:pos="567" w:leader="none"/>
        </w:tabs>
        <w:overflowPunct w:val="false"/>
        <w:spacing w:lineRule="exact" w:line="420"/>
        <w:ind w:left="847" w:firstLine="286"/>
        <w:jc w:val="both"/>
        <w:rPr>
          <w:rFonts w:ascii="標楷體" w:hAnsi="標楷體" w:eastAsia="標楷體"/>
          <w:sz w:val="28"/>
          <w:szCs w:val="28"/>
        </w:rPr>
      </w:pPr>
      <w:r>
        <w:rPr>
          <w:rFonts w:ascii="標楷體" w:hAnsi="標楷體" w:eastAsia="標楷體"/>
          <w:sz w:val="28"/>
          <w:szCs w:val="28"/>
        </w:rPr>
        <w:t>１．是否敦厚謙和，謹慎懇摯。</w:t>
      </w:r>
    </w:p>
    <w:p>
      <w:pPr>
        <w:pStyle w:val="Style19"/>
        <w:tabs>
          <w:tab w:val="clear" w:pos="50"/>
          <w:tab w:val="left" w:pos="567" w:leader="none"/>
        </w:tabs>
        <w:overflowPunct w:val="false"/>
        <w:spacing w:lineRule="exact" w:line="420"/>
        <w:ind w:left="1699" w:hanging="566"/>
        <w:jc w:val="both"/>
        <w:rPr>
          <w:rFonts w:ascii="標楷體" w:hAnsi="標楷體" w:eastAsia="標楷體"/>
          <w:sz w:val="28"/>
          <w:szCs w:val="28"/>
        </w:rPr>
      </w:pPr>
      <w:r>
        <w:rPr>
          <w:rFonts w:ascii="標楷體" w:hAnsi="標楷體" w:eastAsia="標楷體"/>
          <w:sz w:val="28"/>
          <w:szCs w:val="28"/>
        </w:rPr>
        <w:t>２．是否廉潔自持，無收受不當利益或有無兼職經主管規勸仍未改善之情事。</w:t>
      </w:r>
    </w:p>
    <w:p>
      <w:pPr>
        <w:pStyle w:val="Style19"/>
        <w:tabs>
          <w:tab w:val="clear" w:pos="50"/>
          <w:tab w:val="left" w:pos="567" w:leader="none"/>
        </w:tabs>
        <w:overflowPunct w:val="false"/>
        <w:spacing w:lineRule="exact" w:line="420"/>
        <w:ind w:left="847" w:firstLine="286"/>
        <w:jc w:val="both"/>
        <w:rPr>
          <w:rFonts w:ascii="標楷體" w:hAnsi="標楷體" w:eastAsia="標楷體"/>
          <w:sz w:val="28"/>
          <w:szCs w:val="28"/>
        </w:rPr>
      </w:pPr>
      <w:r>
        <w:rPr>
          <w:rFonts w:ascii="標楷體" w:hAnsi="標楷體" w:eastAsia="標楷體"/>
          <w:sz w:val="28"/>
          <w:szCs w:val="28"/>
        </w:rPr>
        <w:t>３．能否虛心接受長官指導及指揮調度處理公務。</w:t>
      </w:r>
    </w:p>
    <w:p>
      <w:pPr>
        <w:pStyle w:val="Style19"/>
        <w:tabs>
          <w:tab w:val="clear" w:pos="50"/>
          <w:tab w:val="left" w:pos="567" w:leader="none"/>
        </w:tabs>
        <w:overflowPunct w:val="false"/>
        <w:spacing w:lineRule="exact" w:line="420"/>
        <w:ind w:left="846" w:hanging="563"/>
        <w:jc w:val="both"/>
        <w:rPr>
          <w:rFonts w:ascii="標楷體" w:hAnsi="標楷體" w:eastAsia="標楷體"/>
          <w:sz w:val="28"/>
          <w:szCs w:val="28"/>
        </w:rPr>
      </w:pPr>
      <w:r>
        <w:rPr>
          <w:rFonts w:ascii="標楷體" w:hAnsi="標楷體" w:eastAsia="標楷體"/>
          <w:sz w:val="28"/>
          <w:szCs w:val="28"/>
        </w:rPr>
        <w:t>（三）差勤：（占百分之二十五）</w:t>
      </w:r>
    </w:p>
    <w:p>
      <w:pPr>
        <w:pStyle w:val="Style19"/>
        <w:tabs>
          <w:tab w:val="clear" w:pos="50"/>
          <w:tab w:val="left" w:pos="567" w:leader="none"/>
        </w:tabs>
        <w:overflowPunct w:val="false"/>
        <w:spacing w:lineRule="exact" w:line="420"/>
        <w:ind w:left="1699" w:hanging="566"/>
        <w:jc w:val="both"/>
        <w:rPr>
          <w:rFonts w:ascii="標楷體" w:hAnsi="標楷體" w:eastAsia="標楷體"/>
          <w:sz w:val="28"/>
          <w:szCs w:val="28"/>
        </w:rPr>
      </w:pPr>
      <w:r>
        <w:rPr>
          <w:rFonts w:ascii="標楷體" w:hAnsi="標楷體" w:eastAsia="標楷體"/>
          <w:sz w:val="28"/>
          <w:szCs w:val="28"/>
        </w:rPr>
        <w:t>１．能否認真勤慎，熱誠任事，不遲到早退。</w:t>
      </w:r>
    </w:p>
    <w:p>
      <w:pPr>
        <w:pStyle w:val="Style19"/>
        <w:tabs>
          <w:tab w:val="clear" w:pos="50"/>
          <w:tab w:val="left" w:pos="567" w:leader="none"/>
        </w:tabs>
        <w:overflowPunct w:val="false"/>
        <w:spacing w:lineRule="exact" w:line="420"/>
        <w:ind w:left="1699" w:hanging="566"/>
        <w:jc w:val="both"/>
        <w:rPr>
          <w:rFonts w:ascii="標楷體" w:hAnsi="標楷體" w:eastAsia="標楷體"/>
          <w:sz w:val="28"/>
          <w:szCs w:val="28"/>
        </w:rPr>
      </w:pPr>
      <w:r>
        <w:rPr>
          <w:rFonts w:ascii="標楷體" w:hAnsi="標楷體" w:eastAsia="標楷體"/>
          <w:sz w:val="28"/>
          <w:szCs w:val="28"/>
        </w:rPr>
        <w:t>２．能否於長官已核准（指派）加班處理公務時，不推諉搪塞。</w:t>
      </w:r>
    </w:p>
    <w:p>
      <w:pPr>
        <w:pStyle w:val="Style19"/>
        <w:tabs>
          <w:tab w:val="clear" w:pos="50"/>
          <w:tab w:val="left" w:pos="567" w:leader="none"/>
        </w:tabs>
        <w:overflowPunct w:val="false"/>
        <w:spacing w:lineRule="exact" w:line="420"/>
        <w:ind w:left="1699" w:hanging="566"/>
        <w:jc w:val="both"/>
        <w:rPr>
          <w:rFonts w:ascii="標楷體" w:hAnsi="標楷體" w:eastAsia="標楷體"/>
          <w:sz w:val="28"/>
          <w:szCs w:val="28"/>
        </w:rPr>
      </w:pPr>
      <w:r>
        <w:rPr>
          <w:rFonts w:ascii="標楷體" w:hAnsi="標楷體" w:eastAsia="標楷體"/>
          <w:sz w:val="28"/>
          <w:szCs w:val="28"/>
        </w:rPr>
        <w:t>３．能否在辦公時間內，不藉機離開辦公處所處理私務。</w:t>
      </w:r>
    </w:p>
    <w:p>
      <w:pPr>
        <w:pStyle w:val="Style19"/>
        <w:tabs>
          <w:tab w:val="clear" w:pos="50"/>
          <w:tab w:val="left" w:pos="567" w:leader="none"/>
        </w:tabs>
        <w:overflowPunct w:val="false"/>
        <w:spacing w:lineRule="exact" w:line="420"/>
        <w:ind w:left="848" w:hanging="848"/>
        <w:jc w:val="both"/>
        <w:rPr>
          <w:rFonts w:ascii="標楷體" w:hAnsi="標楷體" w:eastAsia="標楷體"/>
          <w:sz w:val="28"/>
          <w:szCs w:val="28"/>
        </w:rPr>
      </w:pPr>
      <w:r>
        <w:rPr>
          <w:rFonts w:ascii="標楷體" w:hAnsi="標楷體" w:eastAsia="標楷體"/>
          <w:sz w:val="28"/>
          <w:szCs w:val="28"/>
        </w:rPr>
        <w:t>十三、年終考核等次及分數如下：</w:t>
      </w:r>
    </w:p>
    <w:p>
      <w:pPr>
        <w:pStyle w:val="Style19"/>
        <w:tabs>
          <w:tab w:val="clear" w:pos="50"/>
          <w:tab w:val="left" w:pos="567" w:leader="none"/>
        </w:tabs>
        <w:overflowPunct w:val="false"/>
        <w:spacing w:lineRule="exact" w:line="420"/>
        <w:ind w:left="846" w:hanging="563"/>
        <w:jc w:val="both"/>
        <w:rPr>
          <w:rFonts w:ascii="標楷體" w:hAnsi="標楷體" w:eastAsia="標楷體"/>
          <w:sz w:val="28"/>
          <w:szCs w:val="28"/>
        </w:rPr>
      </w:pPr>
      <w:r>
        <w:rPr>
          <w:rFonts w:ascii="標楷體" w:hAnsi="標楷體" w:eastAsia="標楷體"/>
          <w:sz w:val="28"/>
          <w:szCs w:val="28"/>
        </w:rPr>
        <w:t>（一）甲等：八十分以上。</w:t>
      </w:r>
    </w:p>
    <w:p>
      <w:pPr>
        <w:pStyle w:val="Style19"/>
        <w:tabs>
          <w:tab w:val="clear" w:pos="50"/>
          <w:tab w:val="left" w:pos="567" w:leader="none"/>
        </w:tabs>
        <w:overflowPunct w:val="false"/>
        <w:spacing w:lineRule="exact" w:line="420"/>
        <w:ind w:left="846" w:hanging="563"/>
        <w:jc w:val="both"/>
        <w:rPr>
          <w:rFonts w:ascii="標楷體" w:hAnsi="標楷體" w:eastAsia="標楷體"/>
          <w:sz w:val="28"/>
          <w:szCs w:val="28"/>
        </w:rPr>
      </w:pPr>
      <w:r>
        <w:rPr>
          <w:rFonts w:ascii="標楷體" w:hAnsi="標楷體" w:eastAsia="標楷體"/>
          <w:sz w:val="28"/>
          <w:szCs w:val="28"/>
        </w:rPr>
        <w:t>（二）乙等：七十分以上未滿八十分。</w:t>
      </w:r>
    </w:p>
    <w:p>
      <w:pPr>
        <w:pStyle w:val="Style19"/>
        <w:tabs>
          <w:tab w:val="clear" w:pos="50"/>
          <w:tab w:val="left" w:pos="567" w:leader="none"/>
        </w:tabs>
        <w:overflowPunct w:val="false"/>
        <w:spacing w:lineRule="exact" w:line="420"/>
        <w:ind w:left="846" w:hanging="563"/>
        <w:jc w:val="both"/>
        <w:rPr>
          <w:rFonts w:ascii="標楷體" w:hAnsi="標楷體" w:eastAsia="標楷體"/>
          <w:sz w:val="28"/>
          <w:szCs w:val="28"/>
        </w:rPr>
      </w:pPr>
      <w:r>
        <w:rPr>
          <w:rFonts w:ascii="標楷體" w:hAnsi="標楷體" w:eastAsia="標楷體"/>
          <w:sz w:val="28"/>
          <w:szCs w:val="28"/>
        </w:rPr>
        <w:t>（三）丙等：未滿七十分。</w:t>
      </w:r>
    </w:p>
    <w:p>
      <w:pPr>
        <w:pStyle w:val="Style19"/>
        <w:tabs>
          <w:tab w:val="clear" w:pos="50"/>
          <w:tab w:val="left" w:pos="567" w:leader="none"/>
        </w:tabs>
        <w:overflowPunct w:val="false"/>
        <w:spacing w:lineRule="exact" w:line="420"/>
        <w:ind w:left="848" w:hanging="848"/>
        <w:jc w:val="both"/>
        <w:rPr>
          <w:rFonts w:ascii="標楷體" w:hAnsi="標楷體" w:eastAsia="標楷體"/>
          <w:sz w:val="28"/>
          <w:szCs w:val="28"/>
        </w:rPr>
      </w:pPr>
      <w:r>
        <w:rPr>
          <w:rFonts w:ascii="標楷體" w:hAnsi="標楷體" w:eastAsia="標楷體"/>
          <w:sz w:val="28"/>
          <w:szCs w:val="28"/>
        </w:rPr>
        <w:t>十四、年終考核結果，依下列規定辦理：</w:t>
      </w:r>
    </w:p>
    <w:p>
      <w:pPr>
        <w:pStyle w:val="Style19"/>
        <w:tabs>
          <w:tab w:val="clear" w:pos="50"/>
          <w:tab w:val="left" w:pos="567" w:leader="none"/>
        </w:tabs>
        <w:overflowPunct w:val="false"/>
        <w:spacing w:lineRule="exact" w:line="420"/>
        <w:ind w:left="1129" w:hanging="848"/>
        <w:jc w:val="both"/>
        <w:rPr>
          <w:rFonts w:ascii="標楷體" w:hAnsi="標楷體" w:eastAsia="標楷體"/>
          <w:sz w:val="28"/>
          <w:szCs w:val="28"/>
        </w:rPr>
      </w:pPr>
      <w:r>
        <w:rPr>
          <w:rFonts w:ascii="標楷體" w:hAnsi="標楷體" w:eastAsia="標楷體"/>
          <w:sz w:val="28"/>
          <w:szCs w:val="28"/>
        </w:rPr>
        <w:t>（一）考列甲等人員：列入次年度續聘（僱）之依據。但原約聘（僱）計畫終止或預算（經費）無法支應時，不在此限。</w:t>
      </w:r>
    </w:p>
    <w:p>
      <w:pPr>
        <w:pStyle w:val="Style19"/>
        <w:tabs>
          <w:tab w:val="clear" w:pos="50"/>
          <w:tab w:val="left" w:pos="567" w:leader="none"/>
        </w:tabs>
        <w:overflowPunct w:val="false"/>
        <w:spacing w:lineRule="exact" w:line="420"/>
        <w:ind w:left="1129" w:hanging="848"/>
        <w:jc w:val="both"/>
        <w:rPr>
          <w:rFonts w:ascii="標楷體" w:hAnsi="標楷體" w:eastAsia="標楷體"/>
          <w:sz w:val="28"/>
          <w:szCs w:val="28"/>
        </w:rPr>
      </w:pPr>
      <w:r>
        <w:rPr>
          <w:rFonts w:ascii="標楷體" w:hAnsi="標楷體" w:eastAsia="標楷體"/>
          <w:sz w:val="28"/>
          <w:szCs w:val="28"/>
        </w:rPr>
        <w:t>（二）考列乙等人員：經續聘（僱）者，各單位主管應加強督導。連續三年考列乙等以下者，次年度不予續聘（僱）。但為治療全民健康保險保險對象免自行負擔費用辦法第二條第一項附表所列重大傷病，致事、病假超過十四日而考列乙等並附有相關證明者，該年度之考核結果得不予採計。</w:t>
      </w:r>
    </w:p>
    <w:p>
      <w:pPr>
        <w:pStyle w:val="Style19"/>
        <w:tabs>
          <w:tab w:val="clear" w:pos="50"/>
          <w:tab w:val="left" w:pos="567" w:leader="none"/>
        </w:tabs>
        <w:overflowPunct w:val="false"/>
        <w:spacing w:lineRule="exact" w:line="420"/>
        <w:ind w:left="1129" w:hanging="848"/>
        <w:jc w:val="both"/>
        <w:rPr>
          <w:rFonts w:ascii="標楷體" w:hAnsi="標楷體" w:eastAsia="標楷體"/>
          <w:sz w:val="28"/>
          <w:szCs w:val="28"/>
        </w:rPr>
      </w:pPr>
      <w:r>
        <w:rPr>
          <w:rFonts w:ascii="標楷體" w:hAnsi="標楷體" w:eastAsia="標楷體"/>
          <w:sz w:val="28"/>
          <w:szCs w:val="28"/>
        </w:rPr>
        <w:t>（三）考列丙等人員：最近三年內二年考列丙等者，次年度不予續聘（僱）。</w:t>
      </w:r>
    </w:p>
    <w:p>
      <w:pPr>
        <w:pStyle w:val="Style19"/>
        <w:tabs>
          <w:tab w:val="clear" w:pos="50"/>
          <w:tab w:val="left" w:pos="567" w:leader="none"/>
        </w:tabs>
        <w:overflowPunct w:val="false"/>
        <w:spacing w:lineRule="exact" w:line="420"/>
        <w:ind w:left="847" w:firstLine="286"/>
        <w:jc w:val="both"/>
        <w:rPr>
          <w:rFonts w:ascii="標楷體" w:hAnsi="標楷體" w:eastAsia="標楷體"/>
          <w:sz w:val="28"/>
          <w:szCs w:val="28"/>
        </w:rPr>
      </w:pPr>
      <w:r>
        <w:rPr>
          <w:rFonts w:ascii="標楷體" w:hAnsi="標楷體" w:eastAsia="標楷體"/>
          <w:sz w:val="28"/>
          <w:szCs w:val="28"/>
        </w:rPr>
        <w:t>各機關約聘（僱）人員年終考核考列甲等人數之比例，應合併計算，不得超過其受考總人數之百分之七十五。</w:t>
      </w:r>
    </w:p>
    <w:p>
      <w:pPr>
        <w:pStyle w:val="Style19"/>
        <w:tabs>
          <w:tab w:val="clear" w:pos="50"/>
          <w:tab w:val="left" w:pos="567" w:leader="none"/>
        </w:tabs>
        <w:overflowPunct w:val="false"/>
        <w:spacing w:lineRule="exact" w:line="420"/>
        <w:ind w:left="847" w:firstLine="286"/>
        <w:jc w:val="both"/>
        <w:rPr>
          <w:rFonts w:ascii="標楷體" w:hAnsi="標楷體" w:eastAsia="標楷體"/>
          <w:sz w:val="28"/>
          <w:szCs w:val="28"/>
        </w:rPr>
      </w:pPr>
      <w:r>
        <w:rPr>
          <w:rFonts w:ascii="標楷體" w:hAnsi="標楷體" w:eastAsia="標楷體"/>
          <w:sz w:val="28"/>
          <w:szCs w:val="28"/>
        </w:rPr>
        <w:t>年終考核連續二年考列甲等者，得在該年度考列甲等人數三分之一範圍內，視年度經費於聘僱計畫核定等別之最高階（級）內晉薪點一階（級）。但各機關約聘（僱）人員為三人以下者，年終考核三年內二年考列甲等一年考列乙等以上，得辦理晉階（級）。</w:t>
      </w:r>
    </w:p>
    <w:p>
      <w:pPr>
        <w:pStyle w:val="Style19"/>
        <w:tabs>
          <w:tab w:val="clear" w:pos="50"/>
          <w:tab w:val="left" w:pos="567" w:leader="none"/>
        </w:tabs>
        <w:overflowPunct w:val="false"/>
        <w:spacing w:lineRule="exact" w:line="420"/>
        <w:ind w:left="847" w:firstLine="286"/>
        <w:jc w:val="both"/>
        <w:rPr>
          <w:rFonts w:ascii="標楷體" w:hAnsi="標楷體" w:eastAsia="標楷體"/>
          <w:sz w:val="28"/>
          <w:szCs w:val="28"/>
        </w:rPr>
      </w:pPr>
      <w:r>
        <w:rPr>
          <w:rFonts w:ascii="標楷體" w:hAnsi="標楷體" w:eastAsia="標楷體"/>
          <w:sz w:val="28"/>
          <w:szCs w:val="28"/>
        </w:rPr>
        <w:t>第三項所定年終考核之採計，不含年度內任現職未滿一年、年度中晉階（級）或改聘（僱）較高等階（級）之年終考核。</w:t>
      </w:r>
    </w:p>
    <w:p>
      <w:pPr>
        <w:pStyle w:val="Style19"/>
        <w:tabs>
          <w:tab w:val="clear" w:pos="50"/>
          <w:tab w:val="left" w:pos="567" w:leader="none"/>
        </w:tabs>
        <w:overflowPunct w:val="false"/>
        <w:spacing w:lineRule="exact" w:line="420"/>
        <w:ind w:left="848" w:hanging="848"/>
        <w:jc w:val="both"/>
        <w:rPr>
          <w:rFonts w:ascii="標楷體" w:hAnsi="標楷體" w:eastAsia="標楷體"/>
          <w:sz w:val="28"/>
          <w:szCs w:val="28"/>
        </w:rPr>
      </w:pPr>
      <w:r>
        <w:rPr>
          <w:rFonts w:ascii="標楷體" w:hAnsi="標楷體" w:eastAsia="標楷體"/>
          <w:sz w:val="28"/>
          <w:szCs w:val="28"/>
        </w:rPr>
        <w:t>十五、約聘（僱）人員年終工作獎金之發給，比照軍公教人員年終工作獎金發給注意事項規定辦理。</w:t>
      </w:r>
    </w:p>
    <w:p>
      <w:pPr>
        <w:pStyle w:val="Style19"/>
        <w:tabs>
          <w:tab w:val="clear" w:pos="50"/>
          <w:tab w:val="left" w:pos="567" w:leader="none"/>
        </w:tabs>
        <w:overflowPunct w:val="false"/>
        <w:spacing w:lineRule="exact" w:line="420"/>
        <w:ind w:left="848" w:hanging="848"/>
        <w:jc w:val="both"/>
        <w:rPr>
          <w:rFonts w:ascii="標楷體" w:hAnsi="標楷體" w:eastAsia="標楷體"/>
          <w:sz w:val="28"/>
          <w:szCs w:val="28"/>
        </w:rPr>
      </w:pPr>
      <w:r>
        <w:rPr>
          <w:rFonts w:ascii="標楷體" w:hAnsi="標楷體" w:eastAsia="標楷體"/>
          <w:sz w:val="28"/>
          <w:szCs w:val="28"/>
        </w:rPr>
        <w:t>十六、約聘（僱）人員獎懲標準，比照公務人員考績法及其施行細則與本府及所屬各機關公務人員平時獎懲標準表之相關規定辦理。</w:t>
      </w:r>
    </w:p>
    <w:p>
      <w:pPr>
        <w:pStyle w:val="Style19"/>
        <w:tabs>
          <w:tab w:val="clear" w:pos="50"/>
          <w:tab w:val="left" w:pos="567" w:leader="none"/>
        </w:tabs>
        <w:overflowPunct w:val="false"/>
        <w:spacing w:lineRule="exact" w:line="420"/>
        <w:ind w:left="847" w:firstLine="286"/>
        <w:jc w:val="both"/>
        <w:rPr>
          <w:rFonts w:ascii="標楷體" w:hAnsi="標楷體" w:eastAsia="標楷體"/>
          <w:sz w:val="28"/>
          <w:szCs w:val="28"/>
        </w:rPr>
      </w:pPr>
      <w:r>
        <w:rPr>
          <w:rFonts w:ascii="標楷體" w:hAnsi="標楷體" w:eastAsia="標楷體"/>
          <w:sz w:val="28"/>
          <w:szCs w:val="28"/>
        </w:rPr>
        <w:t>獎懲結果應併入年終考核增減分數。嘉獎或申誡一次者，考核時增減其分數一分；記功或記過一次者，增減其分數三分；記一大功或一大過者，增減其分數九分。</w:t>
      </w:r>
    </w:p>
    <w:p>
      <w:pPr>
        <w:pStyle w:val="Style19"/>
        <w:tabs>
          <w:tab w:val="clear" w:pos="50"/>
          <w:tab w:val="left" w:pos="567" w:leader="none"/>
        </w:tabs>
        <w:overflowPunct w:val="false"/>
        <w:spacing w:lineRule="exact" w:line="420"/>
        <w:ind w:left="847" w:firstLine="286"/>
        <w:jc w:val="both"/>
        <w:rPr>
          <w:rFonts w:ascii="標楷體" w:hAnsi="標楷體" w:eastAsia="標楷體"/>
          <w:sz w:val="28"/>
          <w:szCs w:val="28"/>
        </w:rPr>
      </w:pPr>
      <w:r>
        <w:rPr>
          <w:rFonts w:ascii="標楷體" w:hAnsi="標楷體" w:eastAsia="標楷體"/>
          <w:sz w:val="28"/>
          <w:szCs w:val="28"/>
        </w:rPr>
        <w:t>前項增分或減分，應於主管人員就考核表項目評擬時為之。獎懲之增減分數應包含於評分之內。</w:t>
      </w:r>
    </w:p>
    <w:p>
      <w:pPr>
        <w:pStyle w:val="Style19"/>
        <w:tabs>
          <w:tab w:val="clear" w:pos="50"/>
          <w:tab w:val="left" w:pos="567" w:leader="none"/>
        </w:tabs>
        <w:overflowPunct w:val="false"/>
        <w:spacing w:lineRule="exact" w:line="420"/>
        <w:ind w:left="848" w:hanging="848"/>
        <w:jc w:val="both"/>
        <w:rPr>
          <w:rFonts w:ascii="標楷體" w:hAnsi="標楷體" w:eastAsia="標楷體"/>
          <w:sz w:val="28"/>
          <w:szCs w:val="28"/>
        </w:rPr>
      </w:pPr>
      <w:r>
        <w:rPr>
          <w:rFonts w:ascii="標楷體" w:hAnsi="標楷體" w:eastAsia="標楷體"/>
          <w:sz w:val="28"/>
          <w:szCs w:val="28"/>
        </w:rPr>
        <w:t>十七、約聘（僱）人員於考核年度內有下列情事之一者，不得考列甲等：</w:t>
      </w:r>
    </w:p>
    <w:p>
      <w:pPr>
        <w:pStyle w:val="Style19"/>
        <w:tabs>
          <w:tab w:val="clear" w:pos="50"/>
          <w:tab w:val="left" w:pos="567" w:leader="none"/>
        </w:tabs>
        <w:overflowPunct w:val="false"/>
        <w:spacing w:lineRule="exact" w:line="420"/>
        <w:ind w:left="1129" w:hanging="848"/>
        <w:jc w:val="both"/>
        <w:rPr>
          <w:rFonts w:ascii="標楷體" w:hAnsi="標楷體" w:eastAsia="標楷體"/>
          <w:sz w:val="28"/>
          <w:szCs w:val="28"/>
        </w:rPr>
      </w:pPr>
      <w:r>
        <w:rPr>
          <w:rFonts w:ascii="標楷體" w:hAnsi="標楷體" w:eastAsia="標楷體"/>
          <w:sz w:val="28"/>
          <w:szCs w:val="28"/>
        </w:rPr>
        <w:t>（一）曾受刑事處分。</w:t>
      </w:r>
    </w:p>
    <w:p>
      <w:pPr>
        <w:pStyle w:val="Style19"/>
        <w:tabs>
          <w:tab w:val="clear" w:pos="50"/>
          <w:tab w:val="left" w:pos="567" w:leader="none"/>
        </w:tabs>
        <w:overflowPunct w:val="false"/>
        <w:spacing w:lineRule="exact" w:line="420"/>
        <w:ind w:left="1129" w:hanging="848"/>
        <w:jc w:val="both"/>
        <w:rPr>
          <w:rFonts w:ascii="標楷體" w:hAnsi="標楷體" w:eastAsia="標楷體"/>
          <w:sz w:val="28"/>
          <w:szCs w:val="28"/>
        </w:rPr>
      </w:pPr>
      <w:r>
        <w:rPr>
          <w:rFonts w:ascii="標楷體" w:hAnsi="標楷體" w:eastAsia="標楷體"/>
          <w:sz w:val="28"/>
          <w:szCs w:val="28"/>
        </w:rPr>
        <w:t>（二）酒後駕車，有具體事實。</w:t>
      </w:r>
    </w:p>
    <w:p>
      <w:pPr>
        <w:pStyle w:val="Style19"/>
        <w:tabs>
          <w:tab w:val="clear" w:pos="50"/>
          <w:tab w:val="left" w:pos="567" w:leader="none"/>
        </w:tabs>
        <w:overflowPunct w:val="false"/>
        <w:spacing w:lineRule="exact" w:line="420"/>
        <w:ind w:left="1129" w:hanging="848"/>
        <w:jc w:val="both"/>
        <w:rPr>
          <w:rFonts w:ascii="標楷體" w:hAnsi="標楷體" w:eastAsia="標楷體"/>
          <w:sz w:val="28"/>
          <w:szCs w:val="28"/>
        </w:rPr>
      </w:pPr>
      <w:r>
        <w:rPr>
          <w:rFonts w:ascii="標楷體" w:hAnsi="標楷體" w:eastAsia="標楷體"/>
          <w:sz w:val="28"/>
          <w:szCs w:val="28"/>
        </w:rPr>
        <w:t>（三）平時考核獎懲抵銷後，累積達記過以上處分。</w:t>
      </w:r>
    </w:p>
    <w:p>
      <w:pPr>
        <w:pStyle w:val="Style19"/>
        <w:tabs>
          <w:tab w:val="clear" w:pos="50"/>
          <w:tab w:val="left" w:pos="567" w:leader="none"/>
        </w:tabs>
        <w:overflowPunct w:val="false"/>
        <w:spacing w:lineRule="exact" w:line="420"/>
        <w:ind w:left="1129" w:hanging="848"/>
        <w:jc w:val="both"/>
        <w:rPr>
          <w:rFonts w:ascii="標楷體" w:hAnsi="標楷體" w:eastAsia="標楷體"/>
          <w:sz w:val="28"/>
          <w:szCs w:val="28"/>
        </w:rPr>
      </w:pPr>
      <w:r>
        <w:rPr>
          <w:rFonts w:ascii="標楷體" w:hAnsi="標楷體" w:eastAsia="標楷體"/>
          <w:sz w:val="28"/>
          <w:szCs w:val="28"/>
        </w:rPr>
        <w:t>（四）曠職一日或累積達二日。</w:t>
      </w:r>
    </w:p>
    <w:p>
      <w:pPr>
        <w:pStyle w:val="Style19"/>
        <w:tabs>
          <w:tab w:val="clear" w:pos="50"/>
          <w:tab w:val="left" w:pos="567" w:leader="none"/>
        </w:tabs>
        <w:overflowPunct w:val="false"/>
        <w:spacing w:lineRule="exact" w:line="420"/>
        <w:ind w:left="1129" w:hanging="848"/>
        <w:jc w:val="both"/>
        <w:rPr>
          <w:rFonts w:ascii="標楷體" w:hAnsi="標楷體" w:eastAsia="標楷體"/>
          <w:sz w:val="28"/>
          <w:szCs w:val="28"/>
        </w:rPr>
      </w:pPr>
      <w:r>
        <w:rPr>
          <w:rFonts w:ascii="標楷體" w:hAnsi="標楷體" w:eastAsia="標楷體"/>
          <w:sz w:val="28"/>
          <w:szCs w:val="28"/>
        </w:rPr>
        <w:t>（五）事、病假合計超過十四日。</w:t>
      </w:r>
    </w:p>
    <w:p>
      <w:pPr>
        <w:pStyle w:val="Style19"/>
        <w:tabs>
          <w:tab w:val="clear" w:pos="50"/>
          <w:tab w:val="left" w:pos="567" w:leader="none"/>
        </w:tabs>
        <w:overflowPunct w:val="false"/>
        <w:spacing w:lineRule="exact" w:line="420"/>
        <w:ind w:left="1129" w:hanging="848"/>
        <w:jc w:val="both"/>
        <w:rPr>
          <w:rFonts w:ascii="標楷體" w:hAnsi="標楷體" w:eastAsia="標楷體"/>
          <w:sz w:val="28"/>
          <w:szCs w:val="28"/>
        </w:rPr>
      </w:pPr>
      <w:r>
        <w:rPr>
          <w:rFonts w:ascii="標楷體" w:hAnsi="標楷體" w:eastAsia="標楷體"/>
          <w:sz w:val="28"/>
          <w:szCs w:val="28"/>
        </w:rPr>
        <w:t>（六）辦理為民服務業務，態度惡劣，影響本府聲譽，有具體事實。</w:t>
      </w:r>
    </w:p>
    <w:p>
      <w:pPr>
        <w:pStyle w:val="Style19"/>
        <w:tabs>
          <w:tab w:val="clear" w:pos="50"/>
          <w:tab w:val="left" w:pos="567" w:leader="none"/>
        </w:tabs>
        <w:overflowPunct w:val="false"/>
        <w:spacing w:lineRule="exact" w:line="420"/>
        <w:ind w:left="847" w:firstLine="286"/>
        <w:jc w:val="both"/>
        <w:rPr>
          <w:rFonts w:ascii="標楷體" w:hAnsi="標楷體" w:eastAsia="標楷體"/>
          <w:sz w:val="28"/>
          <w:szCs w:val="28"/>
        </w:rPr>
      </w:pPr>
      <w:r>
        <w:rPr>
          <w:rFonts w:ascii="標楷體" w:hAnsi="標楷體" w:eastAsia="標楷體"/>
          <w:sz w:val="28"/>
          <w:szCs w:val="28"/>
        </w:rPr>
        <w:t>前項第五款合計之日數，應扣除因安胎事由所請之事、病假（含延長病假）、家庭照顧假及生理假。</w:t>
      </w:r>
    </w:p>
    <w:p>
      <w:pPr>
        <w:pStyle w:val="Style19"/>
        <w:tabs>
          <w:tab w:val="clear" w:pos="50"/>
          <w:tab w:val="left" w:pos="567" w:leader="none"/>
        </w:tabs>
        <w:overflowPunct w:val="false"/>
        <w:spacing w:lineRule="exact" w:line="420"/>
        <w:ind w:left="847" w:firstLine="286"/>
        <w:jc w:val="both"/>
        <w:rPr>
          <w:rFonts w:ascii="標楷體" w:hAnsi="標楷體" w:eastAsia="標楷體"/>
          <w:sz w:val="28"/>
          <w:szCs w:val="28"/>
        </w:rPr>
      </w:pPr>
      <w:r>
        <w:rPr>
          <w:rFonts w:ascii="標楷體" w:hAnsi="標楷體" w:eastAsia="標楷體"/>
          <w:sz w:val="28"/>
          <w:szCs w:val="28"/>
        </w:rPr>
        <w:t>各機關辦理考核，不得以下列情形，作為考核等次之考量因素：</w:t>
      </w:r>
    </w:p>
    <w:p>
      <w:pPr>
        <w:pStyle w:val="Style19"/>
        <w:tabs>
          <w:tab w:val="clear" w:pos="50"/>
          <w:tab w:val="left" w:pos="567" w:leader="none"/>
        </w:tabs>
        <w:overflowPunct w:val="false"/>
        <w:spacing w:lineRule="exact" w:line="420"/>
        <w:ind w:left="1129" w:hanging="848"/>
        <w:jc w:val="both"/>
        <w:rPr>
          <w:rFonts w:ascii="標楷體" w:hAnsi="標楷體" w:eastAsia="標楷體"/>
          <w:sz w:val="28"/>
          <w:szCs w:val="28"/>
        </w:rPr>
      </w:pPr>
      <w:r>
        <w:rPr>
          <w:rFonts w:ascii="標楷體" w:hAnsi="標楷體" w:eastAsia="標楷體"/>
          <w:sz w:val="28"/>
          <w:szCs w:val="28"/>
        </w:rPr>
        <w:t>（一）依法令規定日數所核給之家庭照顧假、生理假、婚假、產前假、娩假、流產假、陪產假或因安胎事由所請之事、病假（含延長病假）。</w:t>
      </w:r>
    </w:p>
    <w:p>
      <w:pPr>
        <w:pStyle w:val="Style19"/>
        <w:tabs>
          <w:tab w:val="clear" w:pos="50"/>
          <w:tab w:val="left" w:pos="567" w:leader="none"/>
        </w:tabs>
        <w:overflowPunct w:val="false"/>
        <w:spacing w:lineRule="exact" w:line="420"/>
        <w:ind w:left="1129" w:hanging="848"/>
        <w:jc w:val="both"/>
        <w:rPr>
          <w:rFonts w:ascii="標楷體" w:hAnsi="標楷體" w:eastAsia="標楷體"/>
          <w:sz w:val="28"/>
          <w:szCs w:val="28"/>
        </w:rPr>
      </w:pPr>
      <w:r>
        <w:rPr>
          <w:rFonts w:ascii="標楷體" w:hAnsi="標楷體" w:eastAsia="標楷體"/>
          <w:sz w:val="28"/>
          <w:szCs w:val="28"/>
        </w:rPr>
        <w:t>（二）依法令規定給予之哺乳時間或因育嬰減少之工作時間。</w:t>
      </w:r>
    </w:p>
    <w:p>
      <w:pPr>
        <w:pStyle w:val="Style19"/>
        <w:tabs>
          <w:tab w:val="clear" w:pos="50"/>
          <w:tab w:val="left" w:pos="567" w:leader="none"/>
        </w:tabs>
        <w:overflowPunct w:val="false"/>
        <w:spacing w:lineRule="exact" w:line="420"/>
        <w:ind w:left="848" w:hanging="848"/>
        <w:jc w:val="both"/>
        <w:rPr>
          <w:rFonts w:ascii="標楷體" w:hAnsi="標楷體" w:eastAsia="標楷體"/>
          <w:sz w:val="28"/>
          <w:szCs w:val="28"/>
        </w:rPr>
      </w:pPr>
      <w:r>
        <w:rPr>
          <w:rFonts w:ascii="標楷體" w:hAnsi="標楷體" w:eastAsia="標楷體"/>
          <w:sz w:val="28"/>
          <w:szCs w:val="28"/>
        </w:rPr>
        <w:t>十八、平時考核之功過，曾記一大功人員，考核不得列丙等；曾記一大過人員，考核不得列甲等。</w:t>
      </w:r>
    </w:p>
    <w:p>
      <w:pPr>
        <w:pStyle w:val="Style19"/>
        <w:tabs>
          <w:tab w:val="clear" w:pos="50"/>
          <w:tab w:val="left" w:pos="567" w:leader="none"/>
        </w:tabs>
        <w:overflowPunct w:val="false"/>
        <w:spacing w:lineRule="exact" w:line="420"/>
        <w:ind w:left="848" w:hanging="848"/>
        <w:jc w:val="both"/>
        <w:rPr>
          <w:rFonts w:ascii="標楷體" w:hAnsi="標楷體" w:eastAsia="標楷體"/>
          <w:sz w:val="28"/>
          <w:szCs w:val="28"/>
        </w:rPr>
      </w:pPr>
      <w:r>
        <w:rPr>
          <w:rFonts w:ascii="標楷體" w:hAnsi="標楷體" w:eastAsia="標楷體"/>
          <w:sz w:val="28"/>
          <w:szCs w:val="28"/>
        </w:rPr>
        <w:t>十九、約聘（僱）人員有下列情事之一者，應辦理專案考核，作為解聘（僱）之依據：</w:t>
      </w:r>
    </w:p>
    <w:p>
      <w:pPr>
        <w:pStyle w:val="Style19"/>
        <w:tabs>
          <w:tab w:val="clear" w:pos="50"/>
          <w:tab w:val="left" w:pos="567" w:leader="none"/>
        </w:tabs>
        <w:overflowPunct w:val="false"/>
        <w:spacing w:lineRule="exact" w:line="420"/>
        <w:ind w:left="1129" w:hanging="848"/>
        <w:jc w:val="both"/>
        <w:rPr>
          <w:rFonts w:ascii="標楷體" w:hAnsi="標楷體" w:eastAsia="標楷體"/>
          <w:sz w:val="28"/>
          <w:szCs w:val="28"/>
        </w:rPr>
      </w:pPr>
      <w:r>
        <w:rPr>
          <w:rFonts w:ascii="標楷體" w:hAnsi="標楷體" w:eastAsia="標楷體"/>
          <w:sz w:val="28"/>
          <w:szCs w:val="28"/>
        </w:rPr>
        <w:t>（一）執行公務不力、怠忽職責或洩漏職務上之機密，致本府遭受重大損害，有確實證據。</w:t>
      </w:r>
    </w:p>
    <w:p>
      <w:pPr>
        <w:pStyle w:val="Style19"/>
        <w:tabs>
          <w:tab w:val="clear" w:pos="50"/>
          <w:tab w:val="left" w:pos="567" w:leader="none"/>
        </w:tabs>
        <w:overflowPunct w:val="false"/>
        <w:spacing w:lineRule="exact" w:line="420"/>
        <w:ind w:left="1129" w:hanging="848"/>
        <w:jc w:val="both"/>
        <w:rPr>
          <w:rFonts w:ascii="標楷體" w:hAnsi="標楷體" w:eastAsia="標楷體"/>
          <w:sz w:val="28"/>
          <w:szCs w:val="28"/>
        </w:rPr>
      </w:pPr>
      <w:r>
        <w:rPr>
          <w:rFonts w:ascii="標楷體" w:hAnsi="標楷體" w:eastAsia="標楷體"/>
          <w:sz w:val="28"/>
          <w:szCs w:val="28"/>
        </w:rPr>
        <w:t>（二）涉及貪污案件，經服務機關認定非依法執行職務，有確實證據。</w:t>
      </w:r>
    </w:p>
    <w:p>
      <w:pPr>
        <w:pStyle w:val="Style19"/>
        <w:tabs>
          <w:tab w:val="clear" w:pos="50"/>
          <w:tab w:val="left" w:pos="567" w:leader="none"/>
        </w:tabs>
        <w:overflowPunct w:val="false"/>
        <w:spacing w:lineRule="exact" w:line="420"/>
        <w:ind w:left="1129" w:hanging="848"/>
        <w:jc w:val="both"/>
        <w:rPr>
          <w:rFonts w:ascii="標楷體" w:hAnsi="標楷體" w:eastAsia="標楷體"/>
          <w:sz w:val="28"/>
          <w:szCs w:val="28"/>
        </w:rPr>
      </w:pPr>
      <w:r>
        <w:rPr>
          <w:rFonts w:ascii="標楷體" w:hAnsi="標楷體" w:eastAsia="標楷體"/>
          <w:sz w:val="28"/>
          <w:szCs w:val="28"/>
        </w:rPr>
        <w:t>（三）圖謀不法利益或言行不檢，致嚴重損害本府或所屬人員聲譽，有確實證據。</w:t>
      </w:r>
    </w:p>
    <w:p>
      <w:pPr>
        <w:pStyle w:val="Style19"/>
        <w:tabs>
          <w:tab w:val="clear" w:pos="50"/>
          <w:tab w:val="left" w:pos="567" w:leader="none"/>
        </w:tabs>
        <w:overflowPunct w:val="false"/>
        <w:spacing w:lineRule="exact" w:line="420"/>
        <w:ind w:left="1129" w:hanging="848"/>
        <w:jc w:val="both"/>
        <w:rPr>
          <w:rFonts w:ascii="標楷體" w:hAnsi="標楷體" w:eastAsia="標楷體"/>
          <w:sz w:val="28"/>
          <w:szCs w:val="28"/>
        </w:rPr>
      </w:pPr>
      <w:r>
        <w:rPr>
          <w:rFonts w:ascii="標楷體" w:hAnsi="標楷體" w:eastAsia="標楷體"/>
          <w:sz w:val="28"/>
          <w:szCs w:val="28"/>
        </w:rPr>
        <w:t>（四）脅迫、公然侮辱或誣告，情節重大，有確實證據。</w:t>
      </w:r>
    </w:p>
    <w:p>
      <w:pPr>
        <w:pStyle w:val="Style19"/>
        <w:tabs>
          <w:tab w:val="clear" w:pos="50"/>
          <w:tab w:val="left" w:pos="567" w:leader="none"/>
        </w:tabs>
        <w:overflowPunct w:val="false"/>
        <w:spacing w:lineRule="exact" w:line="420"/>
        <w:ind w:left="1129" w:hanging="848"/>
        <w:jc w:val="both"/>
        <w:rPr>
          <w:rFonts w:ascii="標楷體" w:hAnsi="標楷體" w:eastAsia="標楷體"/>
          <w:sz w:val="28"/>
          <w:szCs w:val="28"/>
        </w:rPr>
      </w:pPr>
      <w:r>
        <w:rPr>
          <w:rFonts w:ascii="標楷體" w:hAnsi="標楷體" w:eastAsia="標楷體"/>
          <w:sz w:val="28"/>
          <w:szCs w:val="28"/>
        </w:rPr>
        <w:t>（五）挑撥離間、破壞紀律或不聽指揮，情節重大，有確實證據。</w:t>
      </w:r>
    </w:p>
    <w:p>
      <w:pPr>
        <w:pStyle w:val="Style19"/>
        <w:tabs>
          <w:tab w:val="clear" w:pos="50"/>
          <w:tab w:val="left" w:pos="567" w:leader="none"/>
        </w:tabs>
        <w:overflowPunct w:val="false"/>
        <w:spacing w:lineRule="exact" w:line="420"/>
        <w:ind w:left="1129" w:hanging="848"/>
        <w:jc w:val="both"/>
        <w:rPr>
          <w:rFonts w:ascii="標楷體" w:hAnsi="標楷體" w:eastAsia="標楷體"/>
          <w:sz w:val="28"/>
          <w:szCs w:val="28"/>
        </w:rPr>
      </w:pPr>
      <w:r>
        <w:rPr>
          <w:rFonts w:ascii="標楷體" w:hAnsi="標楷體" w:eastAsia="標楷體"/>
          <w:sz w:val="28"/>
          <w:szCs w:val="28"/>
        </w:rPr>
        <w:t>（六）連續曠職四日，或一年內曠職累積達十日。</w:t>
      </w:r>
    </w:p>
    <w:p>
      <w:pPr>
        <w:pStyle w:val="Style19"/>
        <w:tabs>
          <w:tab w:val="clear" w:pos="50"/>
          <w:tab w:val="left" w:pos="567" w:leader="none"/>
        </w:tabs>
        <w:overflowPunct w:val="false"/>
        <w:spacing w:lineRule="exact" w:line="420"/>
        <w:ind w:left="1129" w:hanging="848"/>
        <w:jc w:val="both"/>
        <w:rPr>
          <w:rFonts w:ascii="標楷體" w:hAnsi="標楷體" w:eastAsia="標楷體"/>
          <w:sz w:val="28"/>
          <w:szCs w:val="28"/>
        </w:rPr>
      </w:pPr>
      <w:r>
        <w:rPr>
          <w:rFonts w:ascii="標楷體" w:hAnsi="標楷體" w:eastAsia="標楷體"/>
          <w:sz w:val="28"/>
          <w:szCs w:val="28"/>
        </w:rPr>
        <w:t>（七）除安胎事由外，請假逾限達扣除報酬之日數逾約聘（僱）期限十二分之一。</w:t>
      </w:r>
    </w:p>
    <w:p>
      <w:pPr>
        <w:pStyle w:val="Style19"/>
        <w:tabs>
          <w:tab w:val="clear" w:pos="50"/>
          <w:tab w:val="left" w:pos="567" w:leader="none"/>
        </w:tabs>
        <w:overflowPunct w:val="false"/>
        <w:spacing w:lineRule="exact" w:line="420"/>
        <w:ind w:left="848" w:hanging="848"/>
        <w:jc w:val="both"/>
        <w:rPr>
          <w:rFonts w:ascii="標楷體" w:hAnsi="標楷體" w:eastAsia="標楷體"/>
          <w:sz w:val="28"/>
          <w:szCs w:val="28"/>
        </w:rPr>
      </w:pPr>
      <w:r>
        <w:rPr>
          <w:rFonts w:ascii="標楷體" w:hAnsi="標楷體" w:eastAsia="標楷體"/>
          <w:sz w:val="28"/>
          <w:szCs w:val="28"/>
        </w:rPr>
        <w:t>二十、各機關辦理約聘（僱）人員年終考核及其晉階（級） 作業，應組成審議小組。</w:t>
      </w:r>
    </w:p>
    <w:p>
      <w:pPr>
        <w:pStyle w:val="Style19"/>
        <w:tabs>
          <w:tab w:val="clear" w:pos="50"/>
          <w:tab w:val="left" w:pos="567" w:leader="none"/>
        </w:tabs>
        <w:overflowPunct w:val="false"/>
        <w:spacing w:lineRule="exact" w:line="420"/>
        <w:ind w:left="847" w:firstLine="286"/>
        <w:jc w:val="both"/>
        <w:rPr>
          <w:rFonts w:ascii="標楷體" w:hAnsi="標楷體" w:eastAsia="標楷體"/>
          <w:sz w:val="28"/>
          <w:szCs w:val="28"/>
        </w:rPr>
      </w:pPr>
      <w:r>
        <w:rPr>
          <w:rFonts w:ascii="標楷體" w:hAnsi="標楷體" w:eastAsia="標楷體"/>
          <w:sz w:val="28"/>
          <w:szCs w:val="28"/>
        </w:rPr>
        <w:t>前項審議小組得併入各機關相關任務編組運作。小組應置委員至少三人，任一性別委員人數不得少於委員總數三分之一。</w:t>
      </w:r>
    </w:p>
    <w:p>
      <w:pPr>
        <w:pStyle w:val="Style19"/>
        <w:tabs>
          <w:tab w:val="clear" w:pos="50"/>
          <w:tab w:val="left" w:pos="567" w:leader="none"/>
        </w:tabs>
        <w:overflowPunct w:val="false"/>
        <w:spacing w:lineRule="exact" w:line="420"/>
        <w:ind w:left="847" w:firstLine="286"/>
        <w:jc w:val="both"/>
        <w:rPr>
          <w:rFonts w:ascii="標楷體" w:hAnsi="標楷體" w:eastAsia="標楷體"/>
          <w:sz w:val="28"/>
          <w:szCs w:val="28"/>
        </w:rPr>
      </w:pPr>
      <w:r>
        <w:rPr>
          <w:rFonts w:ascii="標楷體" w:hAnsi="標楷體" w:eastAsia="標楷體"/>
          <w:sz w:val="28"/>
          <w:szCs w:val="28"/>
        </w:rPr>
        <w:t>審議小組之審議結果應簽陳各機關首長。首長對審議結果有意見時，得退回審議小組復議；對復議結果仍不同意者，得加註理由變更之。</w:t>
      </w:r>
    </w:p>
    <w:p>
      <w:pPr>
        <w:pStyle w:val="Style19"/>
        <w:tabs>
          <w:tab w:val="clear" w:pos="50"/>
          <w:tab w:val="left" w:pos="567" w:leader="none"/>
        </w:tabs>
        <w:overflowPunct w:val="false"/>
        <w:spacing w:lineRule="exact" w:line="420"/>
        <w:ind w:left="1134" w:hanging="1134"/>
        <w:jc w:val="both"/>
        <w:rPr>
          <w:rFonts w:ascii="標楷體" w:hAnsi="標楷體" w:eastAsia="標楷體"/>
          <w:sz w:val="28"/>
          <w:szCs w:val="28"/>
        </w:rPr>
      </w:pPr>
      <w:r>
        <w:rPr>
          <w:rFonts w:ascii="標楷體" w:hAnsi="標楷體" w:eastAsia="標楷體"/>
          <w:sz w:val="28"/>
          <w:szCs w:val="28"/>
        </w:rPr>
        <w:t>二十一、年終考核結果自次年一月一日起執行；專案考核結果為解聘（僱）者，自核定日或指定生效日起執行。</w:t>
      </w:r>
    </w:p>
    <w:p>
      <w:pPr>
        <w:pStyle w:val="Style19"/>
        <w:tabs>
          <w:tab w:val="clear" w:pos="50"/>
          <w:tab w:val="left" w:pos="567" w:leader="none"/>
        </w:tabs>
        <w:overflowPunct w:val="false"/>
        <w:spacing w:lineRule="exact" w:line="420"/>
        <w:ind w:left="1134" w:hanging="1134"/>
        <w:jc w:val="both"/>
        <w:rPr>
          <w:rFonts w:ascii="標楷體" w:hAnsi="標楷體" w:eastAsia="標楷體"/>
          <w:sz w:val="28"/>
          <w:szCs w:val="28"/>
        </w:rPr>
      </w:pPr>
      <w:r>
        <w:rPr>
          <w:rFonts w:ascii="標楷體" w:hAnsi="標楷體" w:eastAsia="標楷體"/>
          <w:sz w:val="28"/>
          <w:szCs w:val="28"/>
        </w:rPr>
        <w:t>二十二、約聘人員對考核結果不服者，得依公務人員保障法相關規定提起救濟。</w:t>
      </w:r>
    </w:p>
    <w:p>
      <w:pPr>
        <w:pStyle w:val="Style19"/>
        <w:tabs>
          <w:tab w:val="clear" w:pos="50"/>
          <w:tab w:val="left" w:pos="567" w:leader="none"/>
        </w:tabs>
        <w:overflowPunct w:val="false"/>
        <w:spacing w:lineRule="exact" w:line="420"/>
        <w:ind w:left="847" w:firstLine="568"/>
        <w:jc w:val="both"/>
        <w:rPr>
          <w:rFonts w:ascii="標楷體" w:hAnsi="標楷體" w:eastAsia="標楷體"/>
          <w:sz w:val="28"/>
          <w:szCs w:val="28"/>
        </w:rPr>
      </w:pPr>
      <w:r>
        <w:rPr>
          <w:rFonts w:ascii="標楷體" w:hAnsi="標楷體" w:eastAsia="標楷體"/>
          <w:sz w:val="28"/>
          <w:szCs w:val="28"/>
        </w:rPr>
        <w:t>約僱人員對考核結果不服者，得依行政爭訟程序提起救濟。</w:t>
      </w:r>
    </w:p>
    <w:p>
      <w:pPr>
        <w:pStyle w:val="Style19"/>
        <w:tabs>
          <w:tab w:val="clear" w:pos="50"/>
          <w:tab w:val="left" w:pos="567" w:leader="none"/>
        </w:tabs>
        <w:overflowPunct w:val="false"/>
        <w:spacing w:lineRule="exact" w:line="420"/>
        <w:ind w:left="1134" w:hanging="1134"/>
        <w:jc w:val="both"/>
        <w:rPr>
          <w:rFonts w:ascii="標楷體" w:hAnsi="標楷體" w:eastAsia="標楷體"/>
          <w:sz w:val="28"/>
          <w:szCs w:val="28"/>
        </w:rPr>
      </w:pPr>
      <w:r>
        <w:rPr>
          <w:rFonts w:ascii="標楷體" w:hAnsi="標楷體" w:eastAsia="標楷體"/>
          <w:sz w:val="28"/>
          <w:szCs w:val="28"/>
        </w:rPr>
        <w:t>二十三、各機關約聘（僱）人員之考核依本要點辦理。但其他法令另有規定者，從其規定。</w:t>
      </w:r>
    </w:p>
    <w:p>
      <w:pPr>
        <w:pStyle w:val="Style19"/>
        <w:tabs>
          <w:tab w:val="clear" w:pos="50"/>
          <w:tab w:val="left" w:pos="567" w:leader="none"/>
        </w:tabs>
        <w:overflowPunct w:val="false"/>
        <w:spacing w:lineRule="exact" w:line="420"/>
        <w:ind w:left="1133" w:firstLine="280"/>
        <w:jc w:val="both"/>
        <w:rPr>
          <w:rFonts w:ascii="標楷體" w:hAnsi="標楷體" w:eastAsia="標楷體"/>
          <w:sz w:val="28"/>
          <w:szCs w:val="28"/>
        </w:rPr>
      </w:pPr>
      <w:r>
        <w:rPr>
          <w:rFonts w:ascii="標楷體" w:hAnsi="標楷體" w:eastAsia="標楷體"/>
          <w:sz w:val="28"/>
          <w:szCs w:val="28"/>
        </w:rPr>
        <w:t>各機關因業務需求另定前項但書規定者，應經市長核可，始得為之。</w:t>
      </w:r>
    </w:p>
    <w:p>
      <w:pPr>
        <w:pStyle w:val="Style19"/>
        <w:tabs>
          <w:tab w:val="clear" w:pos="50"/>
          <w:tab w:val="left" w:pos="567" w:leader="none"/>
        </w:tabs>
        <w:overflowPunct w:val="false"/>
        <w:spacing w:lineRule="exact" w:line="420"/>
        <w:ind w:left="848" w:hanging="848"/>
        <w:jc w:val="both"/>
        <w:rPr>
          <w:rFonts w:ascii="標楷體" w:hAnsi="標楷體" w:eastAsia="標楷體"/>
          <w:sz w:val="28"/>
          <w:szCs w:val="28"/>
        </w:rPr>
      </w:pPr>
      <w:r>
        <w:rPr>
          <w:rFonts w:ascii="標楷體" w:hAnsi="標楷體" w:eastAsia="標楷體"/>
          <w:sz w:val="28"/>
          <w:szCs w:val="28"/>
        </w:rPr>
        <w:t>二十四、本要點未規定者，得比照公務人員考核相關法令辦理。</w:t>
      </w:r>
    </w:p>
    <w:p>
      <w:pPr>
        <w:sectPr>
          <w:type w:val="nextPage"/>
          <w:pgSz w:w="11907" w:h="16840"/>
          <w:pgMar w:left="1134" w:right="1134" w:header="0" w:top="851" w:footer="0" w:bottom="992" w:gutter="0"/>
          <w:pgNumType w:fmt="decimal"/>
          <w:formProt w:val="false"/>
          <w:textDirection w:val="lrTb"/>
          <w:docGrid w:type="lines" w:linePitch="600" w:charSpace="4294946815"/>
        </w:sectPr>
        <w:pStyle w:val="Style19"/>
        <w:tabs>
          <w:tab w:val="clear" w:pos="50"/>
          <w:tab w:val="left" w:pos="567" w:leader="none"/>
        </w:tabs>
        <w:overflowPunct w:val="false"/>
        <w:spacing w:lineRule="exact" w:line="420"/>
        <w:ind w:left="848" w:hanging="848"/>
        <w:jc w:val="both"/>
        <w:rPr>
          <w:rFonts w:ascii="標楷體" w:hAnsi="標楷體" w:eastAsia="標楷體"/>
          <w:sz w:val="28"/>
          <w:szCs w:val="28"/>
        </w:rPr>
      </w:pPr>
      <w:r>
        <w:rPr>
          <w:rFonts w:eastAsia="標楷體" w:ascii="標楷體" w:hAnsi="標楷體"/>
          <w:sz w:val="28"/>
          <w:szCs w:val="28"/>
        </w:rPr>
      </w:r>
    </w:p>
    <w:p>
      <w:pPr>
        <w:pStyle w:val="Style19"/>
        <w:suppressAutoHyphens w:val="true"/>
        <w:spacing w:lineRule="exact" w:line="500"/>
        <w:jc w:val="center"/>
        <w:textAlignment w:val="baseline"/>
        <w:rPr/>
      </w:pPr>
      <w:r>
        <w:rPr>
          <w:rStyle w:val="Style14"/>
          <w:rFonts w:eastAsia="標楷體"/>
          <w:b/>
          <w:bCs/>
          <w:kern w:val="2"/>
          <w:sz w:val="30"/>
          <w:szCs w:val="30"/>
        </w:rPr>
        <w:t>臺南市政府及所屬機關學校</w:t>
      </w:r>
      <w:r>
        <w:rPr>
          <w:rStyle w:val="Style14"/>
          <w:rFonts w:eastAsia="標楷體"/>
          <w:b/>
          <w:kern w:val="2"/>
          <w:sz w:val="30"/>
          <w:szCs w:val="30"/>
        </w:rPr>
        <w:t>約聘（僱）人員</w:t>
      </w:r>
      <w:r>
        <w:rPr>
          <w:rStyle w:val="Style14"/>
          <w:rFonts w:ascii="標楷體" w:hAnsi="標楷體" w:eastAsia="標楷體"/>
          <w:b/>
          <w:kern w:val="2"/>
          <w:sz w:val="30"/>
          <w:szCs w:val="30"/>
        </w:rPr>
        <w:t>平時考核紀錄表</w:t>
      </w:r>
      <w:r>
        <mc:AlternateContent>
          <mc:Choice Requires="wps">
            <w:drawing>
              <wp:anchor behindDoc="0" distT="0" distB="0" distL="0" distR="0" simplePos="0" locked="0" layoutInCell="1" allowOverlap="1" relativeHeight="2">
                <wp:simplePos x="0" y="0"/>
                <wp:positionH relativeFrom="column">
                  <wp:posOffset>5538470</wp:posOffset>
                </wp:positionH>
                <wp:positionV relativeFrom="paragraph">
                  <wp:posOffset>-281305</wp:posOffset>
                </wp:positionV>
                <wp:extent cx="698500" cy="309245"/>
                <wp:effectExtent l="0" t="0" r="0" b="0"/>
                <wp:wrapSquare wrapText="bothSides"/>
                <wp:docPr id="1" name="文字方塊 2"/>
                <a:graphic xmlns:a="http://schemas.openxmlformats.org/drawingml/2006/main">
                  <a:graphicData uri="http://schemas.microsoft.com/office/word/2010/wordprocessingShape">
                    <wps:wsp>
                      <wps:cNvSpPr txBox="1"/>
                      <wps:spPr>
                        <a:xfrm>
                          <a:off x="0" y="0"/>
                          <a:ext cx="698500" cy="309245"/>
                        </a:xfrm>
                        <a:prstGeom prst="rect"/>
                      </wps:spPr>
                      <wps:txbx>
                        <w:txbxContent>
                          <w:p>
                            <w:pPr>
                              <w:pStyle w:val="Style19"/>
                              <w:rPr>
                                <w:rFonts w:ascii="標楷體" w:hAnsi="標楷體" w:eastAsia="標楷體"/>
                              </w:rPr>
                            </w:pPr>
                            <w:r>
                              <w:rPr>
                                <w:rFonts w:ascii="標楷體" w:hAnsi="標楷體" w:eastAsia="標楷體"/>
                              </w:rPr>
                              <w:t>附表一</w:t>
                            </w:r>
                          </w:p>
                        </w:txbxContent>
                      </wps:txbx>
                      <wps:bodyPr anchor="t" lIns="91440" tIns="45720" rIns="91440" bIns="45720">
                        <a:noAutofit/>
                      </wps:bodyPr>
                    </wps:wsp>
                  </a:graphicData>
                </a:graphic>
              </wp:anchor>
            </w:drawing>
          </mc:Choice>
          <mc:Fallback>
            <w:pict>
              <v:rect style="position:absolute;rotation:0;width:55pt;height:24.35pt;mso-wrap-distance-left:0pt;mso-wrap-distance-right:0pt;mso-wrap-distance-top:0pt;mso-wrap-distance-bottom:0pt;margin-top:-22.15pt;mso-position-vertical-relative:text;margin-left:436.1pt;mso-position-horizontal-relative:text">
                <v:textbox>
                  <w:txbxContent>
                    <w:p>
                      <w:pPr>
                        <w:pStyle w:val="Style19"/>
                        <w:rPr>
                          <w:rFonts w:ascii="標楷體" w:hAnsi="標楷體" w:eastAsia="標楷體"/>
                        </w:rPr>
                      </w:pPr>
                      <w:r>
                        <w:rPr>
                          <w:rFonts w:ascii="標楷體" w:hAnsi="標楷體" w:eastAsia="標楷體"/>
                        </w:rPr>
                        <w:t>附表一</w:t>
                      </w:r>
                    </w:p>
                  </w:txbxContent>
                </v:textbox>
                <w10:wrap type="square"/>
              </v:rect>
            </w:pict>
          </mc:Fallback>
        </mc:AlternateContent>
      </w:r>
    </w:p>
    <w:p>
      <w:pPr>
        <w:pStyle w:val="Style19"/>
        <w:suppressAutoHyphens w:val="true"/>
        <w:spacing w:lineRule="exact" w:line="500"/>
        <w:jc w:val="center"/>
        <w:textAlignment w:val="baseline"/>
        <w:rPr>
          <w:rFonts w:ascii="標楷體" w:hAnsi="標楷體" w:eastAsia="標楷體"/>
          <w:kern w:val="2"/>
          <w:sz w:val="28"/>
          <w:szCs w:val="28"/>
        </w:rPr>
      </w:pPr>
      <w:r>
        <w:rPr>
          <w:rFonts w:ascii="標楷體" w:hAnsi="標楷體" w:eastAsia="標楷體"/>
          <w:kern w:val="2"/>
          <w:sz w:val="28"/>
          <w:szCs w:val="28"/>
        </w:rPr>
        <w:t>（考核期間：   年  月  日至  月  日）</w:t>
      </w:r>
    </w:p>
    <w:tbl>
      <w:tblPr>
        <w:tblW w:w="10632" w:type="dxa"/>
        <w:jc w:val="center"/>
        <w:tblInd w:w="0" w:type="dxa"/>
        <w:tblCellMar>
          <w:top w:w="0" w:type="dxa"/>
          <w:left w:w="108" w:type="dxa"/>
          <w:bottom w:w="0" w:type="dxa"/>
          <w:right w:w="108" w:type="dxa"/>
        </w:tblCellMar>
      </w:tblPr>
      <w:tblGrid>
        <w:gridCol w:w="1135"/>
        <w:gridCol w:w="283"/>
        <w:gridCol w:w="520"/>
        <w:gridCol w:w="331"/>
        <w:gridCol w:w="850"/>
        <w:gridCol w:w="735"/>
        <w:gridCol w:w="824"/>
        <w:gridCol w:w="604"/>
        <w:gridCol w:w="105"/>
        <w:gridCol w:w="425"/>
        <w:gridCol w:w="284"/>
        <w:gridCol w:w="325"/>
        <w:gridCol w:w="384"/>
        <w:gridCol w:w="727"/>
        <w:gridCol w:w="407"/>
        <w:gridCol w:w="291"/>
        <w:gridCol w:w="701"/>
        <w:gridCol w:w="850"/>
        <w:gridCol w:w="851"/>
      </w:tblGrid>
      <w:tr>
        <w:trPr>
          <w:trHeight w:val="690" w:hRule="atLeast"/>
        </w:trPr>
        <w:tc>
          <w:tcPr>
            <w:tcW w:w="1418" w:type="dxa"/>
            <w:gridSpan w:val="2"/>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napToGrid w:val="false"/>
              <w:spacing w:lineRule="exact" w:line="500"/>
              <w:jc w:val="center"/>
              <w:textAlignment w:val="baseline"/>
              <w:rPr/>
            </w:pPr>
            <w:r>
              <w:rPr>
                <w:rStyle w:val="Style14"/>
                <w:rFonts w:eastAsia="標楷體"/>
                <w:kern w:val="2"/>
                <w:szCs w:val="24"/>
              </w:rPr>
              <w:t>單位</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exact" w:line="500"/>
              <w:jc w:val="center"/>
              <w:textAlignment w:val="baseline"/>
              <w:rPr>
                <w:rFonts w:eastAsia="標楷體"/>
                <w:kern w:val="2"/>
                <w:szCs w:val="24"/>
              </w:rPr>
            </w:pPr>
            <w:r>
              <w:rPr>
                <w:rFonts w:eastAsia="標楷體"/>
                <w:kern w:val="2"/>
                <w:szCs w:val="24"/>
              </w:rPr>
            </w:r>
          </w:p>
        </w:tc>
        <w:tc>
          <w:tcPr>
            <w:tcW w:w="735" w:type="dxa"/>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exact" w:line="500"/>
              <w:jc w:val="center"/>
              <w:textAlignment w:val="baseline"/>
              <w:rPr/>
            </w:pPr>
            <w:r>
              <w:rPr>
                <w:rStyle w:val="Style14"/>
                <w:rFonts w:eastAsia="標楷體"/>
                <w:kern w:val="2"/>
                <w:szCs w:val="24"/>
              </w:rPr>
              <w:t>職稱</w:t>
            </w:r>
          </w:p>
        </w:tc>
        <w:tc>
          <w:tcPr>
            <w:tcW w:w="1428" w:type="dxa"/>
            <w:gridSpan w:val="2"/>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exact" w:line="500"/>
              <w:jc w:val="center"/>
              <w:textAlignment w:val="baseline"/>
              <w:rPr>
                <w:rFonts w:eastAsia="標楷體"/>
                <w:kern w:val="2"/>
                <w:szCs w:val="24"/>
              </w:rPr>
            </w:pPr>
            <w:r>
              <w:rPr>
                <w:rFonts w:eastAsia="標楷體"/>
                <w:kern w:val="2"/>
                <w:szCs w:val="24"/>
              </w:rPr>
            </w:r>
          </w:p>
        </w:tc>
        <w:tc>
          <w:tcPr>
            <w:tcW w:w="1139" w:type="dxa"/>
            <w:gridSpan w:val="4"/>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exact" w:line="500"/>
              <w:jc w:val="center"/>
              <w:textAlignment w:val="baseline"/>
              <w:rPr/>
            </w:pPr>
            <w:r>
              <w:rPr>
                <w:rStyle w:val="Style14"/>
                <w:rFonts w:eastAsia="標楷體"/>
                <w:kern w:val="2"/>
                <w:szCs w:val="24"/>
              </w:rPr>
              <w:t>姓名</w:t>
            </w:r>
          </w:p>
        </w:tc>
        <w:tc>
          <w:tcPr>
            <w:tcW w:w="1518" w:type="dxa"/>
            <w:gridSpan w:val="3"/>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exact" w:line="500"/>
              <w:jc w:val="center"/>
              <w:textAlignment w:val="baseline"/>
              <w:rPr>
                <w:rFonts w:eastAsia="標楷體"/>
                <w:kern w:val="2"/>
                <w:szCs w:val="24"/>
              </w:rPr>
            </w:pPr>
            <w:r>
              <w:rPr>
                <w:rFonts w:eastAsia="標楷體"/>
                <w:kern w:val="2"/>
                <w:szCs w:val="24"/>
              </w:rPr>
            </w:r>
          </w:p>
        </w:tc>
        <w:tc>
          <w:tcPr>
            <w:tcW w:w="992" w:type="dxa"/>
            <w:gridSpan w:val="2"/>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400"/>
              <w:jc w:val="center"/>
              <w:textAlignment w:val="baseline"/>
              <w:rPr>
                <w:rFonts w:eastAsia="標楷體"/>
                <w:kern w:val="2"/>
                <w:szCs w:val="24"/>
              </w:rPr>
            </w:pPr>
            <w:r>
              <w:rPr>
                <w:rFonts w:eastAsia="標楷體"/>
                <w:kern w:val="2"/>
                <w:szCs w:val="24"/>
              </w:rPr>
              <w:t>到職</w:t>
            </w:r>
          </w:p>
          <w:p>
            <w:pPr>
              <w:pStyle w:val="Style19"/>
              <w:suppressAutoHyphens w:val="true"/>
              <w:spacing w:lineRule="exact" w:line="400"/>
              <w:jc w:val="center"/>
              <w:textAlignment w:val="baseline"/>
              <w:rPr/>
            </w:pPr>
            <w:r>
              <w:rPr>
                <w:rStyle w:val="Style14"/>
                <w:rFonts w:eastAsia="標楷體"/>
                <w:kern w:val="2"/>
                <w:szCs w:val="24"/>
              </w:rPr>
              <w:t>日期</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exact" w:line="240"/>
              <w:jc w:val="both"/>
              <w:textAlignment w:val="baseline"/>
              <w:rPr>
                <w:rFonts w:eastAsia="標楷體"/>
                <w:kern w:val="2"/>
                <w:szCs w:val="24"/>
              </w:rPr>
            </w:pPr>
            <w:r>
              <w:rPr>
                <w:rFonts w:eastAsia="標楷體"/>
                <w:kern w:val="2"/>
                <w:szCs w:val="24"/>
              </w:rPr>
            </w:r>
          </w:p>
        </w:tc>
      </w:tr>
      <w:tr>
        <w:trPr>
          <w:trHeight w:val="884" w:hRule="atLeast"/>
        </w:trPr>
        <w:tc>
          <w:tcPr>
            <w:tcW w:w="1418" w:type="dxa"/>
            <w:gridSpan w:val="2"/>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exact" w:line="360"/>
              <w:jc w:val="center"/>
              <w:textAlignment w:val="baseline"/>
              <w:rPr>
                <w:rFonts w:eastAsia="標楷體"/>
                <w:kern w:val="2"/>
                <w:szCs w:val="24"/>
              </w:rPr>
            </w:pPr>
            <w:r>
              <w:rPr>
                <w:rFonts w:eastAsia="標楷體"/>
                <w:kern w:val="2"/>
                <w:szCs w:val="24"/>
              </w:rPr>
              <w:t>工作</w:t>
            </w:r>
          </w:p>
          <w:p>
            <w:pPr>
              <w:pStyle w:val="Style19"/>
              <w:suppressAutoHyphens w:val="true"/>
              <w:spacing w:lineRule="exact" w:line="360"/>
              <w:jc w:val="center"/>
              <w:textAlignment w:val="baseline"/>
              <w:rPr>
                <w:rFonts w:eastAsia="標楷體"/>
                <w:kern w:val="2"/>
                <w:szCs w:val="24"/>
              </w:rPr>
            </w:pPr>
            <w:r>
              <w:rPr>
                <w:rFonts w:eastAsia="標楷體"/>
                <w:kern w:val="2"/>
                <w:szCs w:val="24"/>
              </w:rPr>
              <w:t>項目</w:t>
            </w:r>
          </w:p>
        </w:tc>
        <w:tc>
          <w:tcPr>
            <w:tcW w:w="9214" w:type="dxa"/>
            <w:gridSpan w:val="17"/>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rFonts w:eastAsia="標楷體"/>
                <w:kern w:val="2"/>
                <w:szCs w:val="24"/>
              </w:rPr>
            </w:pPr>
            <w:r>
              <w:rPr>
                <w:rFonts w:eastAsia="標楷體"/>
                <w:kern w:val="2"/>
                <w:szCs w:val="24"/>
              </w:rPr>
            </w:r>
          </w:p>
        </w:tc>
      </w:tr>
      <w:tr>
        <w:trPr>
          <w:trHeight w:val="351" w:hRule="atLeast"/>
          <w:cantSplit w:val="true"/>
        </w:trPr>
        <w:tc>
          <w:tcPr>
            <w:tcW w:w="1418" w:type="dxa"/>
            <w:gridSpan w:val="2"/>
            <w:vMerge w:val="restart"/>
            <w:tcBorders>
              <w:top w:val="double" w:sz="12" w:space="0" w:color="000000"/>
              <w:left w:val="single" w:sz="4" w:space="0" w:color="000000"/>
              <w:bottom w:val="single" w:sz="4" w:space="0" w:color="000000"/>
              <w:right w:val="single" w:sz="4" w:space="0" w:color="000000"/>
            </w:tcBorders>
            <w:vAlign w:val="center"/>
          </w:tcPr>
          <w:p>
            <w:pPr>
              <w:pStyle w:val="Style19"/>
              <w:suppressAutoHyphens w:val="true"/>
              <w:spacing w:lineRule="exact" w:line="500"/>
              <w:jc w:val="center"/>
              <w:textAlignment w:val="baseline"/>
              <w:rPr/>
            </w:pPr>
            <w:r>
              <w:rPr>
                <w:rStyle w:val="Style14"/>
                <w:rFonts w:eastAsia="標楷體"/>
                <w:kern w:val="2"/>
                <w:szCs w:val="24"/>
              </w:rPr>
              <w:t>項目</w:t>
            </w:r>
          </w:p>
        </w:tc>
        <w:tc>
          <w:tcPr>
            <w:tcW w:w="6521" w:type="dxa"/>
            <w:gridSpan w:val="13"/>
            <w:vMerge w:val="restart"/>
            <w:tcBorders>
              <w:top w:val="double" w:sz="12"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pPr>
            <w:r>
              <w:rPr>
                <w:rStyle w:val="Style14"/>
                <w:rFonts w:eastAsia="標楷體"/>
                <w:kern w:val="2"/>
                <w:szCs w:val="24"/>
              </w:rPr>
              <w:t>考核內容</w:t>
            </w:r>
          </w:p>
        </w:tc>
        <w:tc>
          <w:tcPr>
            <w:tcW w:w="2693" w:type="dxa"/>
            <w:gridSpan w:val="4"/>
            <w:tcBorders>
              <w:top w:val="double" w:sz="12" w:space="0" w:color="000000"/>
              <w:left w:val="single" w:sz="4" w:space="0" w:color="000000"/>
              <w:bottom w:val="single" w:sz="4" w:space="0" w:color="000000"/>
              <w:right w:val="single" w:sz="4" w:space="0" w:color="000000"/>
            </w:tcBorders>
            <w:vAlign w:val="center"/>
          </w:tcPr>
          <w:p>
            <w:pPr>
              <w:pStyle w:val="Style19"/>
              <w:suppressAutoHyphens w:val="true"/>
              <w:spacing w:lineRule="exact" w:line="240"/>
              <w:textAlignment w:val="baseline"/>
              <w:rPr/>
            </w:pPr>
            <w:r>
              <w:rPr>
                <w:rStyle w:val="Style14"/>
                <w:rFonts w:eastAsia="標楷體"/>
                <w:kern w:val="2"/>
                <w:szCs w:val="24"/>
              </w:rPr>
              <w:t>考核紀錄等級</w:t>
            </w:r>
          </w:p>
        </w:tc>
      </w:tr>
      <w:tr>
        <w:trPr>
          <w:trHeight w:val="167" w:hRule="atLeast"/>
          <w:cantSplit w:val="true"/>
        </w:trPr>
        <w:tc>
          <w:tcPr>
            <w:tcW w:w="1418" w:type="dxa"/>
            <w:gridSpan w:val="2"/>
            <w:vMerge w:val="continue"/>
            <w:tcBorders>
              <w:top w:val="double" w:sz="12" w:space="0" w:color="000000"/>
              <w:left w:val="single" w:sz="4" w:space="0" w:color="000000"/>
              <w:bottom w:val="single" w:sz="4" w:space="0" w:color="000000"/>
              <w:right w:val="single" w:sz="4" w:space="0" w:color="000000"/>
            </w:tcBorders>
            <w:vAlign w:val="center"/>
          </w:tcPr>
          <w:p>
            <w:pPr>
              <w:pStyle w:val="Normal"/>
              <w:rPr/>
            </w:pPr>
            <w:r>
              <w:rPr/>
            </w:r>
          </w:p>
        </w:tc>
        <w:tc>
          <w:tcPr>
            <w:tcW w:w="6521" w:type="dxa"/>
            <w:gridSpan w:val="13"/>
            <w:vMerge w:val="continue"/>
            <w:tcBorders>
              <w:top w:val="double" w:sz="12" w:space="0" w:color="000000"/>
              <w:left w:val="single" w:sz="4" w:space="0" w:color="000000"/>
              <w:bottom w:val="single" w:sz="4" w:space="0" w:color="000000"/>
              <w:right w:val="single" w:sz="4" w:space="0" w:color="000000"/>
            </w:tcBorders>
          </w:tcPr>
          <w:p>
            <w:pPr>
              <w:pStyle w:val="Normal"/>
              <w:rPr/>
            </w:pPr>
            <w:r>
              <w:rPr/>
            </w:r>
          </w:p>
        </w:tc>
        <w:tc>
          <w:tcPr>
            <w:tcW w:w="992" w:type="dxa"/>
            <w:gridSpan w:val="2"/>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240"/>
              <w:jc w:val="center"/>
              <w:textAlignment w:val="baseline"/>
              <w:rPr/>
            </w:pPr>
            <w:r>
              <w:rPr>
                <w:rStyle w:val="Style14"/>
                <w:rFonts w:eastAsia="標楷體"/>
                <w:kern w:val="2"/>
                <w:szCs w:val="24"/>
              </w:rPr>
              <w:t>A</w:t>
            </w:r>
          </w:p>
        </w:tc>
        <w:tc>
          <w:tcPr>
            <w:tcW w:w="850" w:type="dxa"/>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240"/>
              <w:jc w:val="center"/>
              <w:textAlignment w:val="baseline"/>
              <w:rPr>
                <w:rFonts w:eastAsia="標楷體"/>
                <w:kern w:val="2"/>
                <w:szCs w:val="24"/>
              </w:rPr>
            </w:pPr>
            <w:r>
              <w:rPr>
                <w:rFonts w:eastAsia="標楷體"/>
                <w:kern w:val="2"/>
                <w:szCs w:val="24"/>
              </w:rPr>
              <w:t>B</w:t>
            </w:r>
          </w:p>
        </w:tc>
        <w:tc>
          <w:tcPr>
            <w:tcW w:w="851" w:type="dxa"/>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240"/>
              <w:jc w:val="center"/>
              <w:textAlignment w:val="baseline"/>
              <w:rPr/>
            </w:pPr>
            <w:r>
              <w:rPr>
                <w:rStyle w:val="Style14"/>
                <w:rFonts w:eastAsia="標楷體"/>
                <w:kern w:val="2"/>
                <w:szCs w:val="24"/>
              </w:rPr>
              <w:t>C</w:t>
            </w:r>
          </w:p>
        </w:tc>
      </w:tr>
      <w:tr>
        <w:trPr>
          <w:trHeight w:val="576" w:hRule="atLeast"/>
        </w:trPr>
        <w:tc>
          <w:tcPr>
            <w:tcW w:w="141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center"/>
              <w:textAlignment w:val="baseline"/>
              <w:rPr>
                <w:rFonts w:eastAsia="標楷體"/>
                <w:kern w:val="2"/>
                <w:szCs w:val="24"/>
              </w:rPr>
            </w:pPr>
            <w:r>
              <w:rPr>
                <w:rFonts w:eastAsia="標楷體"/>
                <w:kern w:val="2"/>
                <w:szCs w:val="24"/>
              </w:rPr>
              <w:t>工作績效與態度</w:t>
            </w:r>
          </w:p>
          <w:p>
            <w:pPr>
              <w:pStyle w:val="Style19"/>
              <w:suppressAutoHyphens w:val="true"/>
              <w:spacing w:lineRule="auto"/>
              <w:jc w:val="center"/>
              <w:textAlignment w:val="baseline"/>
              <w:rPr>
                <w:rFonts w:ascii="標楷體" w:hAnsi="標楷體" w:eastAsia="標楷體"/>
                <w:kern w:val="2"/>
                <w:szCs w:val="24"/>
              </w:rPr>
            </w:pPr>
            <w:r>
              <w:rPr>
                <w:rFonts w:eastAsia="標楷體" w:ascii="標楷體" w:hAnsi="標楷體"/>
                <w:kern w:val="2"/>
                <w:szCs w:val="24"/>
              </w:rPr>
              <w:t>(50%)</w:t>
            </w:r>
          </w:p>
        </w:tc>
        <w:tc>
          <w:tcPr>
            <w:tcW w:w="6521" w:type="dxa"/>
            <w:gridSpan w:val="13"/>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both"/>
              <w:textAlignment w:val="baseline"/>
              <w:rPr/>
            </w:pPr>
            <w:r>
              <w:rPr>
                <w:rStyle w:val="Style14"/>
                <w:rFonts w:ascii="標楷體" w:hAnsi="標楷體" w:eastAsia="標楷體"/>
                <w:spacing w:val="-4"/>
                <w:kern w:val="2"/>
                <w:szCs w:val="24"/>
              </w:rPr>
              <w:t>處理業務是否精確妥善及數量多寡。</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rFonts w:eastAsia="標楷體"/>
                <w:kern w:val="2"/>
                <w:szCs w:val="24"/>
              </w:rPr>
            </w:pPr>
            <w:r>
              <w:rPr>
                <w:rFonts w:eastAsia="標楷體"/>
                <w:kern w:val="2"/>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rFonts w:eastAsia="標楷體"/>
                <w:kern w:val="2"/>
                <w:szCs w:val="24"/>
              </w:rPr>
            </w:pPr>
            <w:r>
              <w:rPr>
                <w:rFonts w:eastAsia="標楷體"/>
                <w:kern w:val="2"/>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rFonts w:eastAsia="標楷體"/>
                <w:kern w:val="2"/>
                <w:szCs w:val="24"/>
              </w:rPr>
            </w:pPr>
            <w:r>
              <w:rPr>
                <w:rFonts w:eastAsia="標楷體"/>
                <w:kern w:val="2"/>
                <w:szCs w:val="24"/>
              </w:rPr>
            </w:r>
          </w:p>
        </w:tc>
      </w:tr>
      <w:tr>
        <w:trPr>
          <w:trHeight w:val="454" w:hRule="atLeast"/>
        </w:trPr>
        <w:tc>
          <w:tcPr>
            <w:tcW w:w="141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6521" w:type="dxa"/>
            <w:gridSpan w:val="13"/>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both"/>
              <w:textAlignment w:val="baseline"/>
              <w:rPr/>
            </w:pPr>
            <w:r>
              <w:rPr>
                <w:rStyle w:val="Style14"/>
                <w:rFonts w:eastAsia="標楷體"/>
                <w:kern w:val="2"/>
                <w:szCs w:val="24"/>
              </w:rPr>
              <w:t>能否依限完成應辦之工作。</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rFonts w:eastAsia="標楷體"/>
                <w:kern w:val="2"/>
                <w:szCs w:val="24"/>
              </w:rPr>
            </w:pPr>
            <w:r>
              <w:rPr>
                <w:rFonts w:eastAsia="標楷體"/>
                <w:kern w:val="2"/>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rFonts w:eastAsia="標楷體"/>
                <w:kern w:val="2"/>
                <w:szCs w:val="24"/>
              </w:rPr>
            </w:pPr>
            <w:r>
              <w:rPr>
                <w:rFonts w:eastAsia="標楷體"/>
                <w:kern w:val="2"/>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rFonts w:eastAsia="標楷體"/>
                <w:kern w:val="2"/>
                <w:szCs w:val="24"/>
              </w:rPr>
            </w:pPr>
            <w:r>
              <w:rPr>
                <w:rFonts w:eastAsia="標楷體"/>
                <w:kern w:val="2"/>
                <w:szCs w:val="24"/>
              </w:rPr>
            </w:r>
          </w:p>
        </w:tc>
      </w:tr>
      <w:tr>
        <w:trPr>
          <w:trHeight w:val="454" w:hRule="atLeast"/>
        </w:trPr>
        <w:tc>
          <w:tcPr>
            <w:tcW w:w="141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6521" w:type="dxa"/>
            <w:gridSpan w:val="13"/>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both"/>
              <w:textAlignment w:val="baseline"/>
              <w:rPr>
                <w:rFonts w:eastAsia="標楷體"/>
                <w:kern w:val="2"/>
                <w:szCs w:val="24"/>
              </w:rPr>
            </w:pPr>
            <w:r>
              <w:rPr>
                <w:rFonts w:eastAsia="標楷體"/>
                <w:kern w:val="2"/>
                <w:szCs w:val="24"/>
              </w:rPr>
              <w:t>能否以熱心及同理心，為洽公民眾或同仁處理公務。</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rFonts w:eastAsia="標楷體"/>
                <w:kern w:val="2"/>
                <w:szCs w:val="24"/>
              </w:rPr>
            </w:pPr>
            <w:r>
              <w:rPr>
                <w:rFonts w:eastAsia="標楷體"/>
                <w:kern w:val="2"/>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rFonts w:eastAsia="標楷體"/>
                <w:kern w:val="2"/>
                <w:szCs w:val="24"/>
              </w:rPr>
            </w:pPr>
            <w:r>
              <w:rPr>
                <w:rFonts w:eastAsia="標楷體"/>
                <w:kern w:val="2"/>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rFonts w:eastAsia="標楷體"/>
                <w:kern w:val="2"/>
                <w:szCs w:val="24"/>
              </w:rPr>
            </w:pPr>
            <w:r>
              <w:rPr>
                <w:rFonts w:eastAsia="標楷體"/>
                <w:kern w:val="2"/>
                <w:szCs w:val="24"/>
              </w:rPr>
            </w:r>
          </w:p>
        </w:tc>
      </w:tr>
      <w:tr>
        <w:trPr>
          <w:trHeight w:val="454" w:hRule="atLeast"/>
        </w:trPr>
        <w:tc>
          <w:tcPr>
            <w:tcW w:w="141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6521" w:type="dxa"/>
            <w:gridSpan w:val="13"/>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both"/>
              <w:textAlignment w:val="baseline"/>
              <w:rPr/>
            </w:pPr>
            <w:bookmarkStart w:id="3" w:name="OLE_LINK8"/>
            <w:r>
              <w:rPr>
                <w:rStyle w:val="Style14"/>
                <w:rFonts w:eastAsia="標楷體"/>
                <w:kern w:val="2"/>
                <w:szCs w:val="24"/>
              </w:rPr>
              <w:t>能否不待督促，自動自發積極辦理</w:t>
            </w:r>
            <w:bookmarkEnd w:id="3"/>
            <w:r>
              <w:rPr>
                <w:rStyle w:val="Style14"/>
                <w:rFonts w:eastAsia="標楷體"/>
                <w:kern w:val="2"/>
                <w:szCs w:val="24"/>
              </w:rPr>
              <w:t>及解決問題。</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rFonts w:eastAsia="標楷體"/>
                <w:kern w:val="2"/>
                <w:szCs w:val="24"/>
              </w:rPr>
            </w:pPr>
            <w:r>
              <w:rPr>
                <w:rFonts w:eastAsia="標楷體"/>
                <w:kern w:val="2"/>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rFonts w:eastAsia="標楷體"/>
                <w:kern w:val="2"/>
                <w:szCs w:val="24"/>
              </w:rPr>
            </w:pPr>
            <w:r>
              <w:rPr>
                <w:rFonts w:eastAsia="標楷體"/>
                <w:kern w:val="2"/>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rFonts w:eastAsia="標楷體"/>
                <w:kern w:val="2"/>
                <w:szCs w:val="24"/>
              </w:rPr>
            </w:pPr>
            <w:r>
              <w:rPr>
                <w:rFonts w:eastAsia="標楷體"/>
                <w:kern w:val="2"/>
                <w:szCs w:val="24"/>
              </w:rPr>
            </w:r>
          </w:p>
        </w:tc>
      </w:tr>
      <w:tr>
        <w:trPr>
          <w:trHeight w:val="454" w:hRule="atLeast"/>
        </w:trPr>
        <w:tc>
          <w:tcPr>
            <w:tcW w:w="141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6521" w:type="dxa"/>
            <w:gridSpan w:val="13"/>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both"/>
              <w:textAlignment w:val="baseline"/>
              <w:rPr/>
            </w:pPr>
            <w:r>
              <w:rPr>
                <w:rStyle w:val="Style14"/>
                <w:rFonts w:eastAsia="標楷體"/>
                <w:kern w:val="2"/>
                <w:szCs w:val="24"/>
              </w:rPr>
              <w:t>能否任勞任怨，勇於負責。</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rFonts w:eastAsia="標楷體"/>
                <w:kern w:val="2"/>
                <w:szCs w:val="24"/>
              </w:rPr>
            </w:pPr>
            <w:r>
              <w:rPr>
                <w:rFonts w:eastAsia="標楷體"/>
                <w:kern w:val="2"/>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rFonts w:eastAsia="標楷體"/>
                <w:kern w:val="2"/>
                <w:szCs w:val="24"/>
              </w:rPr>
            </w:pPr>
            <w:r>
              <w:rPr>
                <w:rFonts w:eastAsia="標楷體"/>
                <w:kern w:val="2"/>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rFonts w:eastAsia="標楷體"/>
                <w:kern w:val="2"/>
                <w:szCs w:val="24"/>
              </w:rPr>
            </w:pPr>
            <w:r>
              <w:rPr>
                <w:rFonts w:eastAsia="標楷體"/>
                <w:kern w:val="2"/>
                <w:szCs w:val="24"/>
              </w:rPr>
            </w:r>
          </w:p>
        </w:tc>
      </w:tr>
      <w:tr>
        <w:trPr>
          <w:trHeight w:val="454" w:hRule="atLeast"/>
        </w:trPr>
        <w:tc>
          <w:tcPr>
            <w:tcW w:w="141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6521" w:type="dxa"/>
            <w:gridSpan w:val="13"/>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both"/>
              <w:textAlignment w:val="baseline"/>
              <w:rPr/>
            </w:pPr>
            <w:bookmarkStart w:id="4" w:name="_Hlk26275080"/>
            <w:r>
              <w:rPr>
                <w:rStyle w:val="Style14"/>
                <w:rFonts w:ascii="標楷體" w:hAnsi="標楷體" w:eastAsia="標楷體"/>
                <w:kern w:val="2"/>
                <w:szCs w:val="24"/>
              </w:rPr>
              <w:t>能否與其他有關人員密切配合，具團隊精神及高度認同感。</w:t>
            </w:r>
            <w:bookmarkEnd w:id="4"/>
          </w:p>
        </w:tc>
        <w:tc>
          <w:tcPr>
            <w:tcW w:w="992" w:type="dxa"/>
            <w:gridSpan w:val="2"/>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rFonts w:eastAsia="標楷體"/>
                <w:kern w:val="2"/>
                <w:szCs w:val="24"/>
              </w:rPr>
            </w:pPr>
            <w:r>
              <w:rPr>
                <w:rFonts w:eastAsia="標楷體"/>
                <w:kern w:val="2"/>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rFonts w:eastAsia="標楷體"/>
                <w:kern w:val="2"/>
                <w:szCs w:val="24"/>
              </w:rPr>
            </w:pPr>
            <w:r>
              <w:rPr>
                <w:rFonts w:eastAsia="標楷體"/>
                <w:kern w:val="2"/>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rFonts w:eastAsia="標楷體"/>
                <w:kern w:val="2"/>
                <w:szCs w:val="24"/>
              </w:rPr>
            </w:pPr>
            <w:r>
              <w:rPr>
                <w:rFonts w:eastAsia="標楷體"/>
                <w:kern w:val="2"/>
                <w:szCs w:val="24"/>
              </w:rPr>
            </w:r>
          </w:p>
        </w:tc>
      </w:tr>
      <w:tr>
        <w:trPr>
          <w:trHeight w:val="454" w:hRule="atLeast"/>
        </w:trPr>
        <w:tc>
          <w:tcPr>
            <w:tcW w:w="141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6521" w:type="dxa"/>
            <w:gridSpan w:val="13"/>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both"/>
              <w:textAlignment w:val="baseline"/>
              <w:rPr/>
            </w:pPr>
            <w:r>
              <w:rPr>
                <w:rStyle w:val="Style14"/>
                <w:rFonts w:eastAsia="標楷體"/>
                <w:kern w:val="2"/>
                <w:szCs w:val="24"/>
              </w:rPr>
              <w:t>對應辦業務能否不斷檢討虛心研究，力求改進。</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rFonts w:eastAsia="標楷體"/>
                <w:kern w:val="2"/>
                <w:szCs w:val="24"/>
              </w:rPr>
            </w:pPr>
            <w:r>
              <w:rPr>
                <w:rFonts w:eastAsia="標楷體"/>
                <w:kern w:val="2"/>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rFonts w:eastAsia="標楷體"/>
                <w:kern w:val="2"/>
                <w:szCs w:val="24"/>
              </w:rPr>
            </w:pPr>
            <w:r>
              <w:rPr>
                <w:rFonts w:eastAsia="標楷體"/>
                <w:kern w:val="2"/>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rFonts w:eastAsia="標楷體"/>
                <w:kern w:val="2"/>
                <w:szCs w:val="24"/>
              </w:rPr>
            </w:pPr>
            <w:r>
              <w:rPr>
                <w:rFonts w:eastAsia="標楷體"/>
                <w:kern w:val="2"/>
                <w:szCs w:val="24"/>
              </w:rPr>
            </w:r>
          </w:p>
        </w:tc>
      </w:tr>
      <w:tr>
        <w:trPr>
          <w:trHeight w:val="454" w:hRule="atLeast"/>
        </w:trPr>
        <w:tc>
          <w:tcPr>
            <w:tcW w:w="141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center"/>
              <w:textAlignment w:val="baseline"/>
              <w:rPr>
                <w:rFonts w:eastAsia="標楷體"/>
                <w:kern w:val="2"/>
                <w:szCs w:val="24"/>
              </w:rPr>
            </w:pPr>
            <w:r>
              <w:rPr>
                <w:rFonts w:eastAsia="標楷體"/>
                <w:kern w:val="2"/>
                <w:szCs w:val="24"/>
              </w:rPr>
              <w:t>品德</w:t>
            </w:r>
          </w:p>
          <w:p>
            <w:pPr>
              <w:pStyle w:val="Style19"/>
              <w:suppressAutoHyphens w:val="true"/>
              <w:spacing w:lineRule="auto"/>
              <w:jc w:val="center"/>
              <w:textAlignment w:val="baseline"/>
              <w:rPr>
                <w:rFonts w:eastAsia="標楷體"/>
                <w:kern w:val="2"/>
                <w:szCs w:val="24"/>
              </w:rPr>
            </w:pPr>
            <w:r>
              <w:rPr>
                <w:rFonts w:eastAsia="標楷體"/>
                <w:kern w:val="2"/>
                <w:szCs w:val="24"/>
              </w:rPr>
              <w:t>操守</w:t>
            </w:r>
          </w:p>
          <w:p>
            <w:pPr>
              <w:pStyle w:val="Style19"/>
              <w:suppressAutoHyphens w:val="true"/>
              <w:spacing w:lineRule="auto"/>
              <w:jc w:val="center"/>
              <w:textAlignment w:val="baseline"/>
              <w:rPr>
                <w:rFonts w:ascii="標楷體" w:hAnsi="標楷體" w:eastAsia="標楷體"/>
                <w:kern w:val="2"/>
                <w:szCs w:val="24"/>
              </w:rPr>
            </w:pPr>
            <w:r>
              <w:rPr>
                <w:rFonts w:eastAsia="標楷體" w:ascii="標楷體" w:hAnsi="標楷體"/>
                <w:kern w:val="2"/>
                <w:szCs w:val="24"/>
              </w:rPr>
              <w:t>(25%)</w:t>
            </w:r>
          </w:p>
        </w:tc>
        <w:tc>
          <w:tcPr>
            <w:tcW w:w="6521" w:type="dxa"/>
            <w:gridSpan w:val="13"/>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both"/>
              <w:textAlignment w:val="baseline"/>
              <w:rPr>
                <w:rFonts w:eastAsia="標楷體"/>
                <w:kern w:val="2"/>
                <w:szCs w:val="24"/>
              </w:rPr>
            </w:pPr>
            <w:r>
              <w:rPr>
                <w:rFonts w:eastAsia="標楷體"/>
                <w:kern w:val="2"/>
                <w:szCs w:val="24"/>
              </w:rPr>
              <w:t>是否敦厚謙和，謹慎懇摯。</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rFonts w:eastAsia="標楷體"/>
                <w:kern w:val="2"/>
                <w:szCs w:val="24"/>
              </w:rPr>
            </w:pPr>
            <w:r>
              <w:rPr>
                <w:rFonts w:eastAsia="標楷體"/>
                <w:kern w:val="2"/>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rFonts w:eastAsia="標楷體"/>
                <w:kern w:val="2"/>
                <w:szCs w:val="24"/>
              </w:rPr>
            </w:pPr>
            <w:r>
              <w:rPr>
                <w:rFonts w:eastAsia="標楷體"/>
                <w:kern w:val="2"/>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rFonts w:eastAsia="標楷體"/>
                <w:kern w:val="2"/>
                <w:szCs w:val="24"/>
              </w:rPr>
            </w:pPr>
            <w:r>
              <w:rPr>
                <w:rFonts w:eastAsia="標楷體"/>
                <w:kern w:val="2"/>
                <w:szCs w:val="24"/>
              </w:rPr>
            </w:r>
          </w:p>
        </w:tc>
      </w:tr>
      <w:tr>
        <w:trPr>
          <w:trHeight w:val="454" w:hRule="atLeast"/>
        </w:trPr>
        <w:tc>
          <w:tcPr>
            <w:tcW w:w="141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6521" w:type="dxa"/>
            <w:gridSpan w:val="13"/>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both"/>
              <w:textAlignment w:val="baseline"/>
              <w:rPr>
                <w:rFonts w:eastAsia="標楷體"/>
                <w:kern w:val="2"/>
                <w:szCs w:val="24"/>
              </w:rPr>
            </w:pPr>
            <w:r>
              <w:rPr>
                <w:rFonts w:eastAsia="標楷體"/>
                <w:kern w:val="2"/>
                <w:szCs w:val="24"/>
              </w:rPr>
              <w:t>能否廉潔自持，無收受不當利益或兼職經主管規勸仍未改善之情事。</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rFonts w:eastAsia="標楷體"/>
                <w:kern w:val="2"/>
                <w:szCs w:val="24"/>
              </w:rPr>
            </w:pPr>
            <w:r>
              <w:rPr>
                <w:rFonts w:eastAsia="標楷體"/>
                <w:kern w:val="2"/>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rFonts w:eastAsia="標楷體"/>
                <w:kern w:val="2"/>
                <w:szCs w:val="24"/>
              </w:rPr>
            </w:pPr>
            <w:r>
              <w:rPr>
                <w:rFonts w:eastAsia="標楷體"/>
                <w:kern w:val="2"/>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rFonts w:eastAsia="標楷體"/>
                <w:kern w:val="2"/>
                <w:szCs w:val="24"/>
              </w:rPr>
            </w:pPr>
            <w:r>
              <w:rPr>
                <w:rFonts w:eastAsia="標楷體"/>
                <w:kern w:val="2"/>
                <w:szCs w:val="24"/>
              </w:rPr>
            </w:r>
          </w:p>
        </w:tc>
      </w:tr>
      <w:tr>
        <w:trPr>
          <w:trHeight w:val="454" w:hRule="atLeast"/>
        </w:trPr>
        <w:tc>
          <w:tcPr>
            <w:tcW w:w="141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6521" w:type="dxa"/>
            <w:gridSpan w:val="13"/>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both"/>
              <w:textAlignment w:val="baseline"/>
              <w:rPr>
                <w:rFonts w:eastAsia="標楷體"/>
                <w:kern w:val="2"/>
                <w:szCs w:val="24"/>
              </w:rPr>
            </w:pPr>
            <w:r>
              <w:rPr>
                <w:rFonts w:eastAsia="標楷體"/>
                <w:kern w:val="2"/>
                <w:szCs w:val="24"/>
              </w:rPr>
              <w:t>能否虛心接受長官指導及指揮調度處理公務。</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rFonts w:eastAsia="標楷體"/>
                <w:kern w:val="2"/>
                <w:szCs w:val="24"/>
              </w:rPr>
            </w:pPr>
            <w:r>
              <w:rPr>
                <w:rFonts w:eastAsia="標楷體"/>
                <w:kern w:val="2"/>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rFonts w:eastAsia="標楷體"/>
                <w:kern w:val="2"/>
                <w:szCs w:val="24"/>
              </w:rPr>
            </w:pPr>
            <w:r>
              <w:rPr>
                <w:rFonts w:eastAsia="標楷體"/>
                <w:kern w:val="2"/>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rFonts w:eastAsia="標楷體"/>
                <w:kern w:val="2"/>
                <w:szCs w:val="24"/>
              </w:rPr>
            </w:pPr>
            <w:r>
              <w:rPr>
                <w:rFonts w:eastAsia="標楷體"/>
                <w:kern w:val="2"/>
                <w:szCs w:val="24"/>
              </w:rPr>
            </w:r>
          </w:p>
        </w:tc>
      </w:tr>
      <w:tr>
        <w:trPr>
          <w:trHeight w:val="454" w:hRule="atLeast"/>
        </w:trPr>
        <w:tc>
          <w:tcPr>
            <w:tcW w:w="141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center"/>
              <w:textAlignment w:val="baseline"/>
              <w:rPr>
                <w:rFonts w:eastAsia="標楷體"/>
                <w:kern w:val="2"/>
                <w:szCs w:val="24"/>
              </w:rPr>
            </w:pPr>
            <w:r>
              <w:rPr>
                <w:rFonts w:eastAsia="標楷體"/>
                <w:kern w:val="2"/>
                <w:szCs w:val="24"/>
              </w:rPr>
              <w:t>差勤</w:t>
            </w:r>
          </w:p>
          <w:p>
            <w:pPr>
              <w:pStyle w:val="Style19"/>
              <w:suppressAutoHyphens w:val="true"/>
              <w:spacing w:lineRule="auto"/>
              <w:jc w:val="center"/>
              <w:textAlignment w:val="baseline"/>
              <w:rPr/>
            </w:pPr>
            <w:r>
              <w:rPr>
                <w:rStyle w:val="Style14"/>
                <w:rFonts w:eastAsia="標楷體" w:ascii="標楷體" w:hAnsi="標楷體"/>
                <w:kern w:val="2"/>
                <w:szCs w:val="24"/>
              </w:rPr>
              <w:t>(25%)</w:t>
            </w:r>
          </w:p>
        </w:tc>
        <w:tc>
          <w:tcPr>
            <w:tcW w:w="6521" w:type="dxa"/>
            <w:gridSpan w:val="13"/>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both"/>
              <w:textAlignment w:val="baseline"/>
              <w:rPr/>
            </w:pPr>
            <w:r>
              <w:rPr>
                <w:rStyle w:val="Style14"/>
                <w:rFonts w:ascii="標楷體" w:hAnsi="標楷體" w:eastAsia="標楷體"/>
                <w:kern w:val="2"/>
                <w:szCs w:val="24"/>
              </w:rPr>
              <w:t>能否認真勤慎，熱誠任事，不遲到早退。</w:t>
            </w:r>
          </w:p>
        </w:tc>
        <w:tc>
          <w:tcPr>
            <w:tcW w:w="992" w:type="dxa"/>
            <w:gridSpan w:val="2"/>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rFonts w:eastAsia="標楷體"/>
                <w:kern w:val="2"/>
                <w:szCs w:val="24"/>
              </w:rPr>
            </w:pPr>
            <w:r>
              <w:rPr>
                <w:rFonts w:eastAsia="標楷體"/>
                <w:kern w:val="2"/>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rFonts w:eastAsia="標楷體"/>
                <w:kern w:val="2"/>
                <w:szCs w:val="24"/>
              </w:rPr>
            </w:pPr>
            <w:r>
              <w:rPr>
                <w:rFonts w:eastAsia="標楷體"/>
                <w:kern w:val="2"/>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rFonts w:eastAsia="標楷體"/>
                <w:kern w:val="2"/>
                <w:szCs w:val="24"/>
              </w:rPr>
            </w:pPr>
            <w:r>
              <w:rPr>
                <w:rFonts w:eastAsia="標楷體"/>
                <w:kern w:val="2"/>
                <w:szCs w:val="24"/>
              </w:rPr>
            </w:r>
          </w:p>
        </w:tc>
      </w:tr>
      <w:tr>
        <w:trPr>
          <w:trHeight w:val="454" w:hRule="atLeast"/>
        </w:trPr>
        <w:tc>
          <w:tcPr>
            <w:tcW w:w="141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6521" w:type="dxa"/>
            <w:gridSpan w:val="13"/>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both"/>
              <w:textAlignment w:val="baseline"/>
              <w:rPr>
                <w:rFonts w:eastAsia="標楷體"/>
                <w:kern w:val="2"/>
                <w:szCs w:val="24"/>
              </w:rPr>
            </w:pPr>
            <w:bookmarkStart w:id="5" w:name="_Hlk26275148"/>
            <w:r>
              <w:rPr>
                <w:rFonts w:eastAsia="標楷體"/>
                <w:kern w:val="2"/>
                <w:szCs w:val="24"/>
              </w:rPr>
              <w:t>能否於長官已核准</w:t>
            </w:r>
            <w:r>
              <w:rPr>
                <w:rFonts w:eastAsia="標楷體"/>
                <w:kern w:val="2"/>
                <w:szCs w:val="24"/>
              </w:rPr>
              <w:t>(</w:t>
            </w:r>
            <w:r>
              <w:rPr>
                <w:rFonts w:eastAsia="標楷體"/>
                <w:kern w:val="2"/>
                <w:szCs w:val="24"/>
              </w:rPr>
              <w:t>指派</w:t>
            </w:r>
            <w:r>
              <w:rPr>
                <w:rFonts w:eastAsia="標楷體"/>
                <w:kern w:val="2"/>
                <w:szCs w:val="24"/>
              </w:rPr>
              <w:t>)</w:t>
            </w:r>
            <w:r>
              <w:rPr>
                <w:rFonts w:eastAsia="標楷體"/>
                <w:kern w:val="2"/>
                <w:szCs w:val="24"/>
              </w:rPr>
              <w:t>加班處理公務時，不推諉搪塞。</w:t>
            </w:r>
            <w:bookmarkEnd w:id="5"/>
          </w:p>
        </w:tc>
        <w:tc>
          <w:tcPr>
            <w:tcW w:w="992" w:type="dxa"/>
            <w:gridSpan w:val="2"/>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rFonts w:eastAsia="標楷體"/>
                <w:kern w:val="2"/>
                <w:szCs w:val="24"/>
              </w:rPr>
            </w:pPr>
            <w:r>
              <w:rPr>
                <w:rFonts w:eastAsia="標楷體"/>
                <w:kern w:val="2"/>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rFonts w:eastAsia="標楷體"/>
                <w:kern w:val="2"/>
                <w:szCs w:val="24"/>
              </w:rPr>
            </w:pPr>
            <w:r>
              <w:rPr>
                <w:rFonts w:eastAsia="標楷體"/>
                <w:kern w:val="2"/>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rFonts w:eastAsia="標楷體"/>
                <w:kern w:val="2"/>
                <w:szCs w:val="24"/>
              </w:rPr>
            </w:pPr>
            <w:r>
              <w:rPr>
                <w:rFonts w:eastAsia="標楷體"/>
                <w:kern w:val="2"/>
                <w:szCs w:val="24"/>
              </w:rPr>
            </w:r>
          </w:p>
        </w:tc>
      </w:tr>
      <w:tr>
        <w:trPr>
          <w:trHeight w:val="454" w:hRule="atLeast"/>
        </w:trPr>
        <w:tc>
          <w:tcPr>
            <w:tcW w:w="141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6521" w:type="dxa"/>
            <w:gridSpan w:val="13"/>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both"/>
              <w:textAlignment w:val="baseline"/>
              <w:rPr/>
            </w:pPr>
            <w:bookmarkStart w:id="6" w:name="_Hlk26275169"/>
            <w:r>
              <w:rPr>
                <w:rStyle w:val="Style14"/>
                <w:rFonts w:ascii="標楷體" w:hAnsi="標楷體" w:eastAsia="標楷體"/>
                <w:kern w:val="2"/>
                <w:szCs w:val="24"/>
              </w:rPr>
              <w:t>能否在辦公時間內，不藉機離開辦公處所處理私務。</w:t>
            </w:r>
            <w:bookmarkEnd w:id="6"/>
          </w:p>
        </w:tc>
        <w:tc>
          <w:tcPr>
            <w:tcW w:w="992" w:type="dxa"/>
            <w:gridSpan w:val="2"/>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rFonts w:eastAsia="標楷體"/>
                <w:kern w:val="2"/>
                <w:szCs w:val="24"/>
              </w:rPr>
            </w:pPr>
            <w:r>
              <w:rPr>
                <w:rFonts w:eastAsia="標楷體"/>
                <w:kern w:val="2"/>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rFonts w:eastAsia="標楷體"/>
                <w:kern w:val="2"/>
                <w:szCs w:val="24"/>
              </w:rPr>
            </w:pPr>
            <w:r>
              <w:rPr>
                <w:rFonts w:eastAsia="標楷體"/>
                <w:kern w:val="2"/>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rFonts w:eastAsia="標楷體"/>
                <w:kern w:val="2"/>
                <w:szCs w:val="24"/>
              </w:rPr>
            </w:pPr>
            <w:r>
              <w:rPr>
                <w:rFonts w:eastAsia="標楷體"/>
                <w:kern w:val="2"/>
                <w:szCs w:val="24"/>
              </w:rPr>
            </w:r>
          </w:p>
        </w:tc>
      </w:tr>
      <w:tr>
        <w:trPr>
          <w:trHeight w:val="454" w:hRule="atLeast"/>
        </w:trPr>
        <w:tc>
          <w:tcPr>
            <w:tcW w:w="1418" w:type="dxa"/>
            <w:gridSpan w:val="2"/>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center"/>
              <w:textAlignment w:val="baseline"/>
              <w:rPr>
                <w:rFonts w:eastAsia="標楷體"/>
                <w:kern w:val="2"/>
                <w:szCs w:val="24"/>
              </w:rPr>
            </w:pPr>
            <w:bookmarkStart w:id="7" w:name="OLE_LINK18"/>
            <w:bookmarkEnd w:id="7"/>
            <w:r>
              <w:rPr>
                <w:rFonts w:eastAsia="標楷體"/>
                <w:kern w:val="2"/>
                <w:szCs w:val="24"/>
              </w:rPr>
              <w:t>獎懲</w:t>
            </w:r>
          </w:p>
          <w:p>
            <w:pPr>
              <w:pStyle w:val="Style19"/>
              <w:suppressAutoHyphens w:val="true"/>
              <w:spacing w:lineRule="auto"/>
              <w:jc w:val="center"/>
              <w:textAlignment w:val="baseline"/>
              <w:rPr>
                <w:rFonts w:eastAsia="標楷體"/>
                <w:kern w:val="2"/>
                <w:szCs w:val="24"/>
              </w:rPr>
            </w:pPr>
            <w:r>
              <w:rPr>
                <w:rFonts w:eastAsia="標楷體"/>
                <w:kern w:val="2"/>
                <w:szCs w:val="24"/>
              </w:rPr>
              <w:t>(</w:t>
            </w:r>
            <w:r>
              <w:rPr>
                <w:rFonts w:eastAsia="標楷體"/>
                <w:kern w:val="2"/>
                <w:szCs w:val="24"/>
              </w:rPr>
              <w:t>次數</w:t>
            </w:r>
            <w:r>
              <w:rPr>
                <w:rFonts w:eastAsia="標楷體"/>
                <w:kern w:val="2"/>
                <w:szCs w:val="24"/>
              </w:rPr>
              <w:t>)</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center"/>
              <w:textAlignment w:val="baseline"/>
              <w:rPr>
                <w:rFonts w:ascii="標楷體" w:hAnsi="標楷體" w:eastAsia="標楷體"/>
                <w:kern w:val="2"/>
                <w:szCs w:val="24"/>
              </w:rPr>
            </w:pPr>
            <w:r>
              <w:rPr>
                <w:rFonts w:ascii="標楷體" w:hAnsi="標楷體" w:eastAsia="標楷體"/>
                <w:kern w:val="2"/>
                <w:szCs w:val="24"/>
              </w:rPr>
              <w:t>嘉獎</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center"/>
              <w:textAlignment w:val="baseline"/>
              <w:rPr>
                <w:rFonts w:ascii="標楷體" w:hAnsi="標楷體" w:eastAsia="標楷體"/>
                <w:kern w:val="2"/>
                <w:szCs w:val="24"/>
              </w:rPr>
            </w:pPr>
            <w:r>
              <w:rPr>
                <w:rFonts w:eastAsia="標楷體" w:ascii="標楷體" w:hAnsi="標楷體"/>
                <w:kern w:val="2"/>
                <w:szCs w:val="24"/>
              </w:rPr>
            </w:r>
          </w:p>
        </w:tc>
        <w:tc>
          <w:tcPr>
            <w:tcW w:w="735" w:type="dxa"/>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center"/>
              <w:textAlignment w:val="baseline"/>
              <w:rPr>
                <w:rFonts w:ascii="標楷體" w:hAnsi="標楷體" w:eastAsia="標楷體"/>
                <w:kern w:val="2"/>
                <w:szCs w:val="24"/>
              </w:rPr>
            </w:pPr>
            <w:r>
              <w:rPr>
                <w:rFonts w:ascii="標楷體" w:hAnsi="標楷體" w:eastAsia="標楷體"/>
                <w:kern w:val="2"/>
                <w:szCs w:val="24"/>
              </w:rPr>
              <w:t>申誡</w:t>
            </w:r>
          </w:p>
        </w:tc>
        <w:tc>
          <w:tcPr>
            <w:tcW w:w="824" w:type="dxa"/>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center"/>
              <w:textAlignment w:val="baseline"/>
              <w:rPr>
                <w:rFonts w:ascii="標楷體" w:hAnsi="標楷體" w:eastAsia="標楷體"/>
                <w:kern w:val="2"/>
                <w:szCs w:val="24"/>
              </w:rPr>
            </w:pPr>
            <w:r>
              <w:rPr>
                <w:rFonts w:eastAsia="標楷體" w:ascii="標楷體" w:hAnsi="標楷體"/>
                <w:kern w:val="2"/>
                <w:szCs w:val="24"/>
              </w:rPr>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center"/>
              <w:textAlignment w:val="baseline"/>
              <w:rPr>
                <w:rFonts w:ascii="標楷體" w:hAnsi="標楷體" w:eastAsia="標楷體"/>
                <w:kern w:val="2"/>
                <w:szCs w:val="24"/>
              </w:rPr>
            </w:pPr>
            <w:r>
              <w:rPr>
                <w:rFonts w:ascii="標楷體" w:hAnsi="標楷體" w:eastAsia="標楷體"/>
                <w:kern w:val="2"/>
                <w:szCs w:val="24"/>
              </w:rPr>
              <w:t>記功</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center"/>
              <w:textAlignment w:val="baseline"/>
              <w:rPr>
                <w:rFonts w:ascii="標楷體" w:hAnsi="標楷體" w:eastAsia="標楷體"/>
                <w:kern w:val="2"/>
                <w:szCs w:val="24"/>
              </w:rPr>
            </w:pPr>
            <w:r>
              <w:rPr>
                <w:rFonts w:eastAsia="標楷體" w:ascii="標楷體" w:hAnsi="標楷體"/>
                <w:kern w:val="2"/>
                <w:szCs w:val="24"/>
              </w:rPr>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center"/>
              <w:textAlignment w:val="baseline"/>
              <w:rPr>
                <w:rFonts w:ascii="標楷體" w:hAnsi="標楷體" w:eastAsia="標楷體"/>
                <w:kern w:val="2"/>
                <w:szCs w:val="24"/>
              </w:rPr>
            </w:pPr>
            <w:r>
              <w:rPr>
                <w:rFonts w:ascii="標楷體" w:hAnsi="標楷體" w:eastAsia="標楷體"/>
                <w:kern w:val="2"/>
                <w:szCs w:val="24"/>
              </w:rPr>
              <w:t>記過</w:t>
            </w:r>
          </w:p>
        </w:tc>
        <w:tc>
          <w:tcPr>
            <w:tcW w:w="727" w:type="dxa"/>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center"/>
              <w:textAlignment w:val="baseline"/>
              <w:rPr>
                <w:rFonts w:ascii="標楷體" w:hAnsi="標楷體" w:eastAsia="標楷體"/>
                <w:kern w:val="2"/>
                <w:szCs w:val="24"/>
              </w:rPr>
            </w:pPr>
            <w:r>
              <w:rPr>
                <w:rFonts w:eastAsia="標楷體" w:ascii="標楷體" w:hAnsi="標楷體"/>
                <w:kern w:val="2"/>
                <w:szCs w:val="24"/>
              </w:rPr>
            </w:r>
          </w:p>
        </w:tc>
        <w:tc>
          <w:tcPr>
            <w:tcW w:w="698" w:type="dxa"/>
            <w:gridSpan w:val="2"/>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exact" w:line="240"/>
              <w:jc w:val="center"/>
              <w:textAlignment w:val="baseline"/>
              <w:rPr>
                <w:rFonts w:eastAsia="標楷體"/>
                <w:kern w:val="2"/>
                <w:szCs w:val="24"/>
              </w:rPr>
            </w:pPr>
            <w:r>
              <w:rPr>
                <w:rFonts w:eastAsia="標楷體"/>
                <w:kern w:val="2"/>
                <w:szCs w:val="24"/>
              </w:rPr>
              <w:t>記大功</w:t>
            </w:r>
          </w:p>
        </w:tc>
        <w:tc>
          <w:tcPr>
            <w:tcW w:w="701" w:type="dxa"/>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rFonts w:eastAsia="標楷體"/>
                <w:kern w:val="2"/>
                <w:szCs w:val="24"/>
              </w:rPr>
            </w:pPr>
            <w:r>
              <w:rPr>
                <w:rFonts w:eastAsia="標楷體"/>
                <w:kern w:val="2"/>
                <w:szCs w:val="24"/>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exact" w:line="240"/>
              <w:jc w:val="center"/>
              <w:textAlignment w:val="baseline"/>
              <w:rPr>
                <w:rFonts w:eastAsia="標楷體"/>
                <w:kern w:val="2"/>
                <w:szCs w:val="24"/>
              </w:rPr>
            </w:pPr>
            <w:r>
              <w:rPr>
                <w:rFonts w:eastAsia="標楷體"/>
                <w:kern w:val="2"/>
                <w:szCs w:val="24"/>
              </w:rPr>
              <w:t>記大</w:t>
            </w:r>
          </w:p>
          <w:p>
            <w:pPr>
              <w:pStyle w:val="Style19"/>
              <w:suppressAutoHyphens w:val="true"/>
              <w:spacing w:lineRule="exact" w:line="240"/>
              <w:jc w:val="center"/>
              <w:textAlignment w:val="baseline"/>
              <w:rPr>
                <w:rFonts w:eastAsia="標楷體"/>
                <w:kern w:val="2"/>
                <w:szCs w:val="24"/>
              </w:rPr>
            </w:pPr>
            <w:r>
              <w:rPr>
                <w:rFonts w:eastAsia="標楷體"/>
                <w:kern w:val="2"/>
                <w:szCs w:val="24"/>
              </w:rPr>
              <w:t>過</w:t>
            </w:r>
          </w:p>
        </w:tc>
        <w:tc>
          <w:tcPr>
            <w:tcW w:w="851" w:type="dxa"/>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rFonts w:eastAsia="標楷體"/>
                <w:kern w:val="2"/>
                <w:szCs w:val="24"/>
              </w:rPr>
            </w:pPr>
            <w:r>
              <w:rPr>
                <w:rFonts w:eastAsia="標楷體"/>
                <w:kern w:val="2"/>
                <w:szCs w:val="24"/>
              </w:rPr>
            </w:r>
          </w:p>
        </w:tc>
      </w:tr>
      <w:tr>
        <w:trPr/>
        <w:tc>
          <w:tcPr>
            <w:tcW w:w="10632" w:type="dxa"/>
            <w:gridSpan w:val="19"/>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exact" w:line="400"/>
              <w:textAlignment w:val="baseline"/>
              <w:rPr/>
            </w:pPr>
            <w:bookmarkStart w:id="8" w:name="OLE_LINK18"/>
            <w:bookmarkEnd w:id="8"/>
            <w:r>
              <w:rPr>
                <w:rStyle w:val="Style14"/>
                <w:rFonts w:eastAsia="標楷體"/>
                <w:kern w:val="2"/>
                <w:szCs w:val="24"/>
              </w:rPr>
              <w:t>個人重大具體優劣事蹟</w:t>
            </w:r>
          </w:p>
        </w:tc>
      </w:tr>
      <w:tr>
        <w:trPr>
          <w:trHeight w:val="649" w:hRule="atLeast"/>
        </w:trPr>
        <w:tc>
          <w:tcPr>
            <w:tcW w:w="10632" w:type="dxa"/>
            <w:gridSpan w:val="19"/>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400"/>
              <w:textAlignment w:val="baseline"/>
              <w:rPr>
                <w:rFonts w:eastAsia="標楷體"/>
                <w:kern w:val="2"/>
                <w:szCs w:val="24"/>
              </w:rPr>
            </w:pPr>
            <w:r>
              <w:rPr>
                <w:rFonts w:eastAsia="標楷體"/>
                <w:kern w:val="2"/>
                <w:szCs w:val="24"/>
              </w:rPr>
            </w:r>
          </w:p>
        </w:tc>
      </w:tr>
      <w:tr>
        <w:trPr/>
        <w:tc>
          <w:tcPr>
            <w:tcW w:w="10632" w:type="dxa"/>
            <w:gridSpan w:val="19"/>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400"/>
              <w:textAlignment w:val="baseline"/>
              <w:rPr/>
            </w:pPr>
            <w:r>
              <w:rPr>
                <w:rStyle w:val="Style14"/>
                <w:rFonts w:eastAsia="標楷體"/>
                <w:kern w:val="2"/>
                <w:szCs w:val="24"/>
              </w:rPr>
              <w:t>面談紀錄</w:t>
            </w:r>
          </w:p>
        </w:tc>
      </w:tr>
      <w:tr>
        <w:trPr>
          <w:trHeight w:val="809" w:hRule="atLeast"/>
        </w:trPr>
        <w:tc>
          <w:tcPr>
            <w:tcW w:w="10632" w:type="dxa"/>
            <w:gridSpan w:val="19"/>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500"/>
              <w:textAlignment w:val="baseline"/>
              <w:rPr>
                <w:rFonts w:eastAsia="標楷體"/>
                <w:kern w:val="2"/>
                <w:szCs w:val="24"/>
              </w:rPr>
            </w:pPr>
            <w:r>
              <w:rPr>
                <w:rFonts w:eastAsia="標楷體"/>
                <w:kern w:val="2"/>
                <w:szCs w:val="24"/>
              </w:rPr>
            </w:r>
          </w:p>
        </w:tc>
      </w:tr>
      <w:tr>
        <w:trPr>
          <w:trHeight w:val="446" w:hRule="atLeast"/>
        </w:trPr>
        <w:tc>
          <w:tcPr>
            <w:tcW w:w="1135" w:type="dxa"/>
            <w:vMerge w:val="restart"/>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exact" w:line="500"/>
              <w:jc w:val="center"/>
              <w:textAlignment w:val="baseline"/>
              <w:rPr>
                <w:rFonts w:eastAsia="標楷體"/>
                <w:kern w:val="2"/>
                <w:szCs w:val="24"/>
              </w:rPr>
            </w:pPr>
            <w:r>
              <w:rPr>
                <w:rFonts w:eastAsia="標楷體"/>
                <w:kern w:val="2"/>
                <w:szCs w:val="24"/>
              </w:rPr>
              <w:t>總評</w:t>
            </w:r>
          </w:p>
        </w:tc>
        <w:tc>
          <w:tcPr>
            <w:tcW w:w="803"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exact" w:line="440"/>
              <w:jc w:val="center"/>
              <w:textAlignment w:val="baseline"/>
              <w:rPr>
                <w:rFonts w:eastAsia="標楷體"/>
                <w:kern w:val="2"/>
                <w:szCs w:val="24"/>
              </w:rPr>
            </w:pPr>
            <w:r>
              <w:rPr>
                <w:rFonts w:eastAsia="標楷體"/>
                <w:kern w:val="2"/>
                <w:szCs w:val="24"/>
              </w:rPr>
              <w:t>評語</w:t>
            </w:r>
          </w:p>
        </w:tc>
        <w:tc>
          <w:tcPr>
            <w:tcW w:w="3874" w:type="dxa"/>
            <w:gridSpan w:val="7"/>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440"/>
              <w:jc w:val="center"/>
              <w:textAlignment w:val="baseline"/>
              <w:rPr/>
            </w:pPr>
            <w:r>
              <w:rPr>
                <w:rStyle w:val="Style14"/>
                <w:rFonts w:eastAsia="標楷體"/>
                <w:kern w:val="2"/>
                <w:szCs w:val="24"/>
              </w:rPr>
              <w:t>直屬長官綜合考評及具體建議</w:t>
            </w:r>
          </w:p>
        </w:tc>
        <w:tc>
          <w:tcPr>
            <w:tcW w:w="4820" w:type="dxa"/>
            <w:gridSpan w:val="9"/>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440"/>
              <w:jc w:val="center"/>
              <w:textAlignment w:val="baseline"/>
              <w:rPr/>
            </w:pPr>
            <w:r>
              <w:rPr>
                <w:rStyle w:val="Style14"/>
                <w:rFonts w:eastAsia="標楷體"/>
                <w:kern w:val="2"/>
                <w:szCs w:val="24"/>
              </w:rPr>
              <w:t>單位主管</w:t>
            </w:r>
            <w:r>
              <w:rPr>
                <w:rStyle w:val="Style14"/>
                <w:rFonts w:eastAsia="標楷體"/>
                <w:kern w:val="2"/>
                <w:szCs w:val="24"/>
              </w:rPr>
              <w:t>(</w:t>
            </w:r>
            <w:r>
              <w:rPr>
                <w:rStyle w:val="Style14"/>
                <w:rFonts w:eastAsia="標楷體"/>
                <w:kern w:val="2"/>
                <w:szCs w:val="24"/>
              </w:rPr>
              <w:t>機關首長</w:t>
            </w:r>
            <w:r>
              <w:rPr>
                <w:rStyle w:val="Style14"/>
                <w:rFonts w:eastAsia="標楷體"/>
                <w:kern w:val="2"/>
                <w:szCs w:val="24"/>
              </w:rPr>
              <w:t>)</w:t>
            </w:r>
            <w:r>
              <w:rPr>
                <w:rStyle w:val="Style14"/>
                <w:rFonts w:eastAsia="標楷體"/>
                <w:kern w:val="2"/>
                <w:szCs w:val="24"/>
              </w:rPr>
              <w:t>綜合考評及具體建議</w:t>
            </w:r>
          </w:p>
        </w:tc>
      </w:tr>
      <w:tr>
        <w:trPr>
          <w:trHeight w:val="703" w:hRule="atLeast"/>
        </w:trPr>
        <w:tc>
          <w:tcPr>
            <w:tcW w:w="11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803"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3874" w:type="dxa"/>
            <w:gridSpan w:val="7"/>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400"/>
              <w:jc w:val="center"/>
              <w:textAlignment w:val="baseline"/>
              <w:rPr>
                <w:rFonts w:eastAsia="標楷體"/>
                <w:kern w:val="2"/>
                <w:szCs w:val="24"/>
              </w:rPr>
            </w:pPr>
            <w:r>
              <w:rPr>
                <w:rFonts w:eastAsia="標楷體"/>
                <w:kern w:val="2"/>
                <w:szCs w:val="24"/>
              </w:rPr>
            </w:r>
          </w:p>
          <w:p>
            <w:pPr>
              <w:pStyle w:val="Style19"/>
              <w:suppressAutoHyphens w:val="true"/>
              <w:spacing w:lineRule="exact" w:line="400"/>
              <w:jc w:val="center"/>
              <w:textAlignment w:val="baseline"/>
              <w:rPr>
                <w:rFonts w:eastAsia="標楷體"/>
                <w:kern w:val="2"/>
                <w:szCs w:val="24"/>
              </w:rPr>
            </w:pPr>
            <w:r>
              <w:rPr>
                <w:rFonts w:eastAsia="標楷體"/>
                <w:kern w:val="2"/>
                <w:szCs w:val="24"/>
              </w:rPr>
              <w:t xml:space="preserve">                   </w:t>
            </w:r>
            <w:r>
              <w:rPr>
                <w:rFonts w:eastAsia="標楷體"/>
                <w:kern w:val="2"/>
                <w:szCs w:val="24"/>
              </w:rPr>
              <w:t>（請簽章）</w:t>
            </w:r>
          </w:p>
        </w:tc>
        <w:tc>
          <w:tcPr>
            <w:tcW w:w="4820" w:type="dxa"/>
            <w:gridSpan w:val="9"/>
            <w:tcBorders>
              <w:top w:val="single" w:sz="4" w:space="0" w:color="000000"/>
              <w:left w:val="single" w:sz="4" w:space="0" w:color="000000"/>
              <w:bottom w:val="single" w:sz="4" w:space="0" w:color="000000"/>
              <w:right w:val="single" w:sz="4" w:space="0" w:color="000000"/>
            </w:tcBorders>
          </w:tcPr>
          <w:p>
            <w:pPr>
              <w:pStyle w:val="Style19"/>
              <w:suppressAutoHyphens w:val="true"/>
              <w:spacing w:lineRule="exact" w:line="400"/>
              <w:jc w:val="center"/>
              <w:textAlignment w:val="baseline"/>
              <w:rPr>
                <w:rFonts w:eastAsia="標楷體"/>
                <w:kern w:val="2"/>
                <w:szCs w:val="24"/>
              </w:rPr>
            </w:pPr>
            <w:r>
              <w:rPr>
                <w:rFonts w:eastAsia="標楷體"/>
                <w:kern w:val="2"/>
                <w:szCs w:val="24"/>
              </w:rPr>
            </w:r>
          </w:p>
          <w:p>
            <w:pPr>
              <w:pStyle w:val="Style19"/>
              <w:suppressAutoHyphens w:val="true"/>
              <w:spacing w:lineRule="exact" w:line="400"/>
              <w:jc w:val="center"/>
              <w:textAlignment w:val="baseline"/>
              <w:rPr>
                <w:rFonts w:eastAsia="標楷體"/>
                <w:kern w:val="2"/>
                <w:szCs w:val="24"/>
              </w:rPr>
            </w:pPr>
            <w:r>
              <w:rPr>
                <w:rFonts w:eastAsia="標楷體"/>
                <w:kern w:val="2"/>
                <w:szCs w:val="24"/>
              </w:rPr>
              <w:t xml:space="preserve">                           </w:t>
            </w:r>
            <w:r>
              <w:rPr>
                <w:rFonts w:eastAsia="標楷體"/>
                <w:kern w:val="2"/>
                <w:szCs w:val="24"/>
              </w:rPr>
              <w:t>（請簽章）</w:t>
            </w:r>
          </w:p>
        </w:tc>
      </w:tr>
      <w:tr>
        <w:trPr>
          <w:trHeight w:val="795" w:hRule="atLeast"/>
        </w:trPr>
        <w:tc>
          <w:tcPr>
            <w:tcW w:w="11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exact" w:line="500"/>
              <w:jc w:val="center"/>
              <w:textAlignment w:val="baseline"/>
              <w:rPr>
                <w:rFonts w:eastAsia="標楷體"/>
                <w:kern w:val="2"/>
                <w:szCs w:val="24"/>
              </w:rPr>
            </w:pPr>
            <w:r>
              <w:rPr>
                <w:rFonts w:eastAsia="標楷體"/>
                <w:kern w:val="2"/>
                <w:szCs w:val="24"/>
              </w:rPr>
              <w:t>考評</w:t>
            </w:r>
          </w:p>
        </w:tc>
        <w:tc>
          <w:tcPr>
            <w:tcW w:w="3874" w:type="dxa"/>
            <w:gridSpan w:val="7"/>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exact" w:line="500"/>
              <w:jc w:val="right"/>
              <w:textAlignment w:val="baseline"/>
              <w:rPr>
                <w:rFonts w:eastAsia="標楷體"/>
                <w:kern w:val="2"/>
                <w:szCs w:val="24"/>
              </w:rPr>
            </w:pPr>
            <w:r>
              <w:rPr>
                <w:rFonts w:eastAsia="標楷體"/>
                <w:kern w:val="2"/>
                <w:szCs w:val="24"/>
              </w:rPr>
              <w:t xml:space="preserve">                         </w:t>
            </w:r>
            <w:r>
              <w:rPr>
                <w:rFonts w:eastAsia="標楷體"/>
                <w:kern w:val="2"/>
                <w:szCs w:val="24"/>
              </w:rPr>
              <w:t>分</w:t>
            </w:r>
          </w:p>
        </w:tc>
        <w:tc>
          <w:tcPr>
            <w:tcW w:w="4820" w:type="dxa"/>
            <w:gridSpan w:val="9"/>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exact" w:line="500"/>
              <w:jc w:val="right"/>
              <w:textAlignment w:val="baseline"/>
              <w:rPr>
                <w:rFonts w:eastAsia="標楷體"/>
                <w:kern w:val="2"/>
                <w:szCs w:val="24"/>
              </w:rPr>
            </w:pPr>
            <w:r>
              <w:rPr>
                <w:rFonts w:eastAsia="標楷體"/>
                <w:kern w:val="2"/>
                <w:szCs w:val="24"/>
              </w:rPr>
              <w:t xml:space="preserve">                                 </w:t>
            </w:r>
            <w:r>
              <w:rPr>
                <w:rFonts w:eastAsia="標楷體"/>
                <w:kern w:val="2"/>
                <w:szCs w:val="24"/>
              </w:rPr>
              <w:t>分</w:t>
            </w:r>
          </w:p>
        </w:tc>
      </w:tr>
    </w:tbl>
    <w:p>
      <w:pPr>
        <w:pStyle w:val="Style19"/>
        <w:suppressAutoHyphens w:val="true"/>
        <w:spacing w:lineRule="exact" w:line="400"/>
        <w:textAlignment w:val="baseline"/>
        <w:rPr>
          <w:rFonts w:eastAsia="標楷體"/>
          <w:kern w:val="2"/>
          <w:szCs w:val="24"/>
        </w:rPr>
      </w:pPr>
      <w:r>
        <w:rPr>
          <w:rFonts w:eastAsia="標楷體"/>
          <w:kern w:val="2"/>
          <w:szCs w:val="24"/>
        </w:rPr>
      </w:r>
    </w:p>
    <w:p>
      <w:pPr>
        <w:pStyle w:val="Style19"/>
        <w:suppressAutoHyphens w:val="true"/>
        <w:spacing w:lineRule="exact" w:line="400"/>
        <w:textAlignment w:val="baseline"/>
        <w:rPr/>
      </w:pPr>
      <w:bookmarkStart w:id="9" w:name="OLE_LINK11"/>
      <w:bookmarkEnd w:id="9"/>
      <w:r>
        <w:rPr>
          <w:rStyle w:val="Style14"/>
          <w:rFonts w:eastAsia="標楷體"/>
          <w:kern w:val="2"/>
          <w:szCs w:val="24"/>
        </w:rPr>
        <w:t>附記：</w:t>
      </w:r>
    </w:p>
    <w:p>
      <w:pPr>
        <w:pStyle w:val="Style19"/>
        <w:numPr>
          <w:ilvl w:val="0"/>
          <w:numId w:val="1"/>
        </w:numPr>
        <w:tabs>
          <w:tab w:val="clear" w:pos="50"/>
        </w:tabs>
        <w:suppressAutoHyphens w:val="true"/>
        <w:spacing w:lineRule="exact" w:line="400"/>
        <w:ind w:left="490" w:hanging="490"/>
        <w:textAlignment w:val="baseline"/>
        <w:rPr/>
      </w:pPr>
      <w:r>
        <w:rPr>
          <w:rStyle w:val="Style14"/>
          <w:rFonts w:eastAsia="標楷體"/>
          <w:kern w:val="2"/>
          <w:szCs w:val="24"/>
        </w:rPr>
        <w:t>依據「臺南市政府及所屬機關學校</w:t>
      </w:r>
      <w:bookmarkStart w:id="10" w:name="OLE_LINK5"/>
      <w:r>
        <w:rPr>
          <w:rStyle w:val="Style14"/>
          <w:rFonts w:eastAsia="標楷體"/>
          <w:kern w:val="2"/>
          <w:szCs w:val="24"/>
        </w:rPr>
        <w:t>約聘僱</w:t>
      </w:r>
      <w:bookmarkEnd w:id="10"/>
      <w:r>
        <w:rPr>
          <w:rStyle w:val="Style14"/>
          <w:rFonts w:eastAsia="標楷體"/>
          <w:kern w:val="2"/>
          <w:szCs w:val="24"/>
        </w:rPr>
        <w:t>人員進用管理考核要點」規定訂定。</w:t>
      </w:r>
    </w:p>
    <w:p>
      <w:pPr>
        <w:pStyle w:val="Style19"/>
        <w:numPr>
          <w:ilvl w:val="0"/>
          <w:numId w:val="1"/>
        </w:numPr>
        <w:tabs>
          <w:tab w:val="clear" w:pos="50"/>
        </w:tabs>
        <w:suppressAutoHyphens w:val="true"/>
        <w:spacing w:lineRule="exact" w:line="400"/>
        <w:ind w:left="490" w:hanging="490"/>
        <w:textAlignment w:val="baseline"/>
        <w:rPr/>
      </w:pPr>
      <w:bookmarkStart w:id="11" w:name="OLE_LINK11"/>
      <w:bookmarkEnd w:id="11"/>
      <w:r>
        <w:rPr>
          <w:rStyle w:val="Style14"/>
          <w:rFonts w:eastAsia="標楷體"/>
          <w:kern w:val="2"/>
          <w:szCs w:val="24"/>
        </w:rPr>
        <w:t>平時考核紀錄等級分為</w:t>
      </w:r>
      <w:r>
        <w:rPr>
          <w:rStyle w:val="Style14"/>
          <w:rFonts w:eastAsia="標楷體"/>
          <w:kern w:val="2"/>
          <w:szCs w:val="24"/>
        </w:rPr>
        <w:t>3</w:t>
      </w:r>
      <w:r>
        <w:rPr>
          <w:rStyle w:val="Style14"/>
          <w:rFonts w:eastAsia="標楷體"/>
          <w:kern w:val="2"/>
          <w:szCs w:val="24"/>
        </w:rPr>
        <w:t>級：</w:t>
      </w:r>
    </w:p>
    <w:p>
      <w:pPr>
        <w:pStyle w:val="Style19"/>
        <w:tabs>
          <w:tab w:val="clear" w:pos="50"/>
        </w:tabs>
        <w:suppressAutoHyphens w:val="true"/>
        <w:spacing w:lineRule="exact" w:line="400"/>
        <w:ind w:left="1205" w:hanging="715"/>
        <w:textAlignment w:val="baseline"/>
        <w:rPr/>
      </w:pPr>
      <w:r>
        <w:rPr>
          <w:rStyle w:val="Style14"/>
          <w:rFonts w:eastAsia="標楷體"/>
          <w:kern w:val="2"/>
          <w:szCs w:val="24"/>
        </w:rPr>
        <w:t>Ａ：表現明顯地超出要求水準。</w:t>
      </w:r>
    </w:p>
    <w:p>
      <w:pPr>
        <w:pStyle w:val="Style19"/>
        <w:tabs>
          <w:tab w:val="clear" w:pos="50"/>
        </w:tabs>
        <w:suppressAutoHyphens w:val="true"/>
        <w:spacing w:lineRule="exact" w:line="400"/>
        <w:ind w:left="1205" w:hanging="715"/>
        <w:textAlignment w:val="baseline"/>
        <w:rPr/>
      </w:pPr>
      <w:r>
        <w:rPr>
          <w:rStyle w:val="Style14"/>
          <w:rFonts w:eastAsia="標楷體"/>
          <w:kern w:val="2"/>
          <w:szCs w:val="24"/>
        </w:rPr>
        <w:t>Ｂ：表現尚能達到要求水準。</w:t>
      </w:r>
    </w:p>
    <w:p>
      <w:pPr>
        <w:pStyle w:val="Style19"/>
        <w:tabs>
          <w:tab w:val="clear" w:pos="50"/>
        </w:tabs>
        <w:suppressAutoHyphens w:val="true"/>
        <w:spacing w:lineRule="exact" w:line="400"/>
        <w:ind w:left="1205" w:hanging="715"/>
        <w:textAlignment w:val="baseline"/>
        <w:rPr/>
      </w:pPr>
      <w:r>
        <w:rPr>
          <w:rStyle w:val="Style14"/>
          <w:rFonts w:eastAsia="標楷體"/>
          <w:kern w:val="2"/>
          <w:szCs w:val="24"/>
        </w:rPr>
        <w:t>Ｃ：表現未符合基本要求。</w:t>
      </w:r>
    </w:p>
    <w:p>
      <w:pPr>
        <w:pStyle w:val="Style19"/>
        <w:numPr>
          <w:ilvl w:val="0"/>
          <w:numId w:val="1"/>
        </w:numPr>
        <w:tabs>
          <w:tab w:val="clear" w:pos="50"/>
        </w:tabs>
        <w:suppressAutoHyphens w:val="true"/>
        <w:spacing w:lineRule="exact" w:line="400"/>
        <w:ind w:left="490" w:hanging="490"/>
        <w:textAlignment w:val="baseline"/>
        <w:rPr/>
      </w:pPr>
      <w:bookmarkStart w:id="12" w:name="OLE_LINK12"/>
      <w:r>
        <w:rPr>
          <w:rStyle w:val="Style14"/>
          <w:rFonts w:eastAsia="標楷體"/>
          <w:kern w:val="2"/>
          <w:szCs w:val="24"/>
        </w:rPr>
        <w:t>受考人如有工作、品德、差勤等重大具體優劣事蹟，足資記錄者，應填列於「個人重大優劣事蹟欄」，以作為考評之重要參據。</w:t>
      </w:r>
    </w:p>
    <w:p>
      <w:pPr>
        <w:pStyle w:val="Style19"/>
        <w:numPr>
          <w:ilvl w:val="0"/>
          <w:numId w:val="1"/>
        </w:numPr>
        <w:tabs>
          <w:tab w:val="clear" w:pos="50"/>
        </w:tabs>
        <w:suppressAutoHyphens w:val="true"/>
        <w:spacing w:lineRule="exact" w:line="400"/>
        <w:ind w:left="490" w:hanging="490"/>
        <w:textAlignment w:val="baseline"/>
        <w:rPr/>
      </w:pPr>
      <w:r>
        <w:rPr>
          <w:rStyle w:val="Style14"/>
          <w:rFonts w:eastAsia="標楷體"/>
          <w:kern w:val="2"/>
          <w:szCs w:val="24"/>
        </w:rPr>
        <w:t>各級考評主管每年</w:t>
      </w:r>
      <w:r>
        <w:rPr>
          <w:rStyle w:val="Style14"/>
          <w:rFonts w:eastAsia="標楷體"/>
          <w:kern w:val="2"/>
          <w:szCs w:val="24"/>
        </w:rPr>
        <w:t>4</w:t>
      </w:r>
      <w:r>
        <w:rPr>
          <w:rStyle w:val="Style14"/>
          <w:rFonts w:eastAsia="標楷體"/>
          <w:kern w:val="2"/>
          <w:szCs w:val="24"/>
        </w:rPr>
        <w:t>月及</w:t>
      </w:r>
      <w:r>
        <w:rPr>
          <w:rStyle w:val="Style14"/>
          <w:rFonts w:eastAsia="標楷體"/>
          <w:kern w:val="2"/>
          <w:szCs w:val="24"/>
        </w:rPr>
        <w:t>8</w:t>
      </w:r>
      <w:r>
        <w:rPr>
          <w:rStyle w:val="Style14"/>
          <w:rFonts w:eastAsia="標楷體"/>
          <w:kern w:val="2"/>
          <w:szCs w:val="24"/>
        </w:rPr>
        <w:t>月應按考評內容評定各考核項目之等級，提出對受考人培訓或調整職務等具體建議。受考人當次考評項目中有</w:t>
      </w:r>
      <w:r>
        <w:rPr>
          <w:rStyle w:val="Style14"/>
          <w:rFonts w:eastAsia="標楷體"/>
          <w:kern w:val="2"/>
          <w:szCs w:val="24"/>
        </w:rPr>
        <w:t>C</w:t>
      </w:r>
      <w:r>
        <w:rPr>
          <w:rStyle w:val="Style14"/>
          <w:rFonts w:eastAsia="標楷體"/>
          <w:kern w:val="2"/>
          <w:szCs w:val="24"/>
        </w:rPr>
        <w:t>者，主管長官應與當事人面談，就其工作計畫、目標、方法及態度等進行溝通討論，面談內容及結果應紀錄於「面談紀錄」欄，以提升其工作績效，並作為年終考核評列等第及機關人事管理之重要依據。如受考人考評結果無提醒改進之必要者，則「面談紀錄」欄得不予填列。</w:t>
      </w:r>
    </w:p>
    <w:p>
      <w:pPr>
        <w:pStyle w:val="Style19"/>
        <w:numPr>
          <w:ilvl w:val="0"/>
          <w:numId w:val="1"/>
        </w:numPr>
        <w:tabs>
          <w:tab w:val="clear" w:pos="50"/>
        </w:tabs>
        <w:suppressAutoHyphens w:val="true"/>
        <w:spacing w:lineRule="exact" w:line="400"/>
        <w:ind w:left="490" w:hanging="490"/>
        <w:textAlignment w:val="baseline"/>
        <w:rPr/>
      </w:pPr>
      <w:r>
        <w:rPr>
          <w:rStyle w:val="Style14"/>
          <w:rFonts w:eastAsia="標楷體"/>
          <w:kern w:val="2"/>
          <w:szCs w:val="24"/>
        </w:rPr>
        <w:t>單位、職稱、姓名、到職日期及工作項目欄，由受考人填列。平時考核紀錄等級，</w:t>
      </w:r>
      <w:bookmarkStart w:id="13" w:name="OLE_LINK40"/>
      <w:r>
        <w:rPr>
          <w:rStyle w:val="Style14"/>
          <w:rFonts w:eastAsia="標楷體"/>
          <w:kern w:val="2"/>
          <w:szCs w:val="24"/>
        </w:rPr>
        <w:t>工作</w:t>
      </w:r>
      <w:bookmarkEnd w:id="13"/>
      <w:r>
        <w:rPr>
          <w:rStyle w:val="Style14"/>
          <w:rFonts w:eastAsia="標楷體"/>
          <w:kern w:val="2"/>
          <w:szCs w:val="24"/>
        </w:rPr>
        <w:t>績效與工作態度重大優劣事蹟，面談紀錄，綜合考評及具體建議則由主管人員填列；「直屬主管綜合考評及具體建議」欄由受考人之直屬主管予以考評填列並簽章，「單位主管綜合考評及具體建議」欄則由局、處、會主管予以考評填列並簽章。</w:t>
      </w:r>
      <w:bookmarkEnd w:id="12"/>
      <w:r>
        <w:br w:type="page"/>
      </w:r>
    </w:p>
    <w:p>
      <w:pPr>
        <w:pStyle w:val="Style19"/>
        <w:tabs>
          <w:tab w:val="clear" w:pos="50"/>
        </w:tabs>
        <w:spacing w:lineRule="auto"/>
        <w:ind w:left="3122" w:hanging="3122"/>
        <w:jc w:val="center"/>
        <w:rPr/>
      </w:pPr>
      <w:r>
        <w:rPr>
          <w:rStyle w:val="Style14"/>
          <w:rFonts w:eastAsia="標楷體"/>
          <w:b/>
          <w:bCs/>
          <w:kern w:val="2"/>
          <w:sz w:val="32"/>
          <w:szCs w:val="24"/>
        </w:rPr>
        <w:t>臺南市政府及所屬機關學校</w:t>
      </w:r>
      <w:r>
        <w:rPr>
          <w:rStyle w:val="Style14"/>
          <w:rFonts w:eastAsia="標楷體"/>
          <w:b/>
          <w:kern w:val="2"/>
          <w:sz w:val="32"/>
          <w:szCs w:val="32"/>
        </w:rPr>
        <w:t>約聘（僱）人員</w:t>
      </w:r>
      <w:r>
        <w:rPr>
          <w:rStyle w:val="Style14"/>
          <w:rFonts w:eastAsia="標楷體"/>
          <w:b/>
          <w:bCs/>
          <w:kern w:val="2"/>
          <w:sz w:val="32"/>
          <w:szCs w:val="24"/>
        </w:rPr>
        <w:t>年終考核表</w:t>
      </w:r>
      <w:r>
        <mc:AlternateContent>
          <mc:Choice Requires="wps">
            <w:drawing>
              <wp:anchor behindDoc="0" distT="0" distB="0" distL="0" distR="0" simplePos="0" locked="0" layoutInCell="1" allowOverlap="1" relativeHeight="3">
                <wp:simplePos x="0" y="0"/>
                <wp:positionH relativeFrom="column">
                  <wp:posOffset>5721350</wp:posOffset>
                </wp:positionH>
                <wp:positionV relativeFrom="paragraph">
                  <wp:posOffset>-305435</wp:posOffset>
                </wp:positionV>
                <wp:extent cx="925830" cy="382270"/>
                <wp:effectExtent l="0" t="0" r="0" b="0"/>
                <wp:wrapSquare wrapText="bothSides"/>
                <wp:docPr id="2" name="文字方塊 1"/>
                <a:graphic xmlns:a="http://schemas.openxmlformats.org/drawingml/2006/main">
                  <a:graphicData uri="http://schemas.microsoft.com/office/word/2010/wordprocessingShape">
                    <wps:wsp>
                      <wps:cNvSpPr txBox="1"/>
                      <wps:spPr>
                        <a:xfrm>
                          <a:off x="0" y="0"/>
                          <a:ext cx="925830" cy="382270"/>
                        </a:xfrm>
                        <a:prstGeom prst="rect"/>
                      </wps:spPr>
                      <wps:txbx>
                        <w:txbxContent>
                          <w:p>
                            <w:pPr>
                              <w:pStyle w:val="Style19"/>
                              <w:rPr>
                                <w:rFonts w:ascii="標楷體" w:hAnsi="標楷體" w:eastAsia="標楷體"/>
                              </w:rPr>
                            </w:pPr>
                            <w:r>
                              <w:rPr>
                                <w:rFonts w:ascii="標楷體" w:hAnsi="標楷體" w:eastAsia="標楷體"/>
                              </w:rPr>
                              <w:t>附表二</w:t>
                            </w:r>
                          </w:p>
                        </w:txbxContent>
                      </wps:txbx>
                      <wps:bodyPr anchor="t" lIns="91440" tIns="45720" rIns="91440" bIns="45720">
                        <a:noAutofit/>
                      </wps:bodyPr>
                    </wps:wsp>
                  </a:graphicData>
                </a:graphic>
              </wp:anchor>
            </w:drawing>
          </mc:Choice>
          <mc:Fallback>
            <w:pict>
              <v:rect style="position:absolute;rotation:0;width:72.9pt;height:30.1pt;mso-wrap-distance-left:0pt;mso-wrap-distance-right:0pt;mso-wrap-distance-top:0pt;mso-wrap-distance-bottom:0pt;margin-top:-24.05pt;mso-position-vertical-relative:text;margin-left:450.5pt;mso-position-horizontal-relative:text">
                <v:textbox>
                  <w:txbxContent>
                    <w:p>
                      <w:pPr>
                        <w:pStyle w:val="Style19"/>
                        <w:rPr>
                          <w:rFonts w:ascii="標楷體" w:hAnsi="標楷體" w:eastAsia="標楷體"/>
                        </w:rPr>
                      </w:pPr>
                      <w:r>
                        <w:rPr>
                          <w:rFonts w:ascii="標楷體" w:hAnsi="標楷體" w:eastAsia="標楷體"/>
                        </w:rPr>
                        <w:t>附表二</w:t>
                      </w:r>
                    </w:p>
                  </w:txbxContent>
                </v:textbox>
                <w10:wrap type="square"/>
              </v:rect>
            </w:pict>
          </mc:Fallback>
        </mc:AlternateContent>
      </w:r>
    </w:p>
    <w:tbl>
      <w:tblPr>
        <w:tblW w:w="10027" w:type="dxa"/>
        <w:jc w:val="center"/>
        <w:tblInd w:w="0" w:type="dxa"/>
        <w:tblCellMar>
          <w:top w:w="0" w:type="dxa"/>
          <w:left w:w="28" w:type="dxa"/>
          <w:bottom w:w="0" w:type="dxa"/>
          <w:right w:w="28" w:type="dxa"/>
        </w:tblCellMar>
      </w:tblPr>
      <w:tblGrid>
        <w:gridCol w:w="719"/>
        <w:gridCol w:w="1839"/>
        <w:gridCol w:w="45"/>
        <w:gridCol w:w="552"/>
        <w:gridCol w:w="707"/>
        <w:gridCol w:w="1268"/>
        <w:gridCol w:w="546"/>
        <w:gridCol w:w="177"/>
        <w:gridCol w:w="414"/>
        <w:gridCol w:w="779"/>
        <w:gridCol w:w="521"/>
        <w:gridCol w:w="252"/>
        <w:gridCol w:w="355"/>
        <w:gridCol w:w="1853"/>
      </w:tblGrid>
      <w:tr>
        <w:trPr>
          <w:trHeight w:val="596" w:hRule="atLeast"/>
          <w:cantSplit w:val="true"/>
        </w:trPr>
        <w:tc>
          <w:tcPr>
            <w:tcW w:w="719" w:type="dxa"/>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both"/>
              <w:textAlignment w:val="baseline"/>
              <w:rPr>
                <w:rFonts w:eastAsia="標楷體"/>
                <w:kern w:val="2"/>
                <w:szCs w:val="24"/>
              </w:rPr>
            </w:pPr>
            <w:r>
              <w:rPr>
                <w:rFonts w:eastAsia="標楷體"/>
                <w:kern w:val="2"/>
                <w:szCs w:val="24"/>
              </w:rPr>
              <w:t>單位</w:t>
            </w:r>
          </w:p>
        </w:tc>
        <w:tc>
          <w:tcPr>
            <w:tcW w:w="1839" w:type="dxa"/>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both"/>
              <w:textAlignment w:val="baseline"/>
              <w:rPr>
                <w:rFonts w:eastAsia="標楷體"/>
                <w:kern w:val="2"/>
                <w:szCs w:val="24"/>
              </w:rPr>
            </w:pPr>
            <w:r>
              <w:rPr>
                <w:rFonts w:eastAsia="標楷體"/>
                <w:kern w:val="2"/>
                <w:szCs w:val="24"/>
              </w:rPr>
            </w:r>
          </w:p>
        </w:tc>
        <w:tc>
          <w:tcPr>
            <w:tcW w:w="597" w:type="dxa"/>
            <w:gridSpan w:val="2"/>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both"/>
              <w:textAlignment w:val="baseline"/>
              <w:rPr>
                <w:rFonts w:eastAsia="標楷體"/>
                <w:kern w:val="2"/>
                <w:szCs w:val="24"/>
              </w:rPr>
            </w:pPr>
            <w:r>
              <w:rPr>
                <w:rFonts w:eastAsia="標楷體"/>
                <w:kern w:val="2"/>
                <w:szCs w:val="24"/>
              </w:rPr>
              <w:t>職稱</w:t>
            </w:r>
          </w:p>
        </w:tc>
        <w:tc>
          <w:tcPr>
            <w:tcW w:w="1975" w:type="dxa"/>
            <w:gridSpan w:val="2"/>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both"/>
              <w:textAlignment w:val="baseline"/>
              <w:rPr>
                <w:rFonts w:eastAsia="標楷體"/>
                <w:kern w:val="2"/>
                <w:szCs w:val="24"/>
              </w:rPr>
            </w:pPr>
            <w:r>
              <w:rPr>
                <w:rFonts w:eastAsia="標楷體"/>
                <w:kern w:val="2"/>
                <w:szCs w:val="24"/>
              </w:rPr>
            </w:r>
          </w:p>
        </w:tc>
        <w:tc>
          <w:tcPr>
            <w:tcW w:w="723" w:type="dxa"/>
            <w:gridSpan w:val="2"/>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both"/>
              <w:textAlignment w:val="baseline"/>
              <w:rPr>
                <w:rFonts w:eastAsia="標楷體"/>
                <w:kern w:val="2"/>
                <w:szCs w:val="24"/>
              </w:rPr>
            </w:pPr>
            <w:r>
              <w:rPr>
                <w:rFonts w:eastAsia="標楷體"/>
                <w:kern w:val="2"/>
                <w:szCs w:val="24"/>
              </w:rPr>
              <w:t>姓名</w:t>
            </w:r>
          </w:p>
        </w:tc>
        <w:tc>
          <w:tcPr>
            <w:tcW w:w="1714" w:type="dxa"/>
            <w:gridSpan w:val="3"/>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both"/>
              <w:textAlignment w:val="baseline"/>
              <w:rPr>
                <w:rFonts w:eastAsia="標楷體"/>
                <w:kern w:val="2"/>
                <w:szCs w:val="24"/>
              </w:rPr>
            </w:pPr>
            <w:r>
              <w:rPr>
                <w:rFonts w:eastAsia="標楷體"/>
                <w:kern w:val="2"/>
                <w:szCs w:val="24"/>
              </w:rPr>
            </w: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both"/>
              <w:textAlignment w:val="baseline"/>
              <w:rPr>
                <w:rFonts w:eastAsia="標楷體"/>
                <w:kern w:val="2"/>
                <w:szCs w:val="24"/>
              </w:rPr>
            </w:pPr>
            <w:r>
              <w:rPr>
                <w:rFonts w:eastAsia="標楷體"/>
                <w:kern w:val="2"/>
                <w:szCs w:val="24"/>
              </w:rPr>
              <w:t>到職</w:t>
            </w:r>
          </w:p>
          <w:p>
            <w:pPr>
              <w:pStyle w:val="Style19"/>
              <w:suppressAutoHyphens w:val="true"/>
              <w:spacing w:lineRule="auto"/>
              <w:jc w:val="both"/>
              <w:textAlignment w:val="baseline"/>
              <w:rPr>
                <w:rFonts w:eastAsia="標楷體"/>
                <w:kern w:val="2"/>
                <w:szCs w:val="24"/>
              </w:rPr>
            </w:pPr>
            <w:r>
              <w:rPr>
                <w:rFonts w:eastAsia="標楷體"/>
                <w:kern w:val="2"/>
                <w:szCs w:val="24"/>
              </w:rPr>
              <w:t>日期</w:t>
            </w:r>
          </w:p>
        </w:tc>
        <w:tc>
          <w:tcPr>
            <w:tcW w:w="1853" w:type="dxa"/>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center"/>
              <w:textAlignment w:val="baseline"/>
              <w:rPr>
                <w:rFonts w:eastAsia="標楷體"/>
                <w:kern w:val="2"/>
                <w:szCs w:val="24"/>
              </w:rPr>
            </w:pPr>
            <w:r>
              <w:rPr>
                <w:rFonts w:eastAsia="標楷體"/>
                <w:kern w:val="2"/>
                <w:szCs w:val="24"/>
              </w:rPr>
              <w:t>年 月 日</w:t>
            </w:r>
          </w:p>
        </w:tc>
      </w:tr>
      <w:tr>
        <w:trPr>
          <w:trHeight w:val="1402" w:hRule="atLeast"/>
          <w:cantSplit w:val="true"/>
        </w:trPr>
        <w:tc>
          <w:tcPr>
            <w:tcW w:w="719" w:type="dxa"/>
            <w:tcBorders>
              <w:top w:val="single" w:sz="4" w:space="0" w:color="000000"/>
              <w:left w:val="single" w:sz="4" w:space="0" w:color="000000"/>
              <w:bottom w:val="single" w:sz="4" w:space="0" w:color="000000"/>
              <w:right w:val="single" w:sz="4" w:space="0" w:color="000000"/>
            </w:tcBorders>
            <w:vAlign w:val="center"/>
          </w:tcPr>
          <w:p>
            <w:pPr>
              <w:pStyle w:val="Style19"/>
              <w:tabs>
                <w:tab w:val="clear" w:pos="50"/>
              </w:tabs>
              <w:suppressAutoHyphens w:val="true"/>
              <w:spacing w:lineRule="auto"/>
              <w:ind w:left="113" w:right="113" w:hanging="0"/>
              <w:jc w:val="center"/>
              <w:textAlignment w:val="baseline"/>
              <w:rPr>
                <w:rFonts w:eastAsia="標楷體"/>
                <w:kern w:val="2"/>
                <w:szCs w:val="24"/>
              </w:rPr>
            </w:pPr>
            <w:r>
              <w:rPr>
                <w:rFonts w:eastAsia="標楷體"/>
                <w:kern w:val="2"/>
                <w:szCs w:val="24"/>
              </w:rPr>
              <w:t>作項目</w:t>
            </w:r>
          </w:p>
          <w:p>
            <w:pPr>
              <w:pStyle w:val="Style19"/>
              <w:tabs>
                <w:tab w:val="clear" w:pos="50"/>
              </w:tabs>
              <w:suppressAutoHyphens w:val="true"/>
              <w:spacing w:lineRule="auto"/>
              <w:ind w:left="113" w:right="113" w:hanging="0"/>
              <w:jc w:val="center"/>
              <w:textAlignment w:val="baseline"/>
              <w:rPr>
                <w:rFonts w:eastAsia="標楷體"/>
                <w:kern w:val="2"/>
                <w:szCs w:val="24"/>
              </w:rPr>
            </w:pPr>
            <w:r>
              <w:rPr>
                <w:rFonts w:eastAsia="標楷體"/>
                <w:kern w:val="2"/>
                <w:szCs w:val="24"/>
              </w:rPr>
              <w:t>擔任工</w:t>
            </w:r>
          </w:p>
        </w:tc>
        <w:tc>
          <w:tcPr>
            <w:tcW w:w="9308" w:type="dxa"/>
            <w:gridSpan w:val="13"/>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center"/>
              <w:textAlignment w:val="baseline"/>
              <w:rPr>
                <w:rFonts w:eastAsia="標楷體"/>
                <w:kern w:val="2"/>
                <w:szCs w:val="24"/>
              </w:rPr>
            </w:pPr>
            <w:r>
              <w:rPr>
                <w:rFonts w:eastAsia="標楷體"/>
                <w:kern w:val="2"/>
                <w:szCs w:val="24"/>
              </w:rPr>
            </w:r>
          </w:p>
        </w:tc>
      </w:tr>
      <w:tr>
        <w:trPr>
          <w:trHeight w:val="495" w:hRule="atLeast"/>
          <w:cantSplit w:val="true"/>
        </w:trPr>
        <w:tc>
          <w:tcPr>
            <w:tcW w:w="719" w:type="dxa"/>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center"/>
              <w:textAlignment w:val="baseline"/>
              <w:rPr>
                <w:rFonts w:eastAsia="標楷體"/>
                <w:kern w:val="2"/>
                <w:szCs w:val="24"/>
              </w:rPr>
            </w:pPr>
            <w:r>
              <w:rPr>
                <w:rFonts w:eastAsia="標楷體"/>
                <w:kern w:val="2"/>
                <w:szCs w:val="24"/>
              </w:rPr>
              <w:t>項目</w:t>
            </w:r>
          </w:p>
        </w:tc>
        <w:tc>
          <w:tcPr>
            <w:tcW w:w="4957" w:type="dxa"/>
            <w:gridSpan w:val="6"/>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center"/>
              <w:textAlignment w:val="baseline"/>
              <w:rPr>
                <w:rFonts w:eastAsia="標楷體"/>
                <w:kern w:val="2"/>
                <w:szCs w:val="24"/>
              </w:rPr>
            </w:pPr>
            <w:r>
              <w:rPr>
                <w:rFonts w:eastAsia="標楷體"/>
                <w:kern w:val="2"/>
                <w:szCs w:val="24"/>
              </w:rPr>
              <w:t>考核內容</w:t>
            </w:r>
          </w:p>
        </w:tc>
        <w:tc>
          <w:tcPr>
            <w:tcW w:w="591" w:type="dxa"/>
            <w:gridSpan w:val="2"/>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both"/>
              <w:textAlignment w:val="baseline"/>
              <w:rPr>
                <w:rFonts w:eastAsia="標楷體"/>
                <w:kern w:val="2"/>
                <w:szCs w:val="24"/>
              </w:rPr>
            </w:pPr>
            <w:r>
              <w:rPr>
                <w:rFonts w:eastAsia="標楷體"/>
                <w:kern w:val="2"/>
                <w:szCs w:val="24"/>
              </w:rPr>
              <w:t>項目</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textAlignment w:val="baseline"/>
              <w:rPr>
                <w:rFonts w:eastAsia="標楷體"/>
                <w:kern w:val="2"/>
                <w:szCs w:val="24"/>
              </w:rPr>
            </w:pPr>
            <w:bookmarkStart w:id="14" w:name="OLE_LINK7"/>
            <w:r>
              <w:rPr>
                <w:rFonts w:eastAsia="標楷體"/>
                <w:kern w:val="2"/>
                <w:szCs w:val="24"/>
              </w:rPr>
              <w:t>細目</w:t>
            </w:r>
            <w:bookmarkEnd w:id="14"/>
          </w:p>
        </w:tc>
        <w:tc>
          <w:tcPr>
            <w:tcW w:w="773" w:type="dxa"/>
            <w:gridSpan w:val="2"/>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textAlignment w:val="baseline"/>
              <w:rPr>
                <w:rFonts w:eastAsia="標楷體"/>
                <w:kern w:val="2"/>
                <w:szCs w:val="24"/>
              </w:rPr>
            </w:pPr>
            <w:r>
              <w:rPr>
                <w:rFonts w:eastAsia="標楷體"/>
                <w:kern w:val="2"/>
                <w:szCs w:val="24"/>
              </w:rPr>
              <w:t>日數</w:t>
            </w:r>
          </w:p>
        </w:tc>
        <w:tc>
          <w:tcPr>
            <w:tcW w:w="2208" w:type="dxa"/>
            <w:gridSpan w:val="2"/>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both"/>
              <w:textAlignment w:val="baseline"/>
              <w:rPr>
                <w:rFonts w:eastAsia="標楷體"/>
                <w:kern w:val="2"/>
                <w:szCs w:val="24"/>
              </w:rPr>
            </w:pPr>
            <w:r>
              <w:rPr>
                <w:rFonts w:eastAsia="標楷體"/>
                <w:kern w:val="2"/>
                <w:szCs w:val="24"/>
              </w:rPr>
              <w:t>說明</w:t>
            </w:r>
          </w:p>
        </w:tc>
      </w:tr>
      <w:tr>
        <w:trPr>
          <w:trHeight w:val="568" w:hRule="atLeast"/>
          <w:cantSplit w:val="true"/>
        </w:trPr>
        <w:tc>
          <w:tcPr>
            <w:tcW w:w="719" w:type="dxa"/>
            <w:vMerge w:val="restart"/>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center"/>
              <w:textAlignment w:val="baseline"/>
              <w:rPr>
                <w:rFonts w:eastAsia="標楷體"/>
                <w:kern w:val="2"/>
                <w:szCs w:val="24"/>
              </w:rPr>
            </w:pPr>
            <w:r>
              <w:rPr>
                <w:rFonts w:eastAsia="標楷體"/>
                <w:kern w:val="2"/>
                <w:szCs w:val="24"/>
              </w:rPr>
              <w:t>工作績效與態度（五十分）</w:t>
            </w:r>
          </w:p>
        </w:tc>
        <w:tc>
          <w:tcPr>
            <w:tcW w:w="4957" w:type="dxa"/>
            <w:gridSpan w:val="6"/>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both"/>
              <w:textAlignment w:val="baseline"/>
              <w:rPr/>
            </w:pPr>
            <w:r>
              <w:rPr>
                <w:rStyle w:val="Style14"/>
                <w:rFonts w:ascii="標楷體" w:hAnsi="標楷體" w:eastAsia="標楷體"/>
                <w:spacing w:val="-4"/>
                <w:kern w:val="2"/>
                <w:szCs w:val="24"/>
              </w:rPr>
              <w:t>處理業務是否精確妥善及數量多寡。</w:t>
            </w:r>
          </w:p>
        </w:tc>
        <w:tc>
          <w:tcPr>
            <w:tcW w:w="59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Style19"/>
              <w:tabs>
                <w:tab w:val="clear" w:pos="50"/>
              </w:tabs>
              <w:suppressAutoHyphens w:val="true"/>
              <w:spacing w:lineRule="auto"/>
              <w:ind w:left="113" w:right="113" w:hanging="0"/>
              <w:jc w:val="center"/>
              <w:textAlignment w:val="baseline"/>
              <w:rPr/>
            </w:pPr>
            <w:r>
              <w:rPr>
                <w:rStyle w:val="Style14"/>
                <w:rFonts w:ascii="標楷體" w:hAnsi="標楷體" w:eastAsia="標楷體"/>
                <w:kern w:val="2"/>
                <w:szCs w:val="24"/>
              </w:rPr>
              <w:t>請假及曠職</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textAlignment w:val="baseline"/>
              <w:rPr>
                <w:rFonts w:eastAsia="標楷體"/>
                <w:kern w:val="2"/>
                <w:szCs w:val="24"/>
              </w:rPr>
            </w:pPr>
            <w:r>
              <w:rPr>
                <w:rFonts w:eastAsia="標楷體"/>
                <w:kern w:val="2"/>
                <w:szCs w:val="24"/>
              </w:rPr>
              <w:t>事假</w:t>
            </w:r>
          </w:p>
        </w:tc>
        <w:tc>
          <w:tcPr>
            <w:tcW w:w="773" w:type="dxa"/>
            <w:gridSpan w:val="2"/>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textAlignment w:val="baseline"/>
              <w:rPr>
                <w:rFonts w:eastAsia="標楷體"/>
                <w:kern w:val="2"/>
                <w:szCs w:val="24"/>
              </w:rPr>
            </w:pPr>
            <w:r>
              <w:rPr>
                <w:rFonts w:eastAsia="標楷體"/>
                <w:kern w:val="2"/>
                <w:szCs w:val="24"/>
              </w:rPr>
            </w:r>
          </w:p>
        </w:tc>
        <w:tc>
          <w:tcPr>
            <w:tcW w:w="220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both"/>
              <w:textAlignment w:val="baseline"/>
              <w:rPr/>
            </w:pPr>
            <w:r>
              <w:rPr>
                <w:rStyle w:val="Style14"/>
                <w:rFonts w:eastAsia="標楷體"/>
                <w:kern w:val="0"/>
                <w:sz w:val="22"/>
                <w:szCs w:val="22"/>
              </w:rPr>
              <w:t>有關事、病假</w:t>
            </w:r>
            <w:r>
              <w:rPr>
                <w:rStyle w:val="Style14"/>
                <w:rFonts w:eastAsia="標楷體"/>
                <w:kern w:val="2"/>
                <w:sz w:val="22"/>
                <w:szCs w:val="22"/>
              </w:rPr>
              <w:t>合計</w:t>
            </w:r>
            <w:r>
              <w:rPr>
                <w:rStyle w:val="Style14"/>
                <w:rFonts w:eastAsia="標楷體"/>
                <w:kern w:val="0"/>
                <w:sz w:val="22"/>
                <w:szCs w:val="22"/>
              </w:rPr>
              <w:t>之日數，應扣除家庭照顧假及生理假之日數。</w:t>
            </w:r>
          </w:p>
        </w:tc>
      </w:tr>
      <w:tr>
        <w:trPr>
          <w:trHeight w:val="534" w:hRule="atLeast"/>
          <w:cantSplit w:val="true"/>
        </w:trPr>
        <w:tc>
          <w:tcPr>
            <w:tcW w:w="7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957" w:type="dxa"/>
            <w:gridSpan w:val="6"/>
            <w:tcBorders>
              <w:left w:val="single" w:sz="4" w:space="0" w:color="000000"/>
              <w:bottom w:val="single" w:sz="4" w:space="0" w:color="000000"/>
              <w:right w:val="single" w:sz="4" w:space="0" w:color="000000"/>
            </w:tcBorders>
            <w:vAlign w:val="center"/>
          </w:tcPr>
          <w:p>
            <w:pPr>
              <w:pStyle w:val="Style19"/>
              <w:suppressAutoHyphens w:val="true"/>
              <w:spacing w:lineRule="auto"/>
              <w:jc w:val="both"/>
              <w:textAlignment w:val="baseline"/>
              <w:rPr/>
            </w:pPr>
            <w:r>
              <w:rPr>
                <w:rStyle w:val="Style14"/>
                <w:rFonts w:eastAsia="標楷體"/>
                <w:kern w:val="2"/>
                <w:szCs w:val="24"/>
              </w:rPr>
              <w:t>是否依限完成應辦之工作。</w:t>
            </w:r>
          </w:p>
        </w:tc>
        <w:tc>
          <w:tcPr>
            <w:tcW w:w="59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textAlignment w:val="baseline"/>
              <w:rPr>
                <w:rFonts w:eastAsia="標楷體"/>
                <w:kern w:val="2"/>
                <w:szCs w:val="24"/>
              </w:rPr>
            </w:pPr>
            <w:r>
              <w:rPr>
                <w:rFonts w:eastAsia="標楷體"/>
                <w:kern w:val="2"/>
                <w:szCs w:val="24"/>
              </w:rPr>
              <w:t>病假</w:t>
            </w:r>
          </w:p>
        </w:tc>
        <w:tc>
          <w:tcPr>
            <w:tcW w:w="773" w:type="dxa"/>
            <w:gridSpan w:val="2"/>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textAlignment w:val="baseline"/>
              <w:rPr>
                <w:rFonts w:eastAsia="標楷體"/>
                <w:kern w:val="2"/>
                <w:szCs w:val="24"/>
              </w:rPr>
            </w:pPr>
            <w:r>
              <w:rPr>
                <w:rFonts w:eastAsia="標楷體"/>
                <w:kern w:val="2"/>
                <w:szCs w:val="24"/>
              </w:rPr>
            </w:r>
          </w:p>
        </w:tc>
        <w:tc>
          <w:tcPr>
            <w:tcW w:w="220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rHeight w:val="626" w:hRule="atLeast"/>
          <w:cantSplit w:val="true"/>
        </w:trPr>
        <w:tc>
          <w:tcPr>
            <w:tcW w:w="7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957" w:type="dxa"/>
            <w:gridSpan w:val="6"/>
            <w:tcBorders>
              <w:left w:val="single" w:sz="4" w:space="0" w:color="000000"/>
              <w:bottom w:val="single" w:sz="4" w:space="0" w:color="000000"/>
              <w:right w:val="single" w:sz="4" w:space="0" w:color="000000"/>
            </w:tcBorders>
            <w:vAlign w:val="center"/>
          </w:tcPr>
          <w:p>
            <w:pPr>
              <w:pStyle w:val="Style19"/>
              <w:suppressAutoHyphens w:val="true"/>
              <w:spacing w:lineRule="auto"/>
              <w:jc w:val="both"/>
              <w:textAlignment w:val="baseline"/>
              <w:rPr/>
            </w:pPr>
            <w:r>
              <w:rPr>
                <w:rStyle w:val="Style14"/>
                <w:rFonts w:ascii="標楷體" w:hAnsi="標楷體" w:eastAsia="標楷體"/>
                <w:kern w:val="2"/>
                <w:szCs w:val="24"/>
              </w:rPr>
              <w:t>能否以熱心及同理心，為洽公民眾或同仁處理公務。</w:t>
            </w:r>
          </w:p>
        </w:tc>
        <w:tc>
          <w:tcPr>
            <w:tcW w:w="59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textAlignment w:val="baseline"/>
              <w:rPr>
                <w:rFonts w:eastAsia="標楷體"/>
                <w:kern w:val="2"/>
                <w:szCs w:val="24"/>
              </w:rPr>
            </w:pPr>
            <w:r>
              <w:rPr>
                <w:rFonts w:eastAsia="標楷體"/>
                <w:kern w:val="2"/>
                <w:szCs w:val="24"/>
              </w:rPr>
              <w:t>遲到</w:t>
            </w:r>
          </w:p>
        </w:tc>
        <w:tc>
          <w:tcPr>
            <w:tcW w:w="773" w:type="dxa"/>
            <w:gridSpan w:val="2"/>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textAlignment w:val="baseline"/>
              <w:rPr>
                <w:rFonts w:eastAsia="標楷體"/>
                <w:kern w:val="2"/>
                <w:szCs w:val="24"/>
              </w:rPr>
            </w:pPr>
            <w:r>
              <w:rPr>
                <w:rFonts w:eastAsia="標楷體"/>
                <w:kern w:val="2"/>
                <w:szCs w:val="24"/>
              </w:rPr>
            </w:r>
          </w:p>
        </w:tc>
        <w:tc>
          <w:tcPr>
            <w:tcW w:w="220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rHeight w:val="532" w:hRule="atLeast"/>
          <w:cantSplit w:val="true"/>
        </w:trPr>
        <w:tc>
          <w:tcPr>
            <w:tcW w:w="7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957" w:type="dxa"/>
            <w:gridSpan w:val="6"/>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both"/>
              <w:textAlignment w:val="baseline"/>
              <w:rPr/>
            </w:pPr>
            <w:r>
              <w:rPr>
                <w:rStyle w:val="Style14"/>
                <w:rFonts w:eastAsia="標楷體"/>
                <w:kern w:val="2"/>
                <w:szCs w:val="24"/>
              </w:rPr>
              <w:t>能否不待督促，自動自發積極辦理。</w:t>
            </w:r>
          </w:p>
        </w:tc>
        <w:tc>
          <w:tcPr>
            <w:tcW w:w="59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textAlignment w:val="baseline"/>
              <w:rPr>
                <w:rFonts w:eastAsia="標楷體"/>
                <w:kern w:val="2"/>
                <w:szCs w:val="24"/>
              </w:rPr>
            </w:pPr>
            <w:r>
              <w:rPr>
                <w:rFonts w:eastAsia="標楷體"/>
                <w:kern w:val="2"/>
                <w:szCs w:val="24"/>
              </w:rPr>
              <w:t>早退</w:t>
            </w:r>
          </w:p>
        </w:tc>
        <w:tc>
          <w:tcPr>
            <w:tcW w:w="773" w:type="dxa"/>
            <w:gridSpan w:val="2"/>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textAlignment w:val="baseline"/>
              <w:rPr>
                <w:rFonts w:eastAsia="標楷體"/>
                <w:kern w:val="2"/>
                <w:szCs w:val="24"/>
              </w:rPr>
            </w:pPr>
            <w:r>
              <w:rPr>
                <w:rFonts w:eastAsia="標楷體"/>
                <w:kern w:val="2"/>
                <w:szCs w:val="24"/>
              </w:rPr>
            </w:r>
          </w:p>
        </w:tc>
        <w:tc>
          <w:tcPr>
            <w:tcW w:w="220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rHeight w:val="637" w:hRule="atLeast"/>
          <w:cantSplit w:val="true"/>
        </w:trPr>
        <w:tc>
          <w:tcPr>
            <w:tcW w:w="7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957" w:type="dxa"/>
            <w:gridSpan w:val="6"/>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both"/>
              <w:textAlignment w:val="baseline"/>
              <w:rPr/>
            </w:pPr>
            <w:r>
              <w:rPr>
                <w:rStyle w:val="Style14"/>
                <w:rFonts w:eastAsia="標楷體"/>
                <w:kern w:val="2"/>
                <w:szCs w:val="24"/>
              </w:rPr>
              <w:t>能否任勞任怨，勇於負責。</w:t>
            </w:r>
          </w:p>
        </w:tc>
        <w:tc>
          <w:tcPr>
            <w:tcW w:w="59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textAlignment w:val="baseline"/>
              <w:rPr>
                <w:rFonts w:eastAsia="標楷體"/>
                <w:kern w:val="2"/>
                <w:szCs w:val="24"/>
              </w:rPr>
            </w:pPr>
            <w:r>
              <w:rPr>
                <w:rFonts w:eastAsia="標楷體"/>
                <w:kern w:val="2"/>
                <w:szCs w:val="24"/>
              </w:rPr>
              <w:t>曠職</w:t>
            </w:r>
          </w:p>
        </w:tc>
        <w:tc>
          <w:tcPr>
            <w:tcW w:w="773" w:type="dxa"/>
            <w:gridSpan w:val="2"/>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textAlignment w:val="baseline"/>
              <w:rPr>
                <w:rFonts w:eastAsia="標楷體"/>
                <w:kern w:val="2"/>
                <w:szCs w:val="24"/>
              </w:rPr>
            </w:pPr>
            <w:r>
              <w:rPr>
                <w:rFonts w:eastAsia="標楷體"/>
                <w:kern w:val="2"/>
                <w:szCs w:val="24"/>
              </w:rPr>
            </w:r>
          </w:p>
        </w:tc>
        <w:tc>
          <w:tcPr>
            <w:tcW w:w="220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rHeight w:val="553" w:hRule="atLeast"/>
          <w:cantSplit w:val="true"/>
        </w:trPr>
        <w:tc>
          <w:tcPr>
            <w:tcW w:w="7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957" w:type="dxa"/>
            <w:gridSpan w:val="6"/>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both"/>
              <w:textAlignment w:val="baseline"/>
              <w:rPr/>
            </w:pPr>
            <w:r>
              <w:rPr>
                <w:rStyle w:val="Style14"/>
                <w:rFonts w:ascii="標楷體" w:hAnsi="標楷體" w:eastAsia="標楷體"/>
                <w:kern w:val="2"/>
                <w:szCs w:val="24"/>
              </w:rPr>
              <w:t>能否與其他有關人員密切配合，具團隊精神及高度認同感。</w:t>
            </w:r>
          </w:p>
        </w:tc>
        <w:tc>
          <w:tcPr>
            <w:tcW w:w="59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Style19"/>
              <w:tabs>
                <w:tab w:val="clear" w:pos="50"/>
              </w:tabs>
              <w:suppressAutoHyphens w:val="true"/>
              <w:spacing w:lineRule="auto"/>
              <w:ind w:left="113" w:right="113" w:hanging="0"/>
              <w:jc w:val="center"/>
              <w:textAlignment w:val="baseline"/>
              <w:rPr>
                <w:rFonts w:eastAsia="標楷體"/>
                <w:kern w:val="2"/>
                <w:szCs w:val="24"/>
              </w:rPr>
            </w:pPr>
            <w:bookmarkStart w:id="15" w:name="OLE_LINK16"/>
            <w:r>
              <w:rPr>
                <w:rFonts w:eastAsia="標楷體"/>
                <w:kern w:val="2"/>
                <w:szCs w:val="24"/>
              </w:rPr>
              <w:t>平時考核獎懲</w:t>
            </w:r>
            <w:bookmarkEnd w:id="15"/>
          </w:p>
        </w:tc>
        <w:tc>
          <w:tcPr>
            <w:tcW w:w="779" w:type="dxa"/>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napToGrid w:val="false"/>
              <w:textAlignment w:val="baseline"/>
              <w:rPr/>
            </w:pPr>
            <w:r>
              <w:rPr>
                <w:rStyle w:val="Style14"/>
                <w:rFonts w:eastAsia="標楷體"/>
                <w:kern w:val="2"/>
                <w:szCs w:val="24"/>
              </w:rPr>
              <w:t>細目</w:t>
            </w:r>
          </w:p>
        </w:tc>
        <w:tc>
          <w:tcPr>
            <w:tcW w:w="773" w:type="dxa"/>
            <w:gridSpan w:val="2"/>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textAlignment w:val="baseline"/>
              <w:rPr>
                <w:rFonts w:eastAsia="標楷體"/>
                <w:kern w:val="2"/>
                <w:szCs w:val="24"/>
              </w:rPr>
            </w:pPr>
            <w:r>
              <w:rPr>
                <w:rFonts w:eastAsia="標楷體"/>
                <w:kern w:val="2"/>
                <w:szCs w:val="24"/>
              </w:rPr>
              <w:t>次數</w:t>
            </w:r>
          </w:p>
        </w:tc>
        <w:tc>
          <w:tcPr>
            <w:tcW w:w="220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both"/>
              <w:textAlignment w:val="baseline"/>
              <w:rPr>
                <w:rFonts w:ascii="標楷體" w:hAnsi="標楷體" w:eastAsia="標楷體"/>
                <w:kern w:val="2"/>
                <w:sz w:val="22"/>
                <w:szCs w:val="22"/>
              </w:rPr>
            </w:pPr>
            <w:r>
              <w:rPr>
                <w:rFonts w:ascii="標楷體" w:hAnsi="標楷體" w:eastAsia="標楷體"/>
                <w:kern w:val="2"/>
                <w:sz w:val="22"/>
                <w:szCs w:val="22"/>
              </w:rPr>
              <w:t>受考人平時考核獎懲，應併入年終考核增減分數。嘉獎或申誡一次者，考核時增減其分數一分；記功或記過一次者，增減其分數三分；記一大功或一大過者，增減其分數九分。</w:t>
            </w:r>
          </w:p>
          <w:p>
            <w:pPr>
              <w:pStyle w:val="Style19"/>
              <w:suppressAutoHyphens w:val="true"/>
              <w:spacing w:lineRule="auto"/>
              <w:jc w:val="both"/>
              <w:textAlignment w:val="baseline"/>
              <w:rPr>
                <w:rFonts w:ascii="標楷體" w:hAnsi="標楷體" w:eastAsia="標楷體" w:cs="細明體"/>
                <w:kern w:val="0"/>
                <w:sz w:val="22"/>
                <w:szCs w:val="22"/>
              </w:rPr>
            </w:pPr>
            <w:r>
              <w:rPr>
                <w:rFonts w:eastAsia="標楷體" w:cs="細明體" w:ascii="標楷體" w:hAnsi="標楷體"/>
                <w:kern w:val="0"/>
                <w:sz w:val="22"/>
                <w:szCs w:val="22"/>
              </w:rPr>
            </w:r>
          </w:p>
          <w:p>
            <w:pPr>
              <w:pStyle w:val="Style19"/>
              <w:suppressAutoHyphens w:val="true"/>
              <w:spacing w:lineRule="auto"/>
              <w:jc w:val="both"/>
              <w:textAlignment w:val="baseline"/>
              <w:rPr/>
            </w:pPr>
            <w:r>
              <w:rPr>
                <w:rStyle w:val="Style14"/>
                <w:rFonts w:ascii="標楷體" w:hAnsi="標楷體" w:cs="細明體" w:eastAsia="標楷體"/>
                <w:kern w:val="0"/>
                <w:sz w:val="22"/>
                <w:szCs w:val="22"/>
              </w:rPr>
              <w:t>前項增分或減分，應於主管人員就考核表項目評擬時為之。獎懲之增減分</w:t>
            </w:r>
            <w:r>
              <w:rPr>
                <w:rStyle w:val="Style14"/>
                <w:rFonts w:ascii="標楷體" w:hAnsi="標楷體" w:cs="新細明體" w:eastAsia="標楷體"/>
                <w:kern w:val="0"/>
                <w:sz w:val="22"/>
                <w:szCs w:val="22"/>
              </w:rPr>
              <w:t>數應包含於評分之內。</w:t>
            </w:r>
          </w:p>
        </w:tc>
      </w:tr>
      <w:tr>
        <w:trPr>
          <w:trHeight w:val="670" w:hRule="atLeast"/>
          <w:cantSplit w:val="true"/>
        </w:trPr>
        <w:tc>
          <w:tcPr>
            <w:tcW w:w="7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957" w:type="dxa"/>
            <w:gridSpan w:val="6"/>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both"/>
              <w:textAlignment w:val="baseline"/>
              <w:rPr/>
            </w:pPr>
            <w:r>
              <w:rPr>
                <w:rStyle w:val="Style14"/>
                <w:rFonts w:eastAsia="標楷體"/>
                <w:kern w:val="2"/>
                <w:szCs w:val="24"/>
              </w:rPr>
              <w:t>對應辦業務能否不斷檢討虛心研究，力求改進。</w:t>
            </w:r>
          </w:p>
        </w:tc>
        <w:tc>
          <w:tcPr>
            <w:tcW w:w="59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napToGrid w:val="false"/>
              <w:textAlignment w:val="baseline"/>
              <w:rPr>
                <w:rFonts w:ascii="標楷體" w:hAnsi="標楷體" w:eastAsia="標楷體"/>
                <w:kern w:val="2"/>
                <w:szCs w:val="24"/>
              </w:rPr>
            </w:pPr>
            <w:r>
              <w:rPr>
                <w:rFonts w:ascii="標楷體" w:hAnsi="標楷體" w:eastAsia="標楷體"/>
                <w:kern w:val="2"/>
                <w:szCs w:val="24"/>
              </w:rPr>
              <w:t>嘉獎</w:t>
            </w:r>
          </w:p>
        </w:tc>
        <w:tc>
          <w:tcPr>
            <w:tcW w:w="773" w:type="dxa"/>
            <w:gridSpan w:val="2"/>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textAlignment w:val="baseline"/>
              <w:rPr>
                <w:rFonts w:eastAsia="標楷體"/>
                <w:kern w:val="2"/>
                <w:szCs w:val="24"/>
              </w:rPr>
            </w:pPr>
            <w:r>
              <w:rPr>
                <w:rFonts w:eastAsia="標楷體"/>
                <w:kern w:val="2"/>
                <w:szCs w:val="24"/>
              </w:rPr>
            </w:r>
          </w:p>
        </w:tc>
        <w:tc>
          <w:tcPr>
            <w:tcW w:w="220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rHeight w:val="636" w:hRule="atLeast"/>
          <w:cantSplit w:val="true"/>
        </w:trPr>
        <w:tc>
          <w:tcPr>
            <w:tcW w:w="719" w:type="dxa"/>
            <w:vMerge w:val="restart"/>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center"/>
              <w:textAlignment w:val="baseline"/>
              <w:rPr>
                <w:rFonts w:eastAsia="標楷體"/>
                <w:kern w:val="2"/>
                <w:szCs w:val="24"/>
              </w:rPr>
            </w:pPr>
            <w:r>
              <w:rPr>
                <w:rFonts w:eastAsia="標楷體"/>
                <w:kern w:val="2"/>
                <w:szCs w:val="24"/>
              </w:rPr>
              <w:t>品德操守</w:t>
            </w:r>
          </w:p>
          <w:p>
            <w:pPr>
              <w:pStyle w:val="Style19"/>
              <w:suppressAutoHyphens w:val="true"/>
              <w:spacing w:lineRule="auto"/>
              <w:jc w:val="center"/>
              <w:textAlignment w:val="baseline"/>
              <w:rPr>
                <w:rFonts w:eastAsia="標楷體"/>
                <w:kern w:val="2"/>
                <w:szCs w:val="24"/>
              </w:rPr>
            </w:pPr>
            <w:r>
              <w:rPr>
                <w:rFonts w:eastAsia="標楷體"/>
                <w:kern w:val="2"/>
                <w:szCs w:val="24"/>
              </w:rPr>
              <w:t>(</w:t>
            </w:r>
            <w:r>
              <w:rPr>
                <w:rFonts w:eastAsia="標楷體"/>
                <w:kern w:val="2"/>
                <w:szCs w:val="24"/>
              </w:rPr>
              <w:t>二十五分</w:t>
            </w:r>
            <w:r>
              <w:rPr>
                <w:rFonts w:eastAsia="標楷體"/>
                <w:kern w:val="2"/>
                <w:szCs w:val="24"/>
              </w:rPr>
              <w:t>)</w:t>
            </w:r>
          </w:p>
        </w:tc>
        <w:tc>
          <w:tcPr>
            <w:tcW w:w="4957" w:type="dxa"/>
            <w:gridSpan w:val="6"/>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both"/>
              <w:textAlignment w:val="baseline"/>
              <w:rPr>
                <w:rFonts w:ascii="標楷體" w:hAnsi="標楷體" w:eastAsia="標楷體"/>
                <w:kern w:val="2"/>
                <w:szCs w:val="24"/>
              </w:rPr>
            </w:pPr>
            <w:r>
              <w:rPr>
                <w:rFonts w:ascii="標楷體" w:hAnsi="標楷體" w:eastAsia="標楷體"/>
                <w:kern w:val="2"/>
                <w:szCs w:val="24"/>
              </w:rPr>
              <w:t>是否敦厚謙和，謹慎懇摯。</w:t>
            </w:r>
          </w:p>
        </w:tc>
        <w:tc>
          <w:tcPr>
            <w:tcW w:w="59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napToGrid w:val="false"/>
              <w:textAlignment w:val="baseline"/>
              <w:rPr>
                <w:rFonts w:ascii="標楷體" w:hAnsi="標楷體" w:eastAsia="標楷體"/>
                <w:kern w:val="2"/>
                <w:szCs w:val="24"/>
              </w:rPr>
            </w:pPr>
            <w:r>
              <w:rPr>
                <w:rFonts w:ascii="標楷體" w:hAnsi="標楷體" w:eastAsia="標楷體"/>
                <w:kern w:val="2"/>
                <w:szCs w:val="24"/>
              </w:rPr>
              <w:t>記功</w:t>
            </w:r>
          </w:p>
        </w:tc>
        <w:tc>
          <w:tcPr>
            <w:tcW w:w="773" w:type="dxa"/>
            <w:gridSpan w:val="2"/>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textAlignment w:val="baseline"/>
              <w:rPr>
                <w:rFonts w:eastAsia="標楷體"/>
                <w:kern w:val="2"/>
                <w:szCs w:val="24"/>
              </w:rPr>
            </w:pPr>
            <w:r>
              <w:rPr>
                <w:rFonts w:eastAsia="標楷體"/>
                <w:kern w:val="2"/>
                <w:szCs w:val="24"/>
              </w:rPr>
            </w:r>
          </w:p>
        </w:tc>
        <w:tc>
          <w:tcPr>
            <w:tcW w:w="220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rHeight w:val="759" w:hRule="atLeast"/>
          <w:cantSplit w:val="true"/>
        </w:trPr>
        <w:tc>
          <w:tcPr>
            <w:tcW w:w="7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957" w:type="dxa"/>
            <w:gridSpan w:val="6"/>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both"/>
              <w:textAlignment w:val="baseline"/>
              <w:rPr>
                <w:rFonts w:ascii="標楷體" w:hAnsi="標楷體" w:eastAsia="標楷體"/>
                <w:kern w:val="2"/>
                <w:szCs w:val="24"/>
              </w:rPr>
            </w:pPr>
            <w:r>
              <w:rPr>
                <w:rFonts w:ascii="標楷體" w:hAnsi="標楷體" w:eastAsia="標楷體"/>
                <w:kern w:val="2"/>
                <w:szCs w:val="24"/>
              </w:rPr>
              <w:t>是否廉潔自持，無收受不當利益或兼職經主管規勸仍未改善之情事。</w:t>
            </w:r>
          </w:p>
        </w:tc>
        <w:tc>
          <w:tcPr>
            <w:tcW w:w="59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napToGrid w:val="false"/>
              <w:textAlignment w:val="baseline"/>
              <w:rPr>
                <w:rFonts w:ascii="標楷體" w:hAnsi="標楷體" w:eastAsia="標楷體"/>
                <w:kern w:val="2"/>
                <w:szCs w:val="24"/>
              </w:rPr>
            </w:pPr>
            <w:r>
              <w:rPr>
                <w:rFonts w:ascii="標楷體" w:hAnsi="標楷體" w:eastAsia="標楷體"/>
                <w:kern w:val="2"/>
                <w:szCs w:val="24"/>
              </w:rPr>
              <w:t>記大功</w:t>
            </w:r>
          </w:p>
        </w:tc>
        <w:tc>
          <w:tcPr>
            <w:tcW w:w="773" w:type="dxa"/>
            <w:gridSpan w:val="2"/>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textAlignment w:val="baseline"/>
              <w:rPr>
                <w:rFonts w:eastAsia="標楷體"/>
                <w:kern w:val="2"/>
                <w:szCs w:val="24"/>
              </w:rPr>
            </w:pPr>
            <w:r>
              <w:rPr>
                <w:rFonts w:eastAsia="標楷體"/>
                <w:kern w:val="2"/>
                <w:szCs w:val="24"/>
              </w:rPr>
            </w:r>
          </w:p>
        </w:tc>
        <w:tc>
          <w:tcPr>
            <w:tcW w:w="220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rHeight w:val="842" w:hRule="atLeast"/>
          <w:cantSplit w:val="true"/>
        </w:trPr>
        <w:tc>
          <w:tcPr>
            <w:tcW w:w="7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957" w:type="dxa"/>
            <w:gridSpan w:val="6"/>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both"/>
              <w:textAlignment w:val="baseline"/>
              <w:rPr>
                <w:rFonts w:ascii="標楷體" w:hAnsi="標楷體" w:eastAsia="標楷體"/>
                <w:kern w:val="2"/>
                <w:szCs w:val="24"/>
              </w:rPr>
            </w:pPr>
            <w:r>
              <w:rPr>
                <w:rFonts w:ascii="標楷體" w:hAnsi="標楷體" w:eastAsia="標楷體"/>
                <w:kern w:val="2"/>
                <w:szCs w:val="24"/>
              </w:rPr>
              <w:t>能否虛心接受長官指導及指揮調度處理公務。</w:t>
            </w:r>
          </w:p>
        </w:tc>
        <w:tc>
          <w:tcPr>
            <w:tcW w:w="59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napToGrid w:val="false"/>
              <w:textAlignment w:val="baseline"/>
              <w:rPr>
                <w:rFonts w:ascii="標楷體" w:hAnsi="標楷體" w:eastAsia="標楷體"/>
                <w:kern w:val="2"/>
                <w:szCs w:val="24"/>
              </w:rPr>
            </w:pPr>
            <w:r>
              <w:rPr>
                <w:rFonts w:ascii="標楷體" w:hAnsi="標楷體" w:eastAsia="標楷體"/>
                <w:kern w:val="2"/>
                <w:szCs w:val="24"/>
              </w:rPr>
              <w:t>申誡</w:t>
            </w:r>
          </w:p>
        </w:tc>
        <w:tc>
          <w:tcPr>
            <w:tcW w:w="773" w:type="dxa"/>
            <w:gridSpan w:val="2"/>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textAlignment w:val="baseline"/>
              <w:rPr>
                <w:rFonts w:eastAsia="標楷體"/>
                <w:kern w:val="2"/>
                <w:szCs w:val="24"/>
              </w:rPr>
            </w:pPr>
            <w:r>
              <w:rPr>
                <w:rFonts w:eastAsia="標楷體"/>
                <w:kern w:val="2"/>
                <w:szCs w:val="24"/>
              </w:rPr>
            </w:r>
          </w:p>
        </w:tc>
        <w:tc>
          <w:tcPr>
            <w:tcW w:w="220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rHeight w:val="582" w:hRule="atLeast"/>
          <w:cantSplit w:val="true"/>
        </w:trPr>
        <w:tc>
          <w:tcPr>
            <w:tcW w:w="719" w:type="dxa"/>
            <w:vMerge w:val="restart"/>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center"/>
              <w:textAlignment w:val="baseline"/>
              <w:rPr>
                <w:rFonts w:eastAsia="標楷體"/>
                <w:kern w:val="2"/>
                <w:szCs w:val="24"/>
              </w:rPr>
            </w:pPr>
            <w:r>
              <w:rPr>
                <w:rFonts w:eastAsia="標楷體"/>
                <w:kern w:val="2"/>
                <w:szCs w:val="24"/>
              </w:rPr>
              <w:t>差勤（二十五分）</w:t>
            </w:r>
          </w:p>
        </w:tc>
        <w:tc>
          <w:tcPr>
            <w:tcW w:w="4957" w:type="dxa"/>
            <w:gridSpan w:val="6"/>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both"/>
              <w:textAlignment w:val="baseline"/>
              <w:rPr>
                <w:rFonts w:eastAsia="標楷體"/>
                <w:kern w:val="2"/>
                <w:szCs w:val="24"/>
              </w:rPr>
            </w:pPr>
            <w:r>
              <w:rPr>
                <w:rFonts w:eastAsia="標楷體"/>
                <w:kern w:val="2"/>
                <w:szCs w:val="24"/>
              </w:rPr>
              <w:t>能否認真勤慎，熱誠任事，不遲到早退。</w:t>
            </w:r>
          </w:p>
        </w:tc>
        <w:tc>
          <w:tcPr>
            <w:tcW w:w="59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779" w:type="dxa"/>
            <w:vMerge w:val="restart"/>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napToGrid w:val="false"/>
              <w:spacing w:lineRule="exact" w:line="400"/>
              <w:textAlignment w:val="baseline"/>
              <w:rPr/>
            </w:pPr>
            <w:r>
              <w:rPr>
                <w:rStyle w:val="Style14"/>
                <w:rFonts w:ascii="標楷體" w:hAnsi="標楷體" w:eastAsia="標楷體"/>
                <w:kern w:val="2"/>
                <w:szCs w:val="22"/>
              </w:rPr>
              <w:t>記過</w:t>
            </w:r>
          </w:p>
        </w:tc>
        <w:tc>
          <w:tcPr>
            <w:tcW w:w="773"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exact" w:line="400"/>
              <w:textAlignment w:val="baseline"/>
              <w:rPr>
                <w:rFonts w:eastAsia="標楷體"/>
                <w:kern w:val="2"/>
                <w:szCs w:val="24"/>
              </w:rPr>
            </w:pPr>
            <w:r>
              <w:rPr>
                <w:rFonts w:eastAsia="標楷體"/>
                <w:kern w:val="2"/>
                <w:szCs w:val="24"/>
              </w:rPr>
            </w:r>
          </w:p>
        </w:tc>
        <w:tc>
          <w:tcPr>
            <w:tcW w:w="220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rHeight w:val="276" w:hRule="atLeast"/>
          <w:cantSplit w:val="true"/>
        </w:trPr>
        <w:tc>
          <w:tcPr>
            <w:tcW w:w="7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957" w:type="dxa"/>
            <w:gridSpan w:val="6"/>
            <w:vMerge w:val="restart"/>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both"/>
              <w:textAlignment w:val="baseline"/>
              <w:rPr/>
            </w:pPr>
            <w:r>
              <w:rPr>
                <w:rStyle w:val="Style14"/>
                <w:rFonts w:eastAsia="標楷體"/>
                <w:kern w:val="2"/>
                <w:szCs w:val="24"/>
              </w:rPr>
              <w:t>能否於長官已核准</w:t>
            </w:r>
            <w:r>
              <w:rPr>
                <w:rStyle w:val="Style14"/>
                <w:rFonts w:eastAsia="標楷體"/>
                <w:kern w:val="2"/>
                <w:szCs w:val="24"/>
              </w:rPr>
              <w:t>(</w:t>
            </w:r>
            <w:r>
              <w:rPr>
                <w:rStyle w:val="Style14"/>
                <w:rFonts w:eastAsia="標楷體"/>
                <w:kern w:val="2"/>
                <w:szCs w:val="24"/>
              </w:rPr>
              <w:t>指派</w:t>
            </w:r>
            <w:r>
              <w:rPr>
                <w:rStyle w:val="Style14"/>
                <w:rFonts w:eastAsia="標楷體"/>
                <w:kern w:val="2"/>
                <w:szCs w:val="24"/>
              </w:rPr>
              <w:t>)</w:t>
            </w:r>
            <w:r>
              <w:rPr>
                <w:rStyle w:val="Style14"/>
                <w:rFonts w:eastAsia="標楷體"/>
                <w:kern w:val="2"/>
                <w:szCs w:val="24"/>
              </w:rPr>
              <w:t>加班處理公務時，不推諉搪塞。</w:t>
            </w:r>
          </w:p>
        </w:tc>
        <w:tc>
          <w:tcPr>
            <w:tcW w:w="59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77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773"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20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rHeight w:val="424" w:hRule="atLeast"/>
          <w:cantSplit w:val="true"/>
        </w:trPr>
        <w:tc>
          <w:tcPr>
            <w:tcW w:w="7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957" w:type="dxa"/>
            <w:gridSpan w:val="6"/>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59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779" w:type="dxa"/>
            <w:vMerge w:val="restart"/>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napToGrid w:val="false"/>
              <w:textAlignment w:val="baseline"/>
              <w:rPr>
                <w:rFonts w:ascii="標楷體" w:hAnsi="標楷體" w:eastAsia="標楷體"/>
                <w:kern w:val="2"/>
                <w:szCs w:val="24"/>
              </w:rPr>
            </w:pPr>
            <w:r>
              <w:rPr>
                <w:rFonts w:ascii="標楷體" w:hAnsi="標楷體" w:eastAsia="標楷體"/>
                <w:kern w:val="2"/>
                <w:szCs w:val="24"/>
              </w:rPr>
              <w:t>記大過</w:t>
            </w:r>
          </w:p>
        </w:tc>
        <w:tc>
          <w:tcPr>
            <w:tcW w:w="773"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textAlignment w:val="baseline"/>
              <w:rPr>
                <w:rFonts w:eastAsia="標楷體"/>
                <w:kern w:val="2"/>
                <w:szCs w:val="24"/>
              </w:rPr>
            </w:pPr>
            <w:r>
              <w:rPr>
                <w:rFonts w:eastAsia="標楷體"/>
                <w:kern w:val="2"/>
                <w:szCs w:val="24"/>
              </w:rPr>
            </w:r>
          </w:p>
        </w:tc>
        <w:tc>
          <w:tcPr>
            <w:tcW w:w="220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rHeight w:val="404" w:hRule="atLeast"/>
          <w:cantSplit w:val="true"/>
        </w:trPr>
        <w:tc>
          <w:tcPr>
            <w:tcW w:w="7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957" w:type="dxa"/>
            <w:gridSpan w:val="6"/>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both"/>
              <w:textAlignment w:val="baseline"/>
              <w:rPr>
                <w:rFonts w:eastAsia="標楷體"/>
                <w:kern w:val="2"/>
                <w:szCs w:val="24"/>
              </w:rPr>
            </w:pPr>
            <w:r>
              <w:rPr>
                <w:rFonts w:eastAsia="標楷體"/>
                <w:kern w:val="2"/>
                <w:szCs w:val="24"/>
              </w:rPr>
              <w:t>能否在辦公時間，不藉機離開辦公處所處理私務。</w:t>
            </w:r>
          </w:p>
        </w:tc>
        <w:tc>
          <w:tcPr>
            <w:tcW w:w="59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77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773"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20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rHeight w:val="432" w:hRule="atLeast"/>
          <w:cantSplit w:val="true"/>
        </w:trPr>
        <w:tc>
          <w:tcPr>
            <w:tcW w:w="6267" w:type="dxa"/>
            <w:gridSpan w:val="9"/>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center"/>
              <w:textAlignment w:val="baseline"/>
              <w:rPr>
                <w:rFonts w:eastAsia="標楷體"/>
                <w:kern w:val="2"/>
                <w:szCs w:val="24"/>
              </w:rPr>
            </w:pPr>
            <w:r>
              <w:rPr>
                <w:rFonts w:eastAsia="標楷體"/>
                <w:kern w:val="2"/>
                <w:szCs w:val="24"/>
              </w:rPr>
              <w:t>個人績效（具體事蹟）</w:t>
            </w:r>
          </w:p>
        </w:tc>
        <w:tc>
          <w:tcPr>
            <w:tcW w:w="3760" w:type="dxa"/>
            <w:gridSpan w:val="5"/>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center"/>
              <w:textAlignment w:val="baseline"/>
              <w:rPr>
                <w:rFonts w:eastAsia="標楷體"/>
                <w:kern w:val="2"/>
                <w:szCs w:val="24"/>
              </w:rPr>
            </w:pPr>
            <w:r>
              <w:rPr>
                <w:rFonts w:eastAsia="標楷體"/>
                <w:kern w:val="2"/>
                <w:szCs w:val="24"/>
              </w:rPr>
              <w:t>考評建議</w:t>
            </w:r>
          </w:p>
        </w:tc>
      </w:tr>
      <w:tr>
        <w:trPr>
          <w:trHeight w:val="1239" w:hRule="atLeast"/>
          <w:cantSplit w:val="true"/>
        </w:trPr>
        <w:tc>
          <w:tcPr>
            <w:tcW w:w="6267" w:type="dxa"/>
            <w:gridSpan w:val="9"/>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both"/>
              <w:textAlignment w:val="baseline"/>
              <w:rPr>
                <w:rFonts w:eastAsia="標楷體"/>
                <w:kern w:val="2"/>
                <w:sz w:val="22"/>
                <w:szCs w:val="24"/>
              </w:rPr>
            </w:pPr>
            <w:r>
              <w:rPr>
                <w:rFonts w:eastAsia="標楷體"/>
                <w:kern w:val="2"/>
                <w:sz w:val="22"/>
                <w:szCs w:val="24"/>
              </w:rPr>
            </w:r>
          </w:p>
        </w:tc>
        <w:tc>
          <w:tcPr>
            <w:tcW w:w="3760" w:type="dxa"/>
            <w:gridSpan w:val="5"/>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both"/>
              <w:textAlignment w:val="baseline"/>
              <w:rPr>
                <w:rFonts w:eastAsia="標楷體"/>
                <w:kern w:val="2"/>
                <w:sz w:val="22"/>
                <w:szCs w:val="24"/>
              </w:rPr>
            </w:pPr>
            <w:r>
              <w:rPr>
                <w:rFonts w:eastAsia="標楷體"/>
                <w:kern w:val="2"/>
                <w:sz w:val="22"/>
                <w:szCs w:val="24"/>
              </w:rPr>
            </w:r>
          </w:p>
        </w:tc>
      </w:tr>
      <w:tr>
        <w:trPr>
          <w:trHeight w:val="1227" w:hRule="atLeast"/>
          <w:cantSplit w:val="true"/>
        </w:trPr>
        <w:tc>
          <w:tcPr>
            <w:tcW w:w="719" w:type="dxa"/>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center"/>
              <w:textAlignment w:val="baseline"/>
              <w:rPr>
                <w:rFonts w:eastAsia="標楷體"/>
                <w:kern w:val="2"/>
                <w:szCs w:val="24"/>
              </w:rPr>
            </w:pPr>
            <w:r>
              <w:rPr>
                <w:rFonts w:eastAsia="標楷體"/>
                <w:kern w:val="2"/>
                <w:szCs w:val="24"/>
              </w:rPr>
              <w:t>總分</w:t>
            </w:r>
          </w:p>
        </w:tc>
        <w:tc>
          <w:tcPr>
            <w:tcW w:w="1884" w:type="dxa"/>
            <w:gridSpan w:val="2"/>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both"/>
              <w:textAlignment w:val="baseline"/>
              <w:rPr>
                <w:rFonts w:eastAsia="標楷體"/>
                <w:kern w:val="2"/>
                <w:szCs w:val="24"/>
              </w:rPr>
            </w:pPr>
            <w:r>
              <w:rPr>
                <w:rFonts w:eastAsia="標楷體"/>
                <w:kern w:val="2"/>
                <w:szCs w:val="24"/>
              </w:rPr>
            </w:r>
          </w:p>
        </w:tc>
        <w:tc>
          <w:tcPr>
            <w:tcW w:w="1259" w:type="dxa"/>
            <w:gridSpan w:val="2"/>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textAlignment w:val="baseline"/>
              <w:rPr>
                <w:rFonts w:eastAsia="標楷體"/>
                <w:kern w:val="2"/>
                <w:szCs w:val="24"/>
              </w:rPr>
            </w:pPr>
            <w:r>
              <w:rPr>
                <w:rFonts w:eastAsia="標楷體"/>
                <w:kern w:val="2"/>
                <w:szCs w:val="24"/>
              </w:rPr>
              <w:t>單位主管</w:t>
            </w:r>
          </w:p>
          <w:p>
            <w:pPr>
              <w:pStyle w:val="Style19"/>
              <w:suppressAutoHyphens w:val="true"/>
              <w:spacing w:lineRule="auto"/>
              <w:textAlignment w:val="baseline"/>
              <w:rPr>
                <w:rFonts w:eastAsia="標楷體"/>
                <w:kern w:val="2"/>
                <w:szCs w:val="24"/>
              </w:rPr>
            </w:pPr>
            <w:r>
              <w:rPr>
                <w:rFonts w:eastAsia="標楷體"/>
                <w:kern w:val="2"/>
                <w:szCs w:val="24"/>
              </w:rPr>
              <w:t>蓋章</w:t>
            </w:r>
          </w:p>
        </w:tc>
        <w:tc>
          <w:tcPr>
            <w:tcW w:w="2405" w:type="dxa"/>
            <w:gridSpan w:val="4"/>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both"/>
              <w:textAlignment w:val="baseline"/>
              <w:rPr>
                <w:rFonts w:eastAsia="標楷體"/>
                <w:kern w:val="2"/>
                <w:sz w:val="22"/>
                <w:szCs w:val="24"/>
              </w:rPr>
            </w:pPr>
            <w:r>
              <w:rPr>
                <w:rFonts w:eastAsia="標楷體"/>
                <w:kern w:val="2"/>
                <w:sz w:val="22"/>
                <w:szCs w:val="24"/>
              </w:rPr>
            </w:r>
          </w:p>
        </w:tc>
        <w:tc>
          <w:tcPr>
            <w:tcW w:w="1300" w:type="dxa"/>
            <w:gridSpan w:val="2"/>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textAlignment w:val="baseline"/>
              <w:rPr>
                <w:rFonts w:eastAsia="標楷體"/>
                <w:kern w:val="2"/>
                <w:szCs w:val="24"/>
              </w:rPr>
            </w:pPr>
            <w:r>
              <w:rPr>
                <w:rFonts w:eastAsia="標楷體"/>
                <w:kern w:val="2"/>
                <w:szCs w:val="24"/>
              </w:rPr>
              <w:t>機關首長</w:t>
            </w:r>
          </w:p>
          <w:p>
            <w:pPr>
              <w:pStyle w:val="Style19"/>
              <w:suppressAutoHyphens w:val="true"/>
              <w:spacing w:lineRule="auto"/>
              <w:textAlignment w:val="baseline"/>
              <w:rPr>
                <w:rFonts w:eastAsia="標楷體"/>
                <w:kern w:val="2"/>
                <w:sz w:val="20"/>
              </w:rPr>
            </w:pPr>
            <w:r>
              <w:rPr>
                <w:rFonts w:eastAsia="標楷體"/>
                <w:kern w:val="2"/>
                <w:sz w:val="20"/>
              </w:rPr>
              <w:t>（本府內部一級單位主管）</w:t>
            </w:r>
          </w:p>
          <w:p>
            <w:pPr>
              <w:pStyle w:val="Style19"/>
              <w:suppressAutoHyphens w:val="true"/>
              <w:spacing w:lineRule="auto"/>
              <w:textAlignment w:val="baseline"/>
              <w:rPr/>
            </w:pPr>
            <w:r>
              <w:rPr>
                <w:rStyle w:val="Style14"/>
                <w:rFonts w:eastAsia="標楷體"/>
                <w:kern w:val="2"/>
                <w:szCs w:val="24"/>
              </w:rPr>
              <w:t>蓋章</w:t>
            </w:r>
          </w:p>
        </w:tc>
        <w:tc>
          <w:tcPr>
            <w:tcW w:w="2460" w:type="dxa"/>
            <w:gridSpan w:val="3"/>
            <w:tcBorders>
              <w:top w:val="single" w:sz="4" w:space="0" w:color="000000"/>
              <w:left w:val="single" w:sz="4" w:space="0" w:color="000000"/>
              <w:bottom w:val="single" w:sz="4" w:space="0" w:color="000000"/>
              <w:right w:val="single" w:sz="4" w:space="0" w:color="000000"/>
            </w:tcBorders>
            <w:vAlign w:val="center"/>
          </w:tcPr>
          <w:p>
            <w:pPr>
              <w:pStyle w:val="Style19"/>
              <w:suppressAutoHyphens w:val="true"/>
              <w:spacing w:lineRule="auto"/>
              <w:jc w:val="both"/>
              <w:textAlignment w:val="baseline"/>
              <w:rPr>
                <w:rFonts w:eastAsia="標楷體"/>
                <w:kern w:val="2"/>
                <w:sz w:val="22"/>
                <w:szCs w:val="24"/>
              </w:rPr>
            </w:pPr>
            <w:r>
              <w:rPr>
                <w:rFonts w:eastAsia="標楷體"/>
                <w:kern w:val="2"/>
                <w:sz w:val="22"/>
                <w:szCs w:val="24"/>
              </w:rPr>
            </w:r>
          </w:p>
        </w:tc>
      </w:tr>
    </w:tbl>
    <w:p>
      <w:pPr>
        <w:pStyle w:val="Style19"/>
        <w:spacing w:lineRule="exact" w:line="500"/>
        <w:rPr/>
      </w:pPr>
      <w:r>
        <w:rPr/>
      </w:r>
    </w:p>
    <w:sectPr>
      <w:type w:val="nextPage"/>
      <w:pgSz w:w="11906" w:h="16838"/>
      <w:pgMar w:left="1134" w:right="1134" w:header="0" w:top="567" w:footer="0" w:bottom="680" w:gutter="0"/>
      <w:pgNumType w:fmt="decimal"/>
      <w:formProt w:val="false"/>
      <w:textDirection w:val="lrTb"/>
      <w:docGrid w:type="lines" w:linePitch="600" w:charSpace="429494681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Times New Roman">
    <w:charset w:val="88"/>
    <w:family w:val="roman"/>
    <w:pitch w:val="variable"/>
  </w:font>
  <w:font w:name="細明體">
    <w:charset w:val="88"/>
    <w:family w:val="modern"/>
    <w:pitch w:val="fixed"/>
  </w:font>
  <w:font w:name="標楷體">
    <w:charset w:val="88"/>
    <w:family w:val="script"/>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720"/>
      </w:pPr>
      <w:rPr>
        <w:rFonts w:ascii="標楷體" w:hAnsi="標楷體" w:eastAsia="標楷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2"/>
  <w:defaultTabStop w:val="50"/>
  <w:compat>
    <w:doNotExpandShiftReturn/>
  </w:compat>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before="0" w:after="0"/>
      <w:jc w:val="left"/>
      <w:textAlignment w:val="auto"/>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vertAlign w:val="baseline"/>
      <w:em w:val="none"/>
      <w:lang w:val="en-US" w:eastAsia="zh-TW" w:bidi="ar-SA"/>
    </w:rPr>
  </w:style>
  <w:style w:type="character" w:styleId="Style14">
    <w:name w:val="預設段落字型"/>
    <w:qFormat/>
    <w:rPr/>
  </w:style>
  <w:style w:type="character" w:styleId="Style15">
    <w:name w:val="頁尾 字元"/>
    <w:qFormat/>
    <w:rPr>
      <w:rFonts w:ascii="Times New Roman" w:hAnsi="Times New Roman" w:eastAsia="新細明體" w:cs="Times New Roman"/>
      <w:sz w:val="20"/>
      <w:szCs w:val="20"/>
    </w:rPr>
  </w:style>
  <w:style w:type="character" w:styleId="Style16">
    <w:name w:val="頁碼"/>
    <w:basedOn w:val="Style14"/>
    <w:rPr/>
  </w:style>
  <w:style w:type="character" w:styleId="HTML">
    <w:name w:val="HTML 預設格式 字元"/>
    <w:qFormat/>
    <w:rPr>
      <w:rFonts w:ascii="細明體" w:hAnsi="細明體" w:eastAsia="細明體" w:cs="細明體"/>
      <w:kern w:val="0"/>
      <w:szCs w:val="24"/>
    </w:rPr>
  </w:style>
  <w:style w:type="character" w:styleId="Style17">
    <w:name w:val="頁首 字元"/>
    <w:qFormat/>
    <w:rPr>
      <w:rFonts w:ascii="Times New Roman" w:hAnsi="Times New Roman"/>
      <w:kern w:val="2"/>
    </w:rPr>
  </w:style>
  <w:style w:type="character" w:styleId="Style18">
    <w:name w:val="本文 字元"/>
    <w:qFormat/>
    <w:rPr>
      <w:rFonts w:ascii="Times New Roman" w:hAnsi="Times New Roman"/>
      <w:kern w:val="2"/>
      <w:sz w:val="24"/>
    </w:rPr>
  </w:style>
  <w:style w:type="character" w:styleId="WWCharLFO4LVL1">
    <w:name w:val="WW_CharLFO4LVL1"/>
    <w:qFormat/>
    <w:rPr>
      <w:rFonts w:ascii="標楷體" w:hAnsi="標楷體" w:eastAsia="標楷體"/>
    </w:rPr>
  </w:style>
  <w:style w:type="paragraph" w:styleId="Style19">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left"/>
      <w:textAlignment w:val="auto"/>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0"/>
      <w:u w:val="none"/>
      <w:vertAlign w:val="baseline"/>
      <w:em w:val="none"/>
      <w:lang w:val="en-US" w:eastAsia="zh-TW" w:bidi="ar-SA"/>
    </w:rPr>
  </w:style>
  <w:style w:type="paragraph" w:styleId="Style20">
    <w:name w:val="頁首與頁尾"/>
    <w:basedOn w:val="Normal"/>
    <w:qFormat/>
    <w:pPr>
      <w:suppressLineNumbers/>
      <w:tabs>
        <w:tab w:val="clear" w:pos="50"/>
        <w:tab w:val="center" w:pos="4819" w:leader="none"/>
        <w:tab w:val="right" w:pos="9638" w:leader="none"/>
      </w:tabs>
    </w:pPr>
    <w:rPr/>
  </w:style>
  <w:style w:type="paragraph" w:styleId="Style21">
    <w:name w:val="Footer"/>
    <w:basedOn w:val="Style19"/>
    <w:pPr>
      <w:tabs>
        <w:tab w:val="clear" w:pos="50"/>
        <w:tab w:val="center" w:pos="4153" w:leader="none"/>
        <w:tab w:val="right" w:pos="8306" w:leader="none"/>
      </w:tabs>
      <w:suppressAutoHyphens w:val="true"/>
      <w:snapToGrid w:val="false"/>
    </w:pPr>
    <w:rPr>
      <w:sz w:val="20"/>
    </w:rPr>
  </w:style>
  <w:style w:type="paragraph" w:styleId="HTML1">
    <w:name w:val="HTML 預設格式"/>
    <w:basedOn w:val="Style19"/>
    <w:qFormat/>
    <w:pPr>
      <w:widowControl/>
      <w:tabs>
        <w:tab w:val="clear" w:pos="5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pPr>
    <w:rPr>
      <w:rFonts w:ascii="細明體" w:hAnsi="細明體" w:eastAsia="細明體" w:cs="細明體"/>
      <w:kern w:val="0"/>
      <w:szCs w:val="24"/>
    </w:rPr>
  </w:style>
  <w:style w:type="paragraph" w:styleId="Style22">
    <w:name w:val="Header"/>
    <w:basedOn w:val="Style19"/>
    <w:pPr>
      <w:tabs>
        <w:tab w:val="clear" w:pos="50"/>
        <w:tab w:val="center" w:pos="4153" w:leader="none"/>
        <w:tab w:val="right" w:pos="8306" w:leader="none"/>
      </w:tabs>
      <w:suppressAutoHyphens w:val="true"/>
      <w:snapToGrid w:val="false"/>
    </w:pPr>
    <w:rPr>
      <w:sz w:val="20"/>
    </w:rPr>
  </w:style>
  <w:style w:type="paragraph" w:styleId="Style23">
    <w:name w:val="本文"/>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left"/>
      <w:textAlignment w:val="auto"/>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0"/>
      <w:u w:val="none"/>
      <w:vertAlign w:val="baseline"/>
      <w:em w:val="none"/>
      <w:lang w:val="en-US" w:eastAsia="zh-TW" w:bidi="ar-SA"/>
    </w:rPr>
  </w:style>
  <w:style w:type="paragraph" w:styleId="Style24">
    <w:name w:val="外框內容"/>
    <w:basedOn w:val="Normal"/>
    <w:qFormat/>
    <w:pPr/>
    <w:rPr/>
  </w:style>
  <w:style w:type="paragraph" w:styleId="Style25">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LibreOffice/6.4.7.2$Windows_X86_64 LibreOffice_project/639b8ac485750d5696d7590a72ef1b496725cfb5</Application>
  <Pages>8</Pages>
  <Words>835</Words>
  <Characters>4762</Characters>
  <CharactersWithSpaces>5586</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2023-09-12T08:54:00Z</dcterms:created>
  <dc:creator>user</dc:creator>
  <dc:description/>
  <dc:language>zh-TW</dc:language>
  <cp:lastModifiedBy>法制處</cp:lastModifiedBy>
  <dcterms:modified xsi:type="dcterms:W3CDTF">2023-09-12T08:54:00Z</dcterms:modified>
  <cp:revision>2</cp:revision>
  <dc:subject/>
  <dc:title/>
</cp:coreProperties>
</file>