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114"/>
      </w:tblGrid>
      <w:tr w:rsidR="00D2088B" w:rsidRPr="00D2088B" w14:paraId="67EAD8B5" w14:textId="77777777" w:rsidTr="00487ACC">
        <w:trPr>
          <w:trHeight w:val="132"/>
          <w:jc w:val="center"/>
        </w:trPr>
        <w:tc>
          <w:tcPr>
            <w:tcW w:w="5000" w:type="pct"/>
            <w:shd w:val="clear" w:color="auto" w:fill="D9D9D9" w:themeFill="background1" w:themeFillShade="D9"/>
            <w:noWrap/>
            <w:vAlign w:val="center"/>
          </w:tcPr>
          <w:p w14:paraId="2BFB6F55" w14:textId="64FDE8FC" w:rsidR="00D2088B" w:rsidRPr="00E05C08" w:rsidRDefault="00A36CE3" w:rsidP="00E05C08">
            <w:pPr>
              <w:jc w:val="center"/>
              <w:rPr>
                <w:rFonts w:ascii="標楷體" w:eastAsia="標楷體" w:hAnsi="標楷體"/>
                <w:b/>
                <w:bCs/>
                <w:sz w:val="28"/>
                <w:szCs w:val="28"/>
              </w:rPr>
            </w:pPr>
            <w:r w:rsidRPr="00E05C08">
              <w:rPr>
                <w:rFonts w:ascii="標楷體" w:eastAsia="標楷體" w:hAnsi="標楷體" w:hint="eastAsia"/>
                <w:b/>
                <w:bCs/>
                <w:sz w:val="32"/>
                <w:szCs w:val="28"/>
              </w:rPr>
              <w:t>壹、</w:t>
            </w:r>
            <w:r w:rsidR="00F547FB" w:rsidRPr="00E05C08">
              <w:rPr>
                <w:rFonts w:ascii="標楷體" w:eastAsia="標楷體" w:hAnsi="標楷體" w:hint="eastAsia"/>
                <w:b/>
                <w:bCs/>
                <w:sz w:val="32"/>
                <w:szCs w:val="28"/>
              </w:rPr>
              <w:t>土石流</w:t>
            </w:r>
            <w:r w:rsidRPr="00E05C08">
              <w:rPr>
                <w:rFonts w:ascii="標楷體" w:eastAsia="標楷體" w:hAnsi="標楷體" w:hint="eastAsia"/>
                <w:b/>
                <w:bCs/>
                <w:sz w:val="32"/>
                <w:szCs w:val="28"/>
              </w:rPr>
              <w:t>定義</w:t>
            </w:r>
          </w:p>
        </w:tc>
      </w:tr>
      <w:tr w:rsidR="00F547FB" w:rsidRPr="00D2088B" w14:paraId="0C9C84D7" w14:textId="77777777" w:rsidTr="00487ACC">
        <w:trPr>
          <w:trHeight w:val="132"/>
          <w:jc w:val="center"/>
        </w:trPr>
        <w:tc>
          <w:tcPr>
            <w:tcW w:w="5000" w:type="pct"/>
            <w:shd w:val="clear" w:color="auto" w:fill="auto"/>
            <w:noWrap/>
            <w:vAlign w:val="center"/>
          </w:tcPr>
          <w:p w14:paraId="1E8EE6A1" w14:textId="77777777" w:rsidR="00F547FB" w:rsidRDefault="00F547FB" w:rsidP="00F547FB">
            <w:pPr>
              <w:pStyle w:val="a5"/>
              <w:numPr>
                <w:ilvl w:val="0"/>
                <w:numId w:val="6"/>
              </w:numPr>
              <w:ind w:leftChars="0"/>
              <w:rPr>
                <w:rFonts w:ascii="標楷體" w:eastAsia="標楷體" w:hAnsi="標楷體"/>
                <w:b/>
                <w:bCs/>
                <w:sz w:val="28"/>
                <w:szCs w:val="28"/>
              </w:rPr>
            </w:pPr>
            <w:r w:rsidRPr="00F547FB">
              <w:rPr>
                <w:rFonts w:ascii="標楷體" w:eastAsia="標楷體" w:hAnsi="標楷體" w:hint="eastAsia"/>
                <w:b/>
                <w:bCs/>
                <w:sz w:val="28"/>
                <w:szCs w:val="28"/>
              </w:rPr>
              <w:t>何謂土石流</w:t>
            </w:r>
          </w:p>
          <w:p w14:paraId="43394FF9" w14:textId="1A25287C" w:rsidR="00F547FB" w:rsidRPr="00F547FB" w:rsidRDefault="00F547FB" w:rsidP="00F547FB">
            <w:pPr>
              <w:pStyle w:val="a5"/>
              <w:ind w:leftChars="0"/>
              <w:rPr>
                <w:rFonts w:ascii="標楷體" w:eastAsia="標楷體" w:hAnsi="標楷體"/>
                <w:b/>
                <w:bCs/>
                <w:sz w:val="28"/>
                <w:szCs w:val="28"/>
              </w:rPr>
            </w:pPr>
            <w:r w:rsidRPr="00F547FB">
              <w:rPr>
                <w:rFonts w:ascii="標楷體" w:eastAsia="標楷體" w:hAnsi="標楷體" w:hint="eastAsia"/>
                <w:sz w:val="28"/>
                <w:szCs w:val="28"/>
              </w:rPr>
              <w:t>土石流係指泥、砂、礫及巨石等物質與水之混合物，受重力作用所產生之流動體，沿坡面或溝渠由高處往低處流動之自然現象。</w:t>
            </w:r>
          </w:p>
          <w:p w14:paraId="6A1A7CE9" w14:textId="02A1B78D" w:rsidR="00F547FB" w:rsidRPr="00F547FB" w:rsidRDefault="00F547FB" w:rsidP="00F547FB">
            <w:pPr>
              <w:rPr>
                <w:rFonts w:ascii="標楷體" w:eastAsia="標楷體" w:hAnsi="標楷體"/>
                <w:sz w:val="28"/>
                <w:szCs w:val="28"/>
              </w:rPr>
            </w:pPr>
            <w:r w:rsidRPr="00F547FB">
              <w:rPr>
                <w:rFonts w:ascii="標楷體" w:eastAsia="標楷體" w:hAnsi="標楷體"/>
                <w:noProof/>
                <w:sz w:val="28"/>
                <w:szCs w:val="28"/>
              </w:rPr>
              <w:drawing>
                <wp:inline distT="0" distB="0" distL="0" distR="0" wp14:anchorId="110B42D0" wp14:editId="50420B46">
                  <wp:extent cx="6238875" cy="4367214"/>
                  <wp:effectExtent l="0" t="0" r="0" b="0"/>
                  <wp:docPr id="1" name="圖片 1" descr="土石流定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土石流定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570" cy="4374701"/>
                          </a:xfrm>
                          <a:prstGeom prst="rect">
                            <a:avLst/>
                          </a:prstGeom>
                          <a:noFill/>
                          <a:ln>
                            <a:noFill/>
                          </a:ln>
                        </pic:spPr>
                      </pic:pic>
                    </a:graphicData>
                  </a:graphic>
                </wp:inline>
              </w:drawing>
            </w:r>
          </w:p>
          <w:p w14:paraId="78086776" w14:textId="77777777" w:rsidR="00F547FB" w:rsidRDefault="00F547FB" w:rsidP="00F547FB">
            <w:pPr>
              <w:pStyle w:val="a5"/>
              <w:numPr>
                <w:ilvl w:val="0"/>
                <w:numId w:val="6"/>
              </w:numPr>
              <w:ind w:leftChars="0"/>
              <w:rPr>
                <w:rFonts w:ascii="標楷體" w:eastAsia="標楷體" w:hAnsi="標楷體"/>
                <w:b/>
                <w:bCs/>
                <w:sz w:val="28"/>
                <w:szCs w:val="28"/>
              </w:rPr>
            </w:pPr>
            <w:r w:rsidRPr="00F547FB">
              <w:rPr>
                <w:rFonts w:ascii="標楷體" w:eastAsia="標楷體" w:hAnsi="標楷體" w:hint="eastAsia"/>
                <w:b/>
                <w:bCs/>
                <w:sz w:val="28"/>
                <w:szCs w:val="28"/>
              </w:rPr>
              <w:t>何謂土石流災害</w:t>
            </w:r>
          </w:p>
          <w:p w14:paraId="27B602F7" w14:textId="46A72A80" w:rsidR="00F547FB" w:rsidRPr="00F547FB" w:rsidRDefault="00F547FB" w:rsidP="00487ACC">
            <w:pPr>
              <w:pStyle w:val="a5"/>
              <w:ind w:leftChars="0"/>
              <w:rPr>
                <w:rFonts w:ascii="標楷體" w:eastAsia="標楷體" w:hAnsi="標楷體"/>
                <w:sz w:val="28"/>
                <w:szCs w:val="28"/>
              </w:rPr>
            </w:pPr>
            <w:r w:rsidRPr="00F547FB">
              <w:rPr>
                <w:rFonts w:ascii="標楷體" w:eastAsia="標楷體" w:hAnsi="標楷體" w:hint="eastAsia"/>
                <w:sz w:val="28"/>
                <w:szCs w:val="28"/>
              </w:rPr>
              <w:t>土石流不等於土石流災害，土石流為一種『自然現象』，但若因發生土石流時，導致人命傷亡，建築物、橋梁、公共建設毀損，造成生命或財產損失，才可稱為『土石流災害』。</w:t>
            </w:r>
          </w:p>
        </w:tc>
      </w:tr>
    </w:tbl>
    <w:p w14:paraId="697EBA22" w14:textId="2EE5C0BE" w:rsidR="00F547FB" w:rsidRDefault="00F547FB"/>
    <w:p w14:paraId="3F1FF843" w14:textId="77777777" w:rsidR="00F547FB" w:rsidRDefault="00F547FB">
      <w:pPr>
        <w:widowControl/>
      </w:pPr>
      <w:r>
        <w:br w:type="page"/>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114"/>
      </w:tblGrid>
      <w:tr w:rsidR="00F547FB" w:rsidRPr="00D2088B" w14:paraId="5ED285FE" w14:textId="77777777" w:rsidTr="00487ACC">
        <w:trPr>
          <w:trHeight w:val="132"/>
          <w:jc w:val="center"/>
        </w:trPr>
        <w:tc>
          <w:tcPr>
            <w:tcW w:w="5000" w:type="pct"/>
            <w:shd w:val="clear" w:color="auto" w:fill="D9D9D9" w:themeFill="background1" w:themeFillShade="D9"/>
            <w:noWrap/>
            <w:vAlign w:val="center"/>
          </w:tcPr>
          <w:p w14:paraId="0E1BE2A5" w14:textId="184208CA" w:rsidR="00F547FB" w:rsidRPr="00E05C08" w:rsidRDefault="00A36CE3" w:rsidP="00E05C08">
            <w:pPr>
              <w:jc w:val="center"/>
              <w:rPr>
                <w:rFonts w:ascii="標楷體" w:eastAsia="標楷體" w:hAnsi="標楷體"/>
                <w:b/>
                <w:bCs/>
              </w:rPr>
            </w:pPr>
            <w:r w:rsidRPr="00E05C08">
              <w:rPr>
                <w:rFonts w:ascii="標楷體" w:eastAsia="標楷體" w:hAnsi="標楷體" w:hint="eastAsia"/>
                <w:b/>
                <w:bCs/>
                <w:sz w:val="32"/>
                <w:szCs w:val="28"/>
              </w:rPr>
              <w:lastRenderedPageBreak/>
              <w:t>貳、</w:t>
            </w:r>
            <w:r w:rsidR="00F547FB" w:rsidRPr="00E05C08">
              <w:rPr>
                <w:rFonts w:ascii="標楷體" w:eastAsia="標楷體" w:hAnsi="標楷體" w:hint="eastAsia"/>
                <w:b/>
                <w:bCs/>
                <w:sz w:val="32"/>
                <w:szCs w:val="28"/>
              </w:rPr>
              <w:t>大規模崩塌</w:t>
            </w:r>
            <w:r w:rsidRPr="00E05C08">
              <w:rPr>
                <w:rFonts w:ascii="標楷體" w:eastAsia="標楷體" w:hAnsi="標楷體" w:hint="eastAsia"/>
                <w:b/>
                <w:bCs/>
                <w:sz w:val="32"/>
                <w:szCs w:val="28"/>
              </w:rPr>
              <w:t>定義</w:t>
            </w:r>
          </w:p>
        </w:tc>
      </w:tr>
      <w:tr w:rsidR="00F547FB" w:rsidRPr="00A36CE3" w14:paraId="63936073" w14:textId="77777777" w:rsidTr="00487ACC">
        <w:trPr>
          <w:trHeight w:val="132"/>
          <w:jc w:val="center"/>
        </w:trPr>
        <w:tc>
          <w:tcPr>
            <w:tcW w:w="5000" w:type="pct"/>
            <w:shd w:val="clear" w:color="auto" w:fill="auto"/>
            <w:noWrap/>
            <w:vAlign w:val="center"/>
          </w:tcPr>
          <w:p w14:paraId="2DBEEDAB" w14:textId="430C65DC" w:rsidR="00F547FB" w:rsidRPr="00F547FB" w:rsidRDefault="00F547FB" w:rsidP="00F547FB">
            <w:pPr>
              <w:pStyle w:val="a5"/>
              <w:numPr>
                <w:ilvl w:val="0"/>
                <w:numId w:val="8"/>
              </w:numPr>
              <w:ind w:leftChars="0"/>
              <w:rPr>
                <w:rFonts w:ascii="標楷體" w:eastAsia="標楷體" w:hAnsi="標楷體"/>
                <w:b/>
                <w:bCs/>
                <w:sz w:val="28"/>
                <w:szCs w:val="28"/>
              </w:rPr>
            </w:pPr>
            <w:r w:rsidRPr="00F547FB">
              <w:rPr>
                <w:rFonts w:ascii="標楷體" w:eastAsia="標楷體" w:hAnsi="標楷體" w:hint="eastAsia"/>
                <w:b/>
                <w:bCs/>
                <w:sz w:val="28"/>
                <w:szCs w:val="28"/>
              </w:rPr>
              <w:t>何謂大規模崩塌</w:t>
            </w:r>
          </w:p>
          <w:p w14:paraId="64612ADD" w14:textId="1ADD2766" w:rsidR="00F547FB" w:rsidRPr="00F547FB" w:rsidRDefault="00F547FB" w:rsidP="00F547FB">
            <w:pPr>
              <w:rPr>
                <w:rFonts w:ascii="標楷體" w:eastAsia="標楷體" w:hAnsi="標楷體"/>
                <w:sz w:val="28"/>
                <w:szCs w:val="28"/>
              </w:rPr>
            </w:pPr>
            <w:r w:rsidRPr="00F547FB">
              <w:rPr>
                <w:rFonts w:ascii="標楷體" w:eastAsia="標楷體" w:hAnsi="標楷體" w:hint="eastAsia"/>
                <w:sz w:val="28"/>
                <w:szCs w:val="28"/>
              </w:rPr>
              <w:t>依據國家災害防救科技中心完成之「大規模崩塌災害防治行動綱領」，大規模崩塌係指崩塌面積超過10公頃或土方量達10萬立方公尺或崩塌深度在10公尺以上的崩塌地；此類深層的崩塌，近於高速運動的地滑。</w:t>
            </w:r>
          </w:p>
          <w:p w14:paraId="59CD9A93" w14:textId="624D8D1D" w:rsidR="00F547FB" w:rsidRPr="00F547FB" w:rsidRDefault="00F547FB" w:rsidP="00F547FB">
            <w:pPr>
              <w:pStyle w:val="a5"/>
              <w:numPr>
                <w:ilvl w:val="0"/>
                <w:numId w:val="8"/>
              </w:numPr>
              <w:ind w:leftChars="0"/>
              <w:rPr>
                <w:rFonts w:ascii="標楷體" w:eastAsia="標楷體" w:hAnsi="標楷體"/>
                <w:b/>
                <w:bCs/>
                <w:sz w:val="28"/>
                <w:szCs w:val="28"/>
              </w:rPr>
            </w:pPr>
            <w:r w:rsidRPr="00F547FB">
              <w:rPr>
                <w:rFonts w:ascii="標楷體" w:eastAsia="標楷體" w:hAnsi="標楷體" w:hint="eastAsia"/>
                <w:b/>
                <w:bCs/>
                <w:sz w:val="28"/>
                <w:szCs w:val="28"/>
              </w:rPr>
              <w:t>大規模崩塌影響範圍</w:t>
            </w:r>
          </w:p>
          <w:p w14:paraId="6B5584B6" w14:textId="58BE62B2" w:rsidR="00F547FB" w:rsidRPr="00F547FB" w:rsidRDefault="00F547FB" w:rsidP="00F547FB">
            <w:pPr>
              <w:pStyle w:val="a5"/>
              <w:ind w:leftChars="0"/>
              <w:rPr>
                <w:rFonts w:ascii="標楷體" w:eastAsia="標楷體" w:hAnsi="標楷體"/>
                <w:color w:val="000000"/>
                <w:sz w:val="28"/>
                <w:szCs w:val="28"/>
                <w:shd w:val="clear" w:color="auto" w:fill="FFFFFF"/>
              </w:rPr>
            </w:pPr>
            <w:r w:rsidRPr="00F547FB">
              <w:rPr>
                <w:rFonts w:ascii="標楷體" w:eastAsia="標楷體" w:hAnsi="標楷體" w:hint="eastAsia"/>
                <w:color w:val="000000"/>
                <w:sz w:val="28"/>
                <w:szCs w:val="28"/>
                <w:shd w:val="clear" w:color="auto" w:fill="FFFFFF"/>
              </w:rPr>
              <w:t>大規模崩塌區之影響範圍係指在該崩塌發生後，其崩塌現象可能對坡地或保全對象有衝擊致災之虞的區域，一般包含潛勢區及影響範圍</w:t>
            </w:r>
            <w:r w:rsidR="00A36CE3">
              <w:rPr>
                <w:rFonts w:ascii="標楷體" w:eastAsia="標楷體" w:hAnsi="標楷體" w:hint="eastAsia"/>
                <w:color w:val="000000"/>
                <w:sz w:val="28"/>
                <w:szCs w:val="28"/>
                <w:shd w:val="clear" w:color="auto" w:fill="FFFFFF"/>
              </w:rPr>
              <w:t>（如下圖）</w:t>
            </w:r>
            <w:r w:rsidRPr="00F547FB">
              <w:rPr>
                <w:rFonts w:ascii="標楷體" w:eastAsia="標楷體" w:hAnsi="標楷體" w:hint="eastAsia"/>
                <w:color w:val="000000"/>
                <w:sz w:val="28"/>
                <w:szCs w:val="28"/>
                <w:shd w:val="clear" w:color="auto" w:fill="FFFFFF"/>
              </w:rPr>
              <w:t>，其中保全對象包含人員、建築物、橋梁及公共設施等。</w:t>
            </w:r>
          </w:p>
          <w:p w14:paraId="59EE24AC" w14:textId="6DEA6A2A" w:rsidR="00F547FB" w:rsidRPr="00F547FB" w:rsidRDefault="00F547FB" w:rsidP="00F547FB">
            <w:pPr>
              <w:rPr>
                <w:rFonts w:ascii="標楷體" w:eastAsia="標楷體" w:hAnsi="標楷體"/>
                <w:b/>
                <w:bCs/>
                <w:sz w:val="28"/>
                <w:szCs w:val="28"/>
              </w:rPr>
            </w:pPr>
            <w:r>
              <w:rPr>
                <w:noProof/>
              </w:rPr>
              <w:drawing>
                <wp:inline distT="0" distB="0" distL="0" distR="0" wp14:anchorId="66E34758" wp14:editId="334F1B65">
                  <wp:extent cx="6441482" cy="3800475"/>
                  <wp:effectExtent l="0" t="0" r="0" b="0"/>
                  <wp:docPr id="2" name="圖片 2" descr="大規模崩塌影響範圍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規模崩塌影響範圍示意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648" cy="3804703"/>
                          </a:xfrm>
                          <a:prstGeom prst="rect">
                            <a:avLst/>
                          </a:prstGeom>
                          <a:noFill/>
                          <a:ln>
                            <a:noFill/>
                          </a:ln>
                        </pic:spPr>
                      </pic:pic>
                    </a:graphicData>
                  </a:graphic>
                </wp:inline>
              </w:drawing>
            </w:r>
          </w:p>
          <w:p w14:paraId="25BD2078" w14:textId="7B752E45" w:rsidR="00A36CE3" w:rsidRPr="00A36CE3" w:rsidRDefault="00A36CE3" w:rsidP="00A36CE3">
            <w:r>
              <w:rPr>
                <w:rFonts w:ascii="標楷體" w:eastAsia="標楷體" w:hAnsi="標楷體" w:hint="eastAsia"/>
                <w:sz w:val="28"/>
                <w:szCs w:val="28"/>
              </w:rPr>
              <w:t>＊截至110.11.11</w:t>
            </w:r>
            <w:r w:rsidRPr="00A36CE3">
              <w:rPr>
                <w:rFonts w:ascii="標楷體" w:eastAsia="標楷體" w:hAnsi="標楷體" w:hint="eastAsia"/>
                <w:sz w:val="28"/>
                <w:szCs w:val="28"/>
              </w:rPr>
              <w:t>臺南市轄內尚無</w:t>
            </w:r>
            <w:r w:rsidR="00487ACC">
              <w:rPr>
                <w:rFonts w:ascii="標楷體" w:eastAsia="標楷體" w:hAnsi="標楷體" w:hint="eastAsia"/>
                <w:sz w:val="28"/>
                <w:szCs w:val="28"/>
              </w:rPr>
              <w:t>劃設</w:t>
            </w:r>
            <w:r w:rsidRPr="00A36CE3">
              <w:rPr>
                <w:rFonts w:ascii="標楷體" w:eastAsia="標楷體" w:hAnsi="標楷體" w:hint="eastAsia"/>
                <w:sz w:val="28"/>
                <w:szCs w:val="28"/>
              </w:rPr>
              <w:t>大規模崩塌</w:t>
            </w:r>
            <w:r>
              <w:rPr>
                <w:rFonts w:ascii="標楷體" w:eastAsia="標楷體" w:hAnsi="標楷體" w:hint="eastAsia"/>
                <w:sz w:val="28"/>
                <w:szCs w:val="28"/>
              </w:rPr>
              <w:t>潛勢區</w:t>
            </w:r>
          </w:p>
        </w:tc>
      </w:tr>
    </w:tbl>
    <w:p w14:paraId="7BEEB327" w14:textId="39DD0D45" w:rsidR="00A36CE3" w:rsidRDefault="00A36CE3"/>
    <w:p w14:paraId="7052F30B" w14:textId="77777777" w:rsidR="00A36CE3" w:rsidRDefault="00A36CE3">
      <w:pPr>
        <w:widowControl/>
      </w:pPr>
      <w:r>
        <w:br w:type="page"/>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114"/>
      </w:tblGrid>
      <w:tr w:rsidR="00A36CE3" w:rsidRPr="00D2088B" w14:paraId="17A7B5A2" w14:textId="77777777" w:rsidTr="00487ACC">
        <w:trPr>
          <w:trHeight w:val="132"/>
          <w:jc w:val="center"/>
        </w:trPr>
        <w:tc>
          <w:tcPr>
            <w:tcW w:w="5000" w:type="pct"/>
            <w:shd w:val="clear" w:color="auto" w:fill="D9D9D9" w:themeFill="background1" w:themeFillShade="D9"/>
            <w:noWrap/>
            <w:vAlign w:val="center"/>
          </w:tcPr>
          <w:p w14:paraId="2AEE6BBB" w14:textId="1EF47813" w:rsidR="00A36CE3" w:rsidRPr="00E05C08" w:rsidRDefault="00A36CE3" w:rsidP="00E05C08">
            <w:pPr>
              <w:jc w:val="center"/>
              <w:rPr>
                <w:rFonts w:ascii="標楷體" w:eastAsia="標楷體" w:hAnsi="標楷體"/>
                <w:b/>
                <w:bCs/>
              </w:rPr>
            </w:pPr>
            <w:r w:rsidRPr="00E05C08">
              <w:rPr>
                <w:rFonts w:ascii="標楷體" w:eastAsia="標楷體" w:hAnsi="標楷體" w:hint="eastAsia"/>
                <w:b/>
                <w:bCs/>
                <w:sz w:val="32"/>
                <w:szCs w:val="28"/>
              </w:rPr>
              <w:lastRenderedPageBreak/>
              <w:t>參、土石流警戒基準值與紅黃色警戒</w:t>
            </w:r>
          </w:p>
        </w:tc>
      </w:tr>
      <w:tr w:rsidR="00A36CE3" w:rsidRPr="00D2088B" w14:paraId="62198507" w14:textId="77777777" w:rsidTr="00487ACC">
        <w:trPr>
          <w:trHeight w:val="132"/>
          <w:jc w:val="center"/>
        </w:trPr>
        <w:tc>
          <w:tcPr>
            <w:tcW w:w="5000" w:type="pct"/>
            <w:shd w:val="clear" w:color="auto" w:fill="auto"/>
            <w:noWrap/>
            <w:vAlign w:val="center"/>
          </w:tcPr>
          <w:p w14:paraId="059F2049" w14:textId="34ABE15F" w:rsidR="00A36CE3" w:rsidRDefault="00A36CE3" w:rsidP="00A36CE3">
            <w:pPr>
              <w:pStyle w:val="a5"/>
              <w:numPr>
                <w:ilvl w:val="0"/>
                <w:numId w:val="9"/>
              </w:numPr>
              <w:ind w:leftChars="0"/>
              <w:rPr>
                <w:rFonts w:ascii="標楷體" w:eastAsia="標楷體" w:hAnsi="標楷體"/>
                <w:b/>
                <w:bCs/>
                <w:sz w:val="28"/>
                <w:szCs w:val="28"/>
              </w:rPr>
            </w:pPr>
            <w:r w:rsidRPr="00A36CE3">
              <w:rPr>
                <w:rFonts w:ascii="標楷體" w:eastAsia="標楷體" w:hAnsi="標楷體" w:hint="eastAsia"/>
                <w:b/>
                <w:bCs/>
                <w:sz w:val="28"/>
                <w:szCs w:val="28"/>
              </w:rPr>
              <w:t>土石流警戒基準值</w:t>
            </w:r>
            <w:r w:rsidRPr="00F547FB">
              <w:rPr>
                <w:rFonts w:ascii="標楷體" w:eastAsia="標楷體" w:hAnsi="標楷體" w:hint="eastAsia"/>
                <w:b/>
                <w:bCs/>
                <w:sz w:val="28"/>
                <w:szCs w:val="28"/>
              </w:rPr>
              <w:t>何謂</w:t>
            </w:r>
            <w:r w:rsidRPr="00A36CE3">
              <w:rPr>
                <w:rFonts w:ascii="標楷體" w:eastAsia="標楷體" w:hAnsi="標楷體" w:hint="eastAsia"/>
                <w:b/>
                <w:bCs/>
                <w:sz w:val="28"/>
                <w:szCs w:val="28"/>
              </w:rPr>
              <w:t>土石流警戒基準值</w:t>
            </w:r>
          </w:p>
          <w:p w14:paraId="16F2C4A1" w14:textId="77777777" w:rsidR="00A36CE3" w:rsidRDefault="00A36CE3" w:rsidP="00A36CE3">
            <w:pPr>
              <w:pStyle w:val="a5"/>
              <w:ind w:leftChars="0"/>
              <w:rPr>
                <w:rFonts w:ascii="標楷體" w:eastAsia="標楷體" w:hAnsi="標楷體"/>
                <w:sz w:val="28"/>
                <w:szCs w:val="28"/>
              </w:rPr>
            </w:pPr>
            <w:r w:rsidRPr="00A36CE3">
              <w:rPr>
                <w:rFonts w:ascii="標楷體" w:eastAsia="標楷體" w:hAnsi="標楷體" w:hint="eastAsia"/>
                <w:sz w:val="28"/>
                <w:szCs w:val="28"/>
              </w:rPr>
              <w:t>土石流警戒基準值(rainfall threshold value for debris flow warning)係利用中央氣象局之雨量資料，以有效累積雨量(Rt)及降雨強度(I)兩降雨參數之乘積為降雨驅動指標(RTI)，將具有相類似性質之土石流潛勢溪流集水區整合為一群集，以統計方法計算出同一群集之土石流降雨警戒雨量值，再行簡化為累積雨量，以供各地區研判土石流防災疏散避難時機之參考雨量警戒值。</w:t>
            </w:r>
          </w:p>
          <w:p w14:paraId="22DAAF3F" w14:textId="77777777" w:rsidR="00A36CE3" w:rsidRDefault="00A36CE3" w:rsidP="00891844">
            <w:pPr>
              <w:pStyle w:val="a5"/>
              <w:numPr>
                <w:ilvl w:val="0"/>
                <w:numId w:val="9"/>
              </w:numPr>
              <w:ind w:leftChars="0"/>
              <w:rPr>
                <w:rFonts w:ascii="標楷體" w:eastAsia="標楷體" w:hAnsi="標楷體"/>
                <w:b/>
                <w:bCs/>
                <w:sz w:val="28"/>
                <w:szCs w:val="28"/>
              </w:rPr>
            </w:pPr>
            <w:r w:rsidRPr="00A36CE3">
              <w:rPr>
                <w:rFonts w:ascii="標楷體" w:eastAsia="標楷體" w:hAnsi="標楷體" w:hint="eastAsia"/>
                <w:b/>
                <w:bCs/>
                <w:sz w:val="28"/>
                <w:szCs w:val="28"/>
              </w:rPr>
              <w:t>土石流紅黃色警戒</w:t>
            </w:r>
          </w:p>
          <w:p w14:paraId="639917B9" w14:textId="28DC349A" w:rsidR="00A36CE3" w:rsidRPr="00A36CE3" w:rsidRDefault="00A36CE3" w:rsidP="00A36CE3">
            <w:pPr>
              <w:pStyle w:val="a5"/>
              <w:ind w:leftChars="0"/>
              <w:rPr>
                <w:rFonts w:ascii="標楷體" w:eastAsia="標楷體" w:hAnsi="標楷體"/>
                <w:b/>
                <w:bCs/>
                <w:sz w:val="28"/>
                <w:szCs w:val="28"/>
              </w:rPr>
            </w:pPr>
            <w:r w:rsidRPr="00A36CE3">
              <w:rPr>
                <w:rFonts w:ascii="標楷體" w:eastAsia="標楷體" w:hAnsi="標楷體" w:hint="eastAsia"/>
                <w:color w:val="000000"/>
                <w:sz w:val="28"/>
                <w:szCs w:val="28"/>
                <w:shd w:val="clear" w:color="auto" w:fill="FFFFFF"/>
              </w:rPr>
              <w:t>由行政院農業委員會依據交通部中央氣象局所提供的氣象預報及雨量資料，配合農委會研訂之土石流警戒基準值，研判土石流災害發生之可能性，並發布土石流警戒預報（紅色或黃色警戒）；地方政府依據當地實際狀況，必要時得發布疏散避難警報撤離危險區居民，以達到災害傷亡趨近於零之目的。</w:t>
            </w:r>
          </w:p>
          <w:p w14:paraId="032FF6BE" w14:textId="5744F2B1" w:rsidR="00A36CE3" w:rsidRPr="00A36CE3" w:rsidRDefault="00A36CE3" w:rsidP="00891844">
            <w:pPr>
              <w:rPr>
                <w:rFonts w:ascii="標楷體" w:eastAsia="標楷體" w:hAnsi="標楷體"/>
                <w:b/>
                <w:bCs/>
                <w:sz w:val="28"/>
                <w:szCs w:val="28"/>
              </w:rPr>
            </w:pPr>
            <w:r>
              <w:rPr>
                <w:rFonts w:ascii="標楷體" w:eastAsia="標楷體" w:hAnsi="標楷體"/>
                <w:b/>
                <w:bCs/>
                <w:noProof/>
                <w:sz w:val="28"/>
                <w:szCs w:val="28"/>
              </w:rPr>
              <w:drawing>
                <wp:inline distT="0" distB="0" distL="0" distR="0" wp14:anchorId="756D8EA9" wp14:editId="0A81C7F7">
                  <wp:extent cx="6382008" cy="318768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047" cy="3201189"/>
                          </a:xfrm>
                          <a:prstGeom prst="rect">
                            <a:avLst/>
                          </a:prstGeom>
                          <a:noFill/>
                        </pic:spPr>
                      </pic:pic>
                    </a:graphicData>
                  </a:graphic>
                </wp:inline>
              </w:drawing>
            </w:r>
          </w:p>
        </w:tc>
      </w:tr>
    </w:tbl>
    <w:p w14:paraId="4298D3F3" w14:textId="7B6F454F" w:rsidR="00487ACC" w:rsidRDefault="00487ACC" w:rsidP="00487ACC">
      <w:pPr>
        <w:spacing w:line="400" w:lineRule="exact"/>
        <w:rPr>
          <w:rFonts w:ascii="標楷體" w:eastAsia="標楷體" w:hAnsi="標楷體"/>
          <w:sz w:val="28"/>
          <w:szCs w:val="28"/>
        </w:rPr>
      </w:pPr>
      <w:r>
        <w:rPr>
          <w:rFonts w:ascii="標楷體" w:eastAsia="標楷體" w:hAnsi="標楷體" w:hint="eastAsia"/>
          <w:sz w:val="28"/>
          <w:szCs w:val="28"/>
        </w:rPr>
        <w:t>◆以上資料來源：</w:t>
      </w:r>
      <w:r w:rsidRPr="00F547FB">
        <w:rPr>
          <w:rFonts w:ascii="標楷體" w:eastAsia="標楷體" w:hAnsi="標楷體" w:hint="eastAsia"/>
          <w:sz w:val="28"/>
          <w:szCs w:val="28"/>
        </w:rPr>
        <w:t>行政院農業委員會水土保持局土石流防災資訊網</w:t>
      </w:r>
    </w:p>
    <w:p w14:paraId="535248CB" w14:textId="6630EE63" w:rsidR="00D2088B" w:rsidRPr="00487ACC" w:rsidRDefault="00487ACC" w:rsidP="00E05C08">
      <w:pPr>
        <w:spacing w:line="400" w:lineRule="exact"/>
        <w:rPr>
          <w:rFonts w:ascii="標楷體" w:eastAsia="標楷體" w:hAnsi="標楷體" w:hint="eastAsia"/>
          <w:sz w:val="28"/>
          <w:szCs w:val="28"/>
        </w:rPr>
      </w:pPr>
      <w:r>
        <w:rPr>
          <w:rFonts w:ascii="標楷體" w:eastAsia="標楷體" w:hAnsi="標楷體" w:hint="eastAsia"/>
          <w:sz w:val="28"/>
          <w:szCs w:val="28"/>
        </w:rPr>
        <w:t>◆</w:t>
      </w:r>
      <w:r w:rsidRPr="00F547FB">
        <w:rPr>
          <w:rFonts w:ascii="標楷體" w:eastAsia="標楷體" w:hAnsi="標楷體" w:hint="eastAsia"/>
          <w:sz w:val="28"/>
          <w:szCs w:val="28"/>
        </w:rPr>
        <w:t>了解更多：土石流防災資訊網</w:t>
      </w:r>
      <w:hyperlink r:id="rId10" w:history="1">
        <w:r w:rsidRPr="00557393">
          <w:rPr>
            <w:rStyle w:val="af"/>
            <w:rFonts w:ascii="標楷體" w:eastAsia="標楷體" w:hAnsi="標楷體"/>
            <w:sz w:val="28"/>
            <w:szCs w:val="28"/>
          </w:rPr>
          <w:t>https://246.swcb.gov.tw/</w:t>
        </w:r>
      </w:hyperlink>
    </w:p>
    <w:sectPr w:rsidR="00D2088B" w:rsidRPr="00487ACC" w:rsidSect="00D1601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9394" w14:textId="77777777" w:rsidR="00095E27" w:rsidRDefault="00095E27" w:rsidP="00D1601A">
      <w:r>
        <w:separator/>
      </w:r>
    </w:p>
  </w:endnote>
  <w:endnote w:type="continuationSeparator" w:id="0">
    <w:p w14:paraId="2F2E9F78" w14:textId="77777777" w:rsidR="00095E27" w:rsidRDefault="00095E27" w:rsidP="00D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D552" w14:textId="77777777" w:rsidR="00095E27" w:rsidRDefault="00095E27" w:rsidP="00D1601A">
      <w:r>
        <w:separator/>
      </w:r>
    </w:p>
  </w:footnote>
  <w:footnote w:type="continuationSeparator" w:id="0">
    <w:p w14:paraId="6F465508" w14:textId="77777777" w:rsidR="00095E27" w:rsidRDefault="00095E27" w:rsidP="00D1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083"/>
    <w:multiLevelType w:val="hybridMultilevel"/>
    <w:tmpl w:val="A9EE7B06"/>
    <w:lvl w:ilvl="0" w:tplc="622A60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EA75E4"/>
    <w:multiLevelType w:val="hybridMultilevel"/>
    <w:tmpl w:val="0D668548"/>
    <w:lvl w:ilvl="0" w:tplc="9E46949E">
      <w:start w:val="1"/>
      <w:numFmt w:val="bullet"/>
      <w:lvlText w:val="•"/>
      <w:lvlJc w:val="left"/>
      <w:pPr>
        <w:tabs>
          <w:tab w:val="num" w:pos="720"/>
        </w:tabs>
        <w:ind w:left="720" w:hanging="360"/>
      </w:pPr>
      <w:rPr>
        <w:rFonts w:ascii="標楷體" w:hAnsi="標楷體" w:hint="default"/>
      </w:rPr>
    </w:lvl>
    <w:lvl w:ilvl="1" w:tplc="0F9C4098" w:tentative="1">
      <w:start w:val="1"/>
      <w:numFmt w:val="bullet"/>
      <w:lvlText w:val="•"/>
      <w:lvlJc w:val="left"/>
      <w:pPr>
        <w:tabs>
          <w:tab w:val="num" w:pos="1440"/>
        </w:tabs>
        <w:ind w:left="1440" w:hanging="360"/>
      </w:pPr>
      <w:rPr>
        <w:rFonts w:ascii="標楷體" w:hAnsi="標楷體" w:hint="default"/>
      </w:rPr>
    </w:lvl>
    <w:lvl w:ilvl="2" w:tplc="81AC2788" w:tentative="1">
      <w:start w:val="1"/>
      <w:numFmt w:val="bullet"/>
      <w:lvlText w:val="•"/>
      <w:lvlJc w:val="left"/>
      <w:pPr>
        <w:tabs>
          <w:tab w:val="num" w:pos="2160"/>
        </w:tabs>
        <w:ind w:left="2160" w:hanging="360"/>
      </w:pPr>
      <w:rPr>
        <w:rFonts w:ascii="標楷體" w:hAnsi="標楷體" w:hint="default"/>
      </w:rPr>
    </w:lvl>
    <w:lvl w:ilvl="3" w:tplc="0F546FE8" w:tentative="1">
      <w:start w:val="1"/>
      <w:numFmt w:val="bullet"/>
      <w:lvlText w:val="•"/>
      <w:lvlJc w:val="left"/>
      <w:pPr>
        <w:tabs>
          <w:tab w:val="num" w:pos="2880"/>
        </w:tabs>
        <w:ind w:left="2880" w:hanging="360"/>
      </w:pPr>
      <w:rPr>
        <w:rFonts w:ascii="標楷體" w:hAnsi="標楷體" w:hint="default"/>
      </w:rPr>
    </w:lvl>
    <w:lvl w:ilvl="4" w:tplc="6F1ACCB0" w:tentative="1">
      <w:start w:val="1"/>
      <w:numFmt w:val="bullet"/>
      <w:lvlText w:val="•"/>
      <w:lvlJc w:val="left"/>
      <w:pPr>
        <w:tabs>
          <w:tab w:val="num" w:pos="3600"/>
        </w:tabs>
        <w:ind w:left="3600" w:hanging="360"/>
      </w:pPr>
      <w:rPr>
        <w:rFonts w:ascii="標楷體" w:hAnsi="標楷體" w:hint="default"/>
      </w:rPr>
    </w:lvl>
    <w:lvl w:ilvl="5" w:tplc="23246B1C" w:tentative="1">
      <w:start w:val="1"/>
      <w:numFmt w:val="bullet"/>
      <w:lvlText w:val="•"/>
      <w:lvlJc w:val="left"/>
      <w:pPr>
        <w:tabs>
          <w:tab w:val="num" w:pos="4320"/>
        </w:tabs>
        <w:ind w:left="4320" w:hanging="360"/>
      </w:pPr>
      <w:rPr>
        <w:rFonts w:ascii="標楷體" w:hAnsi="標楷體" w:hint="default"/>
      </w:rPr>
    </w:lvl>
    <w:lvl w:ilvl="6" w:tplc="8F9A69E6" w:tentative="1">
      <w:start w:val="1"/>
      <w:numFmt w:val="bullet"/>
      <w:lvlText w:val="•"/>
      <w:lvlJc w:val="left"/>
      <w:pPr>
        <w:tabs>
          <w:tab w:val="num" w:pos="5040"/>
        </w:tabs>
        <w:ind w:left="5040" w:hanging="360"/>
      </w:pPr>
      <w:rPr>
        <w:rFonts w:ascii="標楷體" w:hAnsi="標楷體" w:hint="default"/>
      </w:rPr>
    </w:lvl>
    <w:lvl w:ilvl="7" w:tplc="2FCE544C" w:tentative="1">
      <w:start w:val="1"/>
      <w:numFmt w:val="bullet"/>
      <w:lvlText w:val="•"/>
      <w:lvlJc w:val="left"/>
      <w:pPr>
        <w:tabs>
          <w:tab w:val="num" w:pos="5760"/>
        </w:tabs>
        <w:ind w:left="5760" w:hanging="360"/>
      </w:pPr>
      <w:rPr>
        <w:rFonts w:ascii="標楷體" w:hAnsi="標楷體" w:hint="default"/>
      </w:rPr>
    </w:lvl>
    <w:lvl w:ilvl="8" w:tplc="79984648" w:tentative="1">
      <w:start w:val="1"/>
      <w:numFmt w:val="bullet"/>
      <w:lvlText w:val="•"/>
      <w:lvlJc w:val="left"/>
      <w:pPr>
        <w:tabs>
          <w:tab w:val="num" w:pos="6480"/>
        </w:tabs>
        <w:ind w:left="6480" w:hanging="360"/>
      </w:pPr>
      <w:rPr>
        <w:rFonts w:ascii="標楷體" w:hAnsi="標楷體" w:hint="default"/>
      </w:rPr>
    </w:lvl>
  </w:abstractNum>
  <w:abstractNum w:abstractNumId="2" w15:restartNumberingAfterBreak="0">
    <w:nsid w:val="418F5709"/>
    <w:multiLevelType w:val="hybridMultilevel"/>
    <w:tmpl w:val="4C4A3D0A"/>
    <w:lvl w:ilvl="0" w:tplc="EFF64DC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DE5D4E"/>
    <w:multiLevelType w:val="hybridMultilevel"/>
    <w:tmpl w:val="70BEBD1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8C91BDF"/>
    <w:multiLevelType w:val="hybridMultilevel"/>
    <w:tmpl w:val="FF5E63AA"/>
    <w:lvl w:ilvl="0" w:tplc="FFC60612">
      <w:start w:val="1"/>
      <w:numFmt w:val="bullet"/>
      <w:lvlText w:val="•"/>
      <w:lvlJc w:val="left"/>
      <w:pPr>
        <w:tabs>
          <w:tab w:val="num" w:pos="720"/>
        </w:tabs>
        <w:ind w:left="720" w:hanging="360"/>
      </w:pPr>
      <w:rPr>
        <w:rFonts w:ascii="標楷體" w:hAnsi="標楷體" w:hint="default"/>
      </w:rPr>
    </w:lvl>
    <w:lvl w:ilvl="1" w:tplc="22B60C18" w:tentative="1">
      <w:start w:val="1"/>
      <w:numFmt w:val="bullet"/>
      <w:lvlText w:val="•"/>
      <w:lvlJc w:val="left"/>
      <w:pPr>
        <w:tabs>
          <w:tab w:val="num" w:pos="1440"/>
        </w:tabs>
        <w:ind w:left="1440" w:hanging="360"/>
      </w:pPr>
      <w:rPr>
        <w:rFonts w:ascii="標楷體" w:hAnsi="標楷體" w:hint="default"/>
      </w:rPr>
    </w:lvl>
    <w:lvl w:ilvl="2" w:tplc="3D16F434" w:tentative="1">
      <w:start w:val="1"/>
      <w:numFmt w:val="bullet"/>
      <w:lvlText w:val="•"/>
      <w:lvlJc w:val="left"/>
      <w:pPr>
        <w:tabs>
          <w:tab w:val="num" w:pos="2160"/>
        </w:tabs>
        <w:ind w:left="2160" w:hanging="360"/>
      </w:pPr>
      <w:rPr>
        <w:rFonts w:ascii="標楷體" w:hAnsi="標楷體" w:hint="default"/>
      </w:rPr>
    </w:lvl>
    <w:lvl w:ilvl="3" w:tplc="1578E372" w:tentative="1">
      <w:start w:val="1"/>
      <w:numFmt w:val="bullet"/>
      <w:lvlText w:val="•"/>
      <w:lvlJc w:val="left"/>
      <w:pPr>
        <w:tabs>
          <w:tab w:val="num" w:pos="2880"/>
        </w:tabs>
        <w:ind w:left="2880" w:hanging="360"/>
      </w:pPr>
      <w:rPr>
        <w:rFonts w:ascii="標楷體" w:hAnsi="標楷體" w:hint="default"/>
      </w:rPr>
    </w:lvl>
    <w:lvl w:ilvl="4" w:tplc="45787342" w:tentative="1">
      <w:start w:val="1"/>
      <w:numFmt w:val="bullet"/>
      <w:lvlText w:val="•"/>
      <w:lvlJc w:val="left"/>
      <w:pPr>
        <w:tabs>
          <w:tab w:val="num" w:pos="3600"/>
        </w:tabs>
        <w:ind w:left="3600" w:hanging="360"/>
      </w:pPr>
      <w:rPr>
        <w:rFonts w:ascii="標楷體" w:hAnsi="標楷體" w:hint="default"/>
      </w:rPr>
    </w:lvl>
    <w:lvl w:ilvl="5" w:tplc="086462AA" w:tentative="1">
      <w:start w:val="1"/>
      <w:numFmt w:val="bullet"/>
      <w:lvlText w:val="•"/>
      <w:lvlJc w:val="left"/>
      <w:pPr>
        <w:tabs>
          <w:tab w:val="num" w:pos="4320"/>
        </w:tabs>
        <w:ind w:left="4320" w:hanging="360"/>
      </w:pPr>
      <w:rPr>
        <w:rFonts w:ascii="標楷體" w:hAnsi="標楷體" w:hint="default"/>
      </w:rPr>
    </w:lvl>
    <w:lvl w:ilvl="6" w:tplc="68E23186" w:tentative="1">
      <w:start w:val="1"/>
      <w:numFmt w:val="bullet"/>
      <w:lvlText w:val="•"/>
      <w:lvlJc w:val="left"/>
      <w:pPr>
        <w:tabs>
          <w:tab w:val="num" w:pos="5040"/>
        </w:tabs>
        <w:ind w:left="5040" w:hanging="360"/>
      </w:pPr>
      <w:rPr>
        <w:rFonts w:ascii="標楷體" w:hAnsi="標楷體" w:hint="default"/>
      </w:rPr>
    </w:lvl>
    <w:lvl w:ilvl="7" w:tplc="6F52FCFC" w:tentative="1">
      <w:start w:val="1"/>
      <w:numFmt w:val="bullet"/>
      <w:lvlText w:val="•"/>
      <w:lvlJc w:val="left"/>
      <w:pPr>
        <w:tabs>
          <w:tab w:val="num" w:pos="5760"/>
        </w:tabs>
        <w:ind w:left="5760" w:hanging="360"/>
      </w:pPr>
      <w:rPr>
        <w:rFonts w:ascii="標楷體" w:hAnsi="標楷體" w:hint="default"/>
      </w:rPr>
    </w:lvl>
    <w:lvl w:ilvl="8" w:tplc="D362FC0A" w:tentative="1">
      <w:start w:val="1"/>
      <w:numFmt w:val="bullet"/>
      <w:lvlText w:val="•"/>
      <w:lvlJc w:val="left"/>
      <w:pPr>
        <w:tabs>
          <w:tab w:val="num" w:pos="6480"/>
        </w:tabs>
        <w:ind w:left="6480" w:hanging="360"/>
      </w:pPr>
      <w:rPr>
        <w:rFonts w:ascii="標楷體" w:hAnsi="標楷體" w:hint="default"/>
      </w:rPr>
    </w:lvl>
  </w:abstractNum>
  <w:abstractNum w:abstractNumId="5" w15:restartNumberingAfterBreak="0">
    <w:nsid w:val="6CA12FAC"/>
    <w:multiLevelType w:val="hybridMultilevel"/>
    <w:tmpl w:val="6D4200F4"/>
    <w:lvl w:ilvl="0" w:tplc="C090FD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251D25"/>
    <w:multiLevelType w:val="hybridMultilevel"/>
    <w:tmpl w:val="FAA09228"/>
    <w:lvl w:ilvl="0" w:tplc="5DCA9F3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86614F"/>
    <w:multiLevelType w:val="hybridMultilevel"/>
    <w:tmpl w:val="CD2EDFB2"/>
    <w:lvl w:ilvl="0" w:tplc="622A60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714737"/>
    <w:multiLevelType w:val="hybridMultilevel"/>
    <w:tmpl w:val="A9EE7B06"/>
    <w:lvl w:ilvl="0" w:tplc="622A60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3"/>
  </w:num>
  <w:num w:numId="4">
    <w:abstractNumId w:val="1"/>
  </w:num>
  <w:num w:numId="5">
    <w:abstractNumId w:val="2"/>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54"/>
    <w:rsid w:val="00072454"/>
    <w:rsid w:val="00095E27"/>
    <w:rsid w:val="003631E6"/>
    <w:rsid w:val="00484CE7"/>
    <w:rsid w:val="00487ACC"/>
    <w:rsid w:val="00531C0C"/>
    <w:rsid w:val="00831B78"/>
    <w:rsid w:val="00991DE7"/>
    <w:rsid w:val="00A36CE3"/>
    <w:rsid w:val="00C53940"/>
    <w:rsid w:val="00D1601A"/>
    <w:rsid w:val="00D2088B"/>
    <w:rsid w:val="00E05C08"/>
    <w:rsid w:val="00F547FB"/>
    <w:rsid w:val="00FD3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BC16"/>
  <w15:chartTrackingRefBased/>
  <w15:docId w15:val="{86F3EE4D-C8D3-4F28-A377-AC15C33B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4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置中"/>
    <w:basedOn w:val="a"/>
    <w:link w:val="a4"/>
    <w:qFormat/>
    <w:rsid w:val="00072454"/>
    <w:pPr>
      <w:adjustRightInd w:val="0"/>
      <w:snapToGrid w:val="0"/>
      <w:spacing w:line="240" w:lineRule="atLeast"/>
      <w:jc w:val="center"/>
      <w:textAlignment w:val="baseline"/>
    </w:pPr>
    <w:rPr>
      <w:rFonts w:ascii="Times New Roman" w:eastAsia="標楷體" w:hAnsi="Times New Roman" w:cs="Times New Roman"/>
      <w:color w:val="000000" w:themeColor="text1"/>
      <w:kern w:val="0"/>
      <w:szCs w:val="28"/>
    </w:rPr>
  </w:style>
  <w:style w:type="character" w:customStyle="1" w:styleId="a4">
    <w:name w:val="表格置中 字元"/>
    <w:basedOn w:val="a0"/>
    <w:link w:val="a3"/>
    <w:rsid w:val="00072454"/>
    <w:rPr>
      <w:rFonts w:ascii="Times New Roman" w:eastAsia="標楷體" w:hAnsi="Times New Roman" w:cs="Times New Roman"/>
      <w:color w:val="000000" w:themeColor="text1"/>
      <w:kern w:val="0"/>
      <w:szCs w:val="28"/>
    </w:rPr>
  </w:style>
  <w:style w:type="paragraph" w:styleId="a5">
    <w:name w:val="List Paragraph"/>
    <w:basedOn w:val="a"/>
    <w:uiPriority w:val="34"/>
    <w:qFormat/>
    <w:rsid w:val="00072454"/>
    <w:pPr>
      <w:ind w:leftChars="200" w:left="480"/>
    </w:pPr>
  </w:style>
  <w:style w:type="paragraph" w:styleId="a6">
    <w:name w:val="header"/>
    <w:basedOn w:val="a"/>
    <w:link w:val="a7"/>
    <w:uiPriority w:val="99"/>
    <w:unhideWhenUsed/>
    <w:rsid w:val="00D1601A"/>
    <w:pPr>
      <w:tabs>
        <w:tab w:val="center" w:pos="4153"/>
        <w:tab w:val="right" w:pos="8306"/>
      </w:tabs>
      <w:snapToGrid w:val="0"/>
    </w:pPr>
    <w:rPr>
      <w:sz w:val="20"/>
      <w:szCs w:val="20"/>
    </w:rPr>
  </w:style>
  <w:style w:type="character" w:customStyle="1" w:styleId="a7">
    <w:name w:val="頁首 字元"/>
    <w:basedOn w:val="a0"/>
    <w:link w:val="a6"/>
    <w:uiPriority w:val="99"/>
    <w:rsid w:val="00D1601A"/>
    <w:rPr>
      <w:sz w:val="20"/>
      <w:szCs w:val="20"/>
    </w:rPr>
  </w:style>
  <w:style w:type="paragraph" w:styleId="a8">
    <w:name w:val="footer"/>
    <w:basedOn w:val="a"/>
    <w:link w:val="a9"/>
    <w:uiPriority w:val="99"/>
    <w:unhideWhenUsed/>
    <w:rsid w:val="00D1601A"/>
    <w:pPr>
      <w:tabs>
        <w:tab w:val="center" w:pos="4153"/>
        <w:tab w:val="right" w:pos="8306"/>
      </w:tabs>
      <w:snapToGrid w:val="0"/>
    </w:pPr>
    <w:rPr>
      <w:sz w:val="20"/>
      <w:szCs w:val="20"/>
    </w:rPr>
  </w:style>
  <w:style w:type="character" w:customStyle="1" w:styleId="a9">
    <w:name w:val="頁尾 字元"/>
    <w:basedOn w:val="a0"/>
    <w:link w:val="a8"/>
    <w:uiPriority w:val="99"/>
    <w:rsid w:val="00D1601A"/>
    <w:rPr>
      <w:sz w:val="20"/>
      <w:szCs w:val="20"/>
    </w:rPr>
  </w:style>
  <w:style w:type="character" w:customStyle="1" w:styleId="textred">
    <w:name w:val="textred"/>
    <w:basedOn w:val="a0"/>
    <w:rsid w:val="00F547FB"/>
  </w:style>
  <w:style w:type="character" w:styleId="aa">
    <w:name w:val="annotation reference"/>
    <w:basedOn w:val="a0"/>
    <w:uiPriority w:val="99"/>
    <w:semiHidden/>
    <w:unhideWhenUsed/>
    <w:rsid w:val="00F547FB"/>
    <w:rPr>
      <w:sz w:val="18"/>
      <w:szCs w:val="18"/>
    </w:rPr>
  </w:style>
  <w:style w:type="paragraph" w:styleId="ab">
    <w:name w:val="annotation text"/>
    <w:basedOn w:val="a"/>
    <w:link w:val="ac"/>
    <w:uiPriority w:val="99"/>
    <w:semiHidden/>
    <w:unhideWhenUsed/>
    <w:rsid w:val="00F547FB"/>
  </w:style>
  <w:style w:type="character" w:customStyle="1" w:styleId="ac">
    <w:name w:val="註解文字 字元"/>
    <w:basedOn w:val="a0"/>
    <w:link w:val="ab"/>
    <w:uiPriority w:val="99"/>
    <w:semiHidden/>
    <w:rsid w:val="00F547FB"/>
  </w:style>
  <w:style w:type="paragraph" w:styleId="ad">
    <w:name w:val="annotation subject"/>
    <w:basedOn w:val="ab"/>
    <w:next w:val="ab"/>
    <w:link w:val="ae"/>
    <w:uiPriority w:val="99"/>
    <w:semiHidden/>
    <w:unhideWhenUsed/>
    <w:rsid w:val="00F547FB"/>
    <w:rPr>
      <w:b/>
      <w:bCs/>
    </w:rPr>
  </w:style>
  <w:style w:type="character" w:customStyle="1" w:styleId="ae">
    <w:name w:val="註解主旨 字元"/>
    <w:basedOn w:val="ac"/>
    <w:link w:val="ad"/>
    <w:uiPriority w:val="99"/>
    <w:semiHidden/>
    <w:rsid w:val="00F547FB"/>
    <w:rPr>
      <w:b/>
      <w:bCs/>
    </w:rPr>
  </w:style>
  <w:style w:type="character" w:styleId="af">
    <w:name w:val="Hyperlink"/>
    <w:basedOn w:val="a0"/>
    <w:uiPriority w:val="99"/>
    <w:unhideWhenUsed/>
    <w:rsid w:val="00A36CE3"/>
    <w:rPr>
      <w:color w:val="0563C1" w:themeColor="hyperlink"/>
      <w:u w:val="single"/>
    </w:rPr>
  </w:style>
  <w:style w:type="character" w:styleId="af0">
    <w:name w:val="Unresolved Mention"/>
    <w:basedOn w:val="a0"/>
    <w:uiPriority w:val="99"/>
    <w:semiHidden/>
    <w:unhideWhenUsed/>
    <w:rsid w:val="00A36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904">
      <w:bodyDiv w:val="1"/>
      <w:marLeft w:val="0"/>
      <w:marRight w:val="0"/>
      <w:marTop w:val="0"/>
      <w:marBottom w:val="0"/>
      <w:divBdr>
        <w:top w:val="none" w:sz="0" w:space="0" w:color="auto"/>
        <w:left w:val="none" w:sz="0" w:space="0" w:color="auto"/>
        <w:bottom w:val="none" w:sz="0" w:space="0" w:color="auto"/>
        <w:right w:val="none" w:sz="0" w:space="0" w:color="auto"/>
      </w:divBdr>
      <w:divsChild>
        <w:div w:id="1883249970">
          <w:marLeft w:val="547"/>
          <w:marRight w:val="0"/>
          <w:marTop w:val="0"/>
          <w:marBottom w:val="0"/>
          <w:divBdr>
            <w:top w:val="none" w:sz="0" w:space="0" w:color="auto"/>
            <w:left w:val="none" w:sz="0" w:space="0" w:color="auto"/>
            <w:bottom w:val="none" w:sz="0" w:space="0" w:color="auto"/>
            <w:right w:val="none" w:sz="0" w:space="0" w:color="auto"/>
          </w:divBdr>
        </w:div>
      </w:divsChild>
    </w:div>
    <w:div w:id="770198730">
      <w:bodyDiv w:val="1"/>
      <w:marLeft w:val="0"/>
      <w:marRight w:val="0"/>
      <w:marTop w:val="0"/>
      <w:marBottom w:val="0"/>
      <w:divBdr>
        <w:top w:val="none" w:sz="0" w:space="0" w:color="auto"/>
        <w:left w:val="none" w:sz="0" w:space="0" w:color="auto"/>
        <w:bottom w:val="none" w:sz="0" w:space="0" w:color="auto"/>
        <w:right w:val="none" w:sz="0" w:space="0" w:color="auto"/>
      </w:divBdr>
      <w:divsChild>
        <w:div w:id="1649356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246.swcb.gov.tw/"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Wang</dc:creator>
  <cp:keywords/>
  <dc:description/>
  <cp:lastModifiedBy>Kim Wang</cp:lastModifiedBy>
  <cp:revision>3</cp:revision>
  <dcterms:created xsi:type="dcterms:W3CDTF">2021-11-01T02:52:00Z</dcterms:created>
  <dcterms:modified xsi:type="dcterms:W3CDTF">2021-11-01T02:52:00Z</dcterms:modified>
</cp:coreProperties>
</file>