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FD9C0" w14:textId="5E8A5591" w:rsidR="009F1D1A" w:rsidRPr="00EA6629" w:rsidRDefault="009F1D1A">
      <w:pPr>
        <w:rPr>
          <w:rFonts w:ascii="標楷體" w:eastAsia="標楷體" w:hAnsi="標楷體"/>
        </w:rPr>
      </w:pPr>
      <w:r w:rsidRPr="00EA6629">
        <w:rPr>
          <w:rFonts w:ascii="標楷體" w:eastAsia="標楷體" w:hAnsi="標楷體" w:hint="eastAsia"/>
        </w:rPr>
        <w:t>「</w:t>
      </w:r>
      <w:proofErr w:type="gramStart"/>
      <w:r w:rsidRPr="00EA6629">
        <w:rPr>
          <w:rFonts w:ascii="標楷體" w:eastAsia="標楷體" w:hAnsi="標楷體" w:hint="eastAsia"/>
          <w:sz w:val="28"/>
          <w:szCs w:val="28"/>
        </w:rPr>
        <w:t>臺</w:t>
      </w:r>
      <w:proofErr w:type="gramEnd"/>
      <w:r w:rsidRPr="00EA6629">
        <w:rPr>
          <w:rFonts w:ascii="標楷體" w:eastAsia="標楷體" w:hAnsi="標楷體" w:hint="eastAsia"/>
          <w:sz w:val="28"/>
          <w:szCs w:val="28"/>
        </w:rPr>
        <w:t>南市</w:t>
      </w:r>
      <w:proofErr w:type="gramStart"/>
      <w:r w:rsidRPr="00EA6629">
        <w:rPr>
          <w:rFonts w:ascii="標楷體" w:eastAsia="標楷體" w:hAnsi="標楷體" w:hint="eastAsia"/>
          <w:sz w:val="28"/>
          <w:szCs w:val="28"/>
        </w:rPr>
        <w:t>113</w:t>
      </w:r>
      <w:proofErr w:type="gramEnd"/>
      <w:r w:rsidRPr="00EA6629">
        <w:rPr>
          <w:rFonts w:ascii="標楷體" w:eastAsia="標楷體" w:hAnsi="標楷體" w:hint="eastAsia"/>
          <w:sz w:val="28"/>
          <w:szCs w:val="28"/>
        </w:rPr>
        <w:t>年度違法水井處置執行計畫-水井納管委託專業服務(開口契約)」</w:t>
      </w:r>
      <w:proofErr w:type="gramStart"/>
      <w:r w:rsidRPr="00EA6629">
        <w:rPr>
          <w:rFonts w:ascii="標楷體" w:eastAsia="標楷體" w:hAnsi="標楷體" w:hint="eastAsia"/>
          <w:sz w:val="28"/>
          <w:szCs w:val="28"/>
        </w:rPr>
        <w:t>召標文件</w:t>
      </w:r>
      <w:proofErr w:type="gramEnd"/>
      <w:r w:rsidRPr="00EA6629">
        <w:rPr>
          <w:rFonts w:ascii="標楷體" w:eastAsia="標楷體" w:hAnsi="標楷體" w:hint="eastAsia"/>
          <w:sz w:val="28"/>
          <w:szCs w:val="28"/>
        </w:rPr>
        <w:t>廠商疑義本局回覆表</w:t>
      </w:r>
    </w:p>
    <w:tbl>
      <w:tblPr>
        <w:tblStyle w:val="a7"/>
        <w:tblW w:w="14170" w:type="dxa"/>
        <w:tblLook w:val="04A0" w:firstRow="1" w:lastRow="0" w:firstColumn="1" w:lastColumn="0" w:noHBand="0" w:noVBand="1"/>
      </w:tblPr>
      <w:tblGrid>
        <w:gridCol w:w="846"/>
        <w:gridCol w:w="5386"/>
        <w:gridCol w:w="7938"/>
      </w:tblGrid>
      <w:tr w:rsidR="00734289" w:rsidRPr="00EA6629" w14:paraId="0726C0E9" w14:textId="77777777" w:rsidTr="00734289">
        <w:tc>
          <w:tcPr>
            <w:tcW w:w="846" w:type="dxa"/>
          </w:tcPr>
          <w:p w14:paraId="75B8DF02" w14:textId="164558ED" w:rsidR="00734289" w:rsidRPr="00EA6629" w:rsidRDefault="00734289">
            <w:pPr>
              <w:rPr>
                <w:rFonts w:ascii="標楷體" w:eastAsia="標楷體" w:hAnsi="標楷體"/>
                <w:sz w:val="26"/>
                <w:szCs w:val="26"/>
              </w:rPr>
            </w:pPr>
            <w:r w:rsidRPr="00EA6629">
              <w:rPr>
                <w:rFonts w:ascii="標楷體" w:eastAsia="標楷體" w:hAnsi="標楷體" w:hint="eastAsia"/>
                <w:sz w:val="26"/>
                <w:szCs w:val="26"/>
              </w:rPr>
              <w:t>項目</w:t>
            </w:r>
          </w:p>
        </w:tc>
        <w:tc>
          <w:tcPr>
            <w:tcW w:w="5386" w:type="dxa"/>
          </w:tcPr>
          <w:p w14:paraId="50504C1B" w14:textId="00A952D2" w:rsidR="00734289" w:rsidRPr="00EA6629" w:rsidRDefault="00734289" w:rsidP="00734289">
            <w:pPr>
              <w:jc w:val="center"/>
              <w:rPr>
                <w:rFonts w:ascii="標楷體" w:eastAsia="標楷體" w:hAnsi="標楷體"/>
                <w:sz w:val="26"/>
                <w:szCs w:val="26"/>
              </w:rPr>
            </w:pPr>
            <w:r w:rsidRPr="00EA6629">
              <w:rPr>
                <w:rFonts w:ascii="標楷體" w:eastAsia="標楷體" w:hAnsi="標楷體" w:hint="eastAsia"/>
                <w:sz w:val="26"/>
                <w:szCs w:val="26"/>
              </w:rPr>
              <w:t>廠商疑義</w:t>
            </w:r>
          </w:p>
        </w:tc>
        <w:tc>
          <w:tcPr>
            <w:tcW w:w="7938" w:type="dxa"/>
          </w:tcPr>
          <w:p w14:paraId="338495BB" w14:textId="1E259F8D" w:rsidR="00734289" w:rsidRPr="00EA6629" w:rsidRDefault="00734289" w:rsidP="00734289">
            <w:pPr>
              <w:jc w:val="center"/>
              <w:rPr>
                <w:rFonts w:ascii="標楷體" w:eastAsia="標楷體" w:hAnsi="標楷體"/>
                <w:sz w:val="26"/>
                <w:szCs w:val="26"/>
              </w:rPr>
            </w:pPr>
            <w:r w:rsidRPr="00EA6629">
              <w:rPr>
                <w:rFonts w:ascii="標楷體" w:eastAsia="標楷體" w:hAnsi="標楷體" w:hint="eastAsia"/>
                <w:sz w:val="26"/>
                <w:szCs w:val="26"/>
              </w:rPr>
              <w:t>本局回覆說明</w:t>
            </w:r>
          </w:p>
        </w:tc>
      </w:tr>
      <w:tr w:rsidR="00734289" w:rsidRPr="00EA6629" w14:paraId="54E5C786" w14:textId="77777777" w:rsidTr="00734289">
        <w:tc>
          <w:tcPr>
            <w:tcW w:w="846" w:type="dxa"/>
          </w:tcPr>
          <w:p w14:paraId="74C36A2F" w14:textId="23FE3D89" w:rsidR="00734289" w:rsidRPr="00EA6629" w:rsidRDefault="00734289">
            <w:pPr>
              <w:rPr>
                <w:rFonts w:ascii="標楷體" w:eastAsia="標楷體" w:hAnsi="標楷體"/>
                <w:sz w:val="26"/>
                <w:szCs w:val="26"/>
              </w:rPr>
            </w:pPr>
            <w:proofErr w:type="gramStart"/>
            <w:r w:rsidRPr="00EA6629">
              <w:rPr>
                <w:rFonts w:ascii="標楷體" w:eastAsia="標楷體" w:hAnsi="標楷體" w:hint="eastAsia"/>
                <w:sz w:val="26"/>
                <w:szCs w:val="26"/>
              </w:rPr>
              <w:t>一</w:t>
            </w:r>
            <w:proofErr w:type="gramEnd"/>
          </w:p>
        </w:tc>
        <w:tc>
          <w:tcPr>
            <w:tcW w:w="5386" w:type="dxa"/>
          </w:tcPr>
          <w:p w14:paraId="07CD739E" w14:textId="69B9B218" w:rsidR="00734289" w:rsidRPr="00EA6629" w:rsidRDefault="00734289">
            <w:pPr>
              <w:rPr>
                <w:rFonts w:ascii="標楷體" w:eastAsia="標楷體" w:hAnsi="標楷體"/>
                <w:sz w:val="26"/>
                <w:szCs w:val="26"/>
              </w:rPr>
            </w:pPr>
            <w:r w:rsidRPr="00EA6629">
              <w:rPr>
                <w:rFonts w:ascii="標楷體" w:eastAsia="標楷體" w:hAnsi="標楷體" w:hint="eastAsia"/>
                <w:sz w:val="26"/>
                <w:szCs w:val="26"/>
              </w:rPr>
              <w:t>依本案需求說明書第參、工作項目與內容及價目表中明顯得知本案各工作項目內容並「非僅能」由上述之廠商方可施作且無需簽證，然電器</w:t>
            </w:r>
            <w:proofErr w:type="gramStart"/>
            <w:r w:rsidRPr="00EA6629">
              <w:rPr>
                <w:rFonts w:ascii="標楷體" w:eastAsia="標楷體" w:hAnsi="標楷體" w:hint="eastAsia"/>
                <w:sz w:val="26"/>
                <w:szCs w:val="26"/>
              </w:rPr>
              <w:t>承裝業</w:t>
            </w:r>
            <w:proofErr w:type="gramEnd"/>
            <w:r w:rsidRPr="00EA6629">
              <w:rPr>
                <w:rFonts w:ascii="標楷體" w:eastAsia="標楷體" w:hAnsi="標楷體" w:hint="eastAsia"/>
                <w:sz w:val="26"/>
                <w:szCs w:val="26"/>
              </w:rPr>
              <w:t>(E601010)或自動控制設備工程業(E603050)之廠商皆可符合本案各項工作之需求。特別是在水電比試驗部分更優於工程技術顧問公司及技師事務所之技術能力，由上</w:t>
            </w:r>
            <w:proofErr w:type="gramStart"/>
            <w:r w:rsidRPr="00EA6629">
              <w:rPr>
                <w:rFonts w:ascii="標楷體" w:eastAsia="標楷體" w:hAnsi="標楷體" w:hint="eastAsia"/>
                <w:sz w:val="26"/>
                <w:szCs w:val="26"/>
              </w:rPr>
              <w:t>可證請貴</w:t>
            </w:r>
            <w:proofErr w:type="gramEnd"/>
            <w:r w:rsidRPr="00EA6629">
              <w:rPr>
                <w:rFonts w:ascii="標楷體" w:eastAsia="標楷體" w:hAnsi="標楷體" w:hint="eastAsia"/>
                <w:sz w:val="26"/>
                <w:szCs w:val="26"/>
              </w:rPr>
              <w:t>局已廣徵廠商之心態開放本案廠商資格，避免被「特定廠商」所把持。</w:t>
            </w:r>
          </w:p>
        </w:tc>
        <w:tc>
          <w:tcPr>
            <w:tcW w:w="7938" w:type="dxa"/>
          </w:tcPr>
          <w:p w14:paraId="4744F619" w14:textId="631DC9CE" w:rsidR="00734289" w:rsidRPr="00EA6629" w:rsidRDefault="00734289" w:rsidP="00EA6629">
            <w:pPr>
              <w:ind w:left="567" w:hangingChars="218" w:hanging="567"/>
              <w:rPr>
                <w:rFonts w:ascii="標楷體" w:eastAsia="標楷體" w:hAnsi="標楷體"/>
                <w:sz w:val="26"/>
                <w:szCs w:val="26"/>
              </w:rPr>
            </w:pPr>
            <w:r w:rsidRPr="00EA6629">
              <w:rPr>
                <w:rFonts w:ascii="標楷體" w:eastAsia="標楷體" w:hAnsi="標楷體" w:hint="eastAsia"/>
                <w:sz w:val="26"/>
                <w:szCs w:val="26"/>
              </w:rPr>
              <w:t>(</w:t>
            </w:r>
            <w:proofErr w:type="gramStart"/>
            <w:r w:rsidRPr="00EA6629">
              <w:rPr>
                <w:rFonts w:ascii="標楷體" w:eastAsia="標楷體" w:hAnsi="標楷體" w:hint="eastAsia"/>
                <w:sz w:val="26"/>
                <w:szCs w:val="26"/>
              </w:rPr>
              <w:t>一</w:t>
            </w:r>
            <w:proofErr w:type="gramEnd"/>
            <w:r w:rsidRPr="00EA6629">
              <w:rPr>
                <w:rFonts w:ascii="標楷體" w:eastAsia="標楷體" w:hAnsi="標楷體" w:hint="eastAsia"/>
                <w:sz w:val="26"/>
                <w:szCs w:val="26"/>
              </w:rPr>
              <w:t>)按「機關辦理採購，得依實際需要，規定投標廠商之基本資格。」政府採購法第3</w:t>
            </w:r>
            <w:r w:rsidRPr="00EA6629">
              <w:rPr>
                <w:rFonts w:ascii="標楷體" w:eastAsia="標楷體" w:hAnsi="標楷體"/>
                <w:sz w:val="26"/>
                <w:szCs w:val="26"/>
              </w:rPr>
              <w:t>6</w:t>
            </w:r>
            <w:r w:rsidRPr="00EA6629">
              <w:rPr>
                <w:rFonts w:ascii="標楷體" w:eastAsia="標楷體" w:hAnsi="標楷體" w:hint="eastAsia"/>
                <w:sz w:val="26"/>
                <w:szCs w:val="26"/>
              </w:rPr>
              <w:t>條訂有明文，本次計畫採購之目的係針對為推動未來本市地下水保育管理，其相當重要之基礎工作，</w:t>
            </w:r>
            <w:r w:rsidR="00A94E16">
              <w:rPr>
                <w:rFonts w:ascii="標楷體" w:eastAsia="標楷體" w:hAnsi="標楷體" w:hint="eastAsia"/>
                <w:sz w:val="26"/>
                <w:szCs w:val="26"/>
              </w:rPr>
              <w:t>包含</w:t>
            </w:r>
            <w:r w:rsidRPr="00EA6629">
              <w:rPr>
                <w:rFonts w:ascii="標楷體" w:eastAsia="標楷體" w:hAnsi="標楷體" w:hint="eastAsia"/>
                <w:sz w:val="26"/>
                <w:szCs w:val="26"/>
              </w:rPr>
              <w:t>未登記水井申報、複查及輔導合法等作業，故本局依工作目的需求訂定本次採購之投標廠商基本資格。</w:t>
            </w:r>
          </w:p>
          <w:p w14:paraId="6FD92ADE" w14:textId="083B9D01" w:rsidR="00734289" w:rsidRPr="00EA6629" w:rsidRDefault="00734289" w:rsidP="00EA6629">
            <w:pPr>
              <w:ind w:left="567" w:hangingChars="218" w:hanging="567"/>
              <w:rPr>
                <w:rFonts w:ascii="標楷體" w:eastAsia="標楷體" w:hAnsi="標楷體"/>
                <w:sz w:val="26"/>
                <w:szCs w:val="26"/>
              </w:rPr>
            </w:pPr>
            <w:r w:rsidRPr="00EA6629">
              <w:rPr>
                <w:rFonts w:ascii="標楷體" w:eastAsia="標楷體" w:hAnsi="標楷體" w:hint="eastAsia"/>
                <w:sz w:val="26"/>
                <w:szCs w:val="26"/>
              </w:rPr>
              <w:t>(二)</w:t>
            </w:r>
            <w:proofErr w:type="gramStart"/>
            <w:r w:rsidRPr="00EA6629">
              <w:rPr>
                <w:rFonts w:ascii="標楷體" w:eastAsia="標楷體" w:hAnsi="標楷體" w:hint="eastAsia"/>
                <w:sz w:val="26"/>
                <w:szCs w:val="26"/>
              </w:rPr>
              <w:t>倘本市</w:t>
            </w:r>
            <w:proofErr w:type="gramEnd"/>
            <w:r w:rsidRPr="00EA6629">
              <w:rPr>
                <w:rFonts w:ascii="標楷體" w:eastAsia="標楷體" w:hAnsi="標楷體" w:hint="eastAsia"/>
                <w:sz w:val="26"/>
                <w:szCs w:val="26"/>
              </w:rPr>
              <w:t>未登記水井申報、複查及輔導合法等計畫完成後，如有進一步推動智慧水管理計畫，會依其計畫實際需要，評估將電器</w:t>
            </w:r>
            <w:proofErr w:type="gramStart"/>
            <w:r w:rsidRPr="00EA6629">
              <w:rPr>
                <w:rFonts w:ascii="標楷體" w:eastAsia="標楷體" w:hAnsi="標楷體" w:hint="eastAsia"/>
                <w:sz w:val="26"/>
                <w:szCs w:val="26"/>
              </w:rPr>
              <w:t>承裝業</w:t>
            </w:r>
            <w:proofErr w:type="gramEnd"/>
            <w:r w:rsidRPr="00EA6629">
              <w:rPr>
                <w:rFonts w:ascii="標楷體" w:eastAsia="標楷體" w:hAnsi="標楷體" w:hint="eastAsia"/>
                <w:sz w:val="26"/>
                <w:szCs w:val="26"/>
              </w:rPr>
              <w:t>(E601010)或自動控制設備工程業(E603050)之廠商納入，以利計畫目標之達成。</w:t>
            </w:r>
          </w:p>
        </w:tc>
      </w:tr>
      <w:tr w:rsidR="00734289" w:rsidRPr="00EA6629" w14:paraId="2BEEF4E3" w14:textId="77777777" w:rsidTr="00734289">
        <w:tc>
          <w:tcPr>
            <w:tcW w:w="846" w:type="dxa"/>
          </w:tcPr>
          <w:p w14:paraId="0E244AE8" w14:textId="106D8C99" w:rsidR="00734289" w:rsidRPr="00EA6629" w:rsidRDefault="00734289">
            <w:pPr>
              <w:rPr>
                <w:rFonts w:ascii="標楷體" w:eastAsia="標楷體" w:hAnsi="標楷體"/>
                <w:sz w:val="26"/>
                <w:szCs w:val="26"/>
              </w:rPr>
            </w:pPr>
            <w:r w:rsidRPr="00EA6629">
              <w:rPr>
                <w:rFonts w:ascii="標楷體" w:eastAsia="標楷體" w:hAnsi="標楷體" w:hint="eastAsia"/>
                <w:sz w:val="26"/>
                <w:szCs w:val="26"/>
              </w:rPr>
              <w:t>二</w:t>
            </w:r>
          </w:p>
        </w:tc>
        <w:tc>
          <w:tcPr>
            <w:tcW w:w="5386" w:type="dxa"/>
          </w:tcPr>
          <w:p w14:paraId="215A56FD" w14:textId="7890297B" w:rsidR="00734289" w:rsidRPr="00EA6629" w:rsidRDefault="00734289">
            <w:pPr>
              <w:rPr>
                <w:rFonts w:ascii="標楷體" w:eastAsia="標楷體" w:hAnsi="標楷體"/>
                <w:sz w:val="26"/>
                <w:szCs w:val="26"/>
              </w:rPr>
            </w:pPr>
            <w:r w:rsidRPr="00EA6629">
              <w:rPr>
                <w:rFonts w:ascii="標楷體" w:eastAsia="標楷體" w:hAnsi="標楷體" w:hint="eastAsia"/>
                <w:sz w:val="26"/>
                <w:szCs w:val="26"/>
              </w:rPr>
              <w:t>於本案廠商資格中</w:t>
            </w:r>
            <w:proofErr w:type="gramStart"/>
            <w:r w:rsidRPr="00EA6629">
              <w:rPr>
                <w:rFonts w:ascii="標楷體" w:eastAsia="標楷體" w:hAnsi="標楷體" w:hint="eastAsia"/>
                <w:sz w:val="26"/>
                <w:szCs w:val="26"/>
              </w:rPr>
              <w:t>另詳列非</w:t>
            </w:r>
            <w:proofErr w:type="gramEnd"/>
            <w:r w:rsidRPr="00EA6629">
              <w:rPr>
                <w:rFonts w:ascii="標楷體" w:eastAsia="標楷體" w:hAnsi="標楷體" w:hint="eastAsia"/>
                <w:sz w:val="26"/>
                <w:szCs w:val="26"/>
              </w:rPr>
              <w:t>屬營利事業之法人或團體及公私立大專院校皆可投標，但皆無限定土木、水利、水保等相關類別起不矛盾？實有不合理之處。</w:t>
            </w:r>
          </w:p>
        </w:tc>
        <w:tc>
          <w:tcPr>
            <w:tcW w:w="7938" w:type="dxa"/>
          </w:tcPr>
          <w:p w14:paraId="561BFF5D" w14:textId="0B2086DA" w:rsidR="00734289" w:rsidRPr="002A3119" w:rsidRDefault="00734289" w:rsidP="002A3119">
            <w:pPr>
              <w:pStyle w:val="a8"/>
              <w:numPr>
                <w:ilvl w:val="0"/>
                <w:numId w:val="1"/>
              </w:numPr>
              <w:ind w:leftChars="0"/>
              <w:rPr>
                <w:rFonts w:ascii="標楷體" w:eastAsia="標楷體" w:hAnsi="標楷體"/>
                <w:sz w:val="26"/>
                <w:szCs w:val="26"/>
              </w:rPr>
            </w:pPr>
            <w:r w:rsidRPr="002A3119">
              <w:rPr>
                <w:rFonts w:ascii="標楷體" w:eastAsia="標楷體" w:hAnsi="標楷體" w:hint="eastAsia"/>
                <w:sz w:val="26"/>
                <w:szCs w:val="26"/>
              </w:rPr>
              <w:t>本採購擴大非屬營利事業之法人或團體及公私立大專院校參與投標，係大專院校如以「學校」名義參與投標、簽約，因其效力及於學校本體，必經過學校相關單位管控，以降低本採購未來執行上風險，故不宜由本局指定學校</w:t>
            </w:r>
            <w:proofErr w:type="gramStart"/>
            <w:r w:rsidRPr="002A3119">
              <w:rPr>
                <w:rFonts w:ascii="標楷體" w:eastAsia="標楷體" w:hAnsi="標楷體" w:hint="eastAsia"/>
                <w:sz w:val="26"/>
                <w:szCs w:val="26"/>
              </w:rPr>
              <w:t>內部系</w:t>
            </w:r>
            <w:proofErr w:type="gramEnd"/>
            <w:r w:rsidRPr="002A3119">
              <w:rPr>
                <w:rFonts w:ascii="標楷體" w:eastAsia="標楷體" w:hAnsi="標楷體" w:hint="eastAsia"/>
                <w:sz w:val="26"/>
                <w:szCs w:val="26"/>
              </w:rPr>
              <w:t>所參與。</w:t>
            </w:r>
          </w:p>
          <w:p w14:paraId="26200F54" w14:textId="3DB0EA5B" w:rsidR="00734289" w:rsidRPr="00734289" w:rsidRDefault="00734289" w:rsidP="002A3119">
            <w:pPr>
              <w:pStyle w:val="a8"/>
              <w:numPr>
                <w:ilvl w:val="0"/>
                <w:numId w:val="1"/>
              </w:numPr>
              <w:ind w:leftChars="0"/>
              <w:rPr>
                <w:rFonts w:ascii="標楷體" w:eastAsia="標楷體" w:hAnsi="標楷體"/>
                <w:sz w:val="26"/>
                <w:szCs w:val="26"/>
              </w:rPr>
            </w:pPr>
            <w:r w:rsidRPr="00734289">
              <w:rPr>
                <w:rFonts w:ascii="標楷體" w:eastAsia="標楷體" w:hAnsi="標楷體" w:hint="eastAsia"/>
                <w:sz w:val="26"/>
                <w:szCs w:val="26"/>
              </w:rPr>
              <w:t>另非屬營利事業之法人或團體，係指依其設立屬性法規取得法人資格的團體或申請法院登記在案之團體。由於這些非屬營利團體與公司登記不盡相同，如限定類別反而產生不當限制參與，故本局未給予</w:t>
            </w:r>
            <w:r w:rsidR="000707EE">
              <w:rPr>
                <w:rFonts w:ascii="標楷體" w:eastAsia="標楷體" w:hAnsi="標楷體" w:hint="eastAsia"/>
                <w:sz w:val="26"/>
                <w:szCs w:val="26"/>
              </w:rPr>
              <w:t>類別</w:t>
            </w:r>
            <w:r w:rsidRPr="00734289">
              <w:rPr>
                <w:rFonts w:ascii="標楷體" w:eastAsia="標楷體" w:hAnsi="標楷體" w:hint="eastAsia"/>
                <w:sz w:val="26"/>
                <w:szCs w:val="26"/>
              </w:rPr>
              <w:t>限定</w:t>
            </w:r>
            <w:r w:rsidR="000707EE">
              <w:rPr>
                <w:rFonts w:ascii="標楷體" w:eastAsia="標楷體" w:hAnsi="標楷體" w:hint="eastAsia"/>
                <w:sz w:val="26"/>
                <w:szCs w:val="26"/>
              </w:rPr>
              <w:t>，</w:t>
            </w:r>
            <w:r w:rsidR="00A94E16">
              <w:rPr>
                <w:rFonts w:ascii="標楷體" w:eastAsia="標楷體" w:hAnsi="標楷體" w:hint="eastAsia"/>
                <w:sz w:val="26"/>
                <w:szCs w:val="26"/>
              </w:rPr>
              <w:t>惟，本採購案</w:t>
            </w:r>
            <w:r w:rsidR="008307C3">
              <w:rPr>
                <w:rFonts w:ascii="標楷體" w:eastAsia="標楷體" w:hAnsi="標楷體" w:hint="eastAsia"/>
                <w:sz w:val="26"/>
                <w:szCs w:val="26"/>
              </w:rPr>
              <w:t>仍需經</w:t>
            </w:r>
            <w:r w:rsidR="000707EE">
              <w:rPr>
                <w:rFonts w:ascii="標楷體" w:eastAsia="標楷體" w:hAnsi="標楷體" w:hint="eastAsia"/>
                <w:sz w:val="26"/>
                <w:szCs w:val="26"/>
              </w:rPr>
              <w:t>由</w:t>
            </w:r>
            <w:r w:rsidR="000707EE" w:rsidRPr="000707EE">
              <w:rPr>
                <w:rFonts w:ascii="標楷體" w:eastAsia="標楷體" w:hAnsi="標楷體" w:hint="eastAsia"/>
                <w:sz w:val="26"/>
                <w:szCs w:val="26"/>
              </w:rPr>
              <w:t>專</w:t>
            </w:r>
            <w:r w:rsidR="000707EE" w:rsidRPr="000707EE">
              <w:rPr>
                <w:rFonts w:ascii="標楷體" w:eastAsia="標楷體" w:hAnsi="標楷體" w:hint="eastAsia"/>
                <w:sz w:val="26"/>
                <w:szCs w:val="26"/>
              </w:rPr>
              <w:lastRenderedPageBreak/>
              <w:t>家、學者</w:t>
            </w:r>
            <w:r w:rsidR="000707EE">
              <w:rPr>
                <w:rFonts w:ascii="標楷體" w:eastAsia="標楷體" w:hAnsi="標楷體" w:hint="eastAsia"/>
                <w:sz w:val="26"/>
                <w:szCs w:val="26"/>
              </w:rPr>
              <w:t>組成之</w:t>
            </w:r>
            <w:r w:rsidR="008307C3">
              <w:rPr>
                <w:rFonts w:ascii="標楷體" w:eastAsia="標楷體" w:hAnsi="標楷體" w:hint="eastAsia"/>
                <w:sz w:val="26"/>
                <w:szCs w:val="26"/>
              </w:rPr>
              <w:t>評選委員會</w:t>
            </w:r>
            <w:r w:rsidR="00FD2DB3">
              <w:rPr>
                <w:rFonts w:ascii="標楷體" w:eastAsia="標楷體" w:hAnsi="標楷體" w:hint="eastAsia"/>
                <w:sz w:val="26"/>
                <w:szCs w:val="26"/>
              </w:rPr>
              <w:t>，</w:t>
            </w:r>
            <w:r w:rsidR="008307C3">
              <w:rPr>
                <w:rFonts w:ascii="標楷體" w:eastAsia="標楷體" w:hAnsi="標楷體" w:hint="eastAsia"/>
                <w:sz w:val="26"/>
                <w:szCs w:val="26"/>
              </w:rPr>
              <w:t>就</w:t>
            </w:r>
            <w:r w:rsidR="000707EE">
              <w:rPr>
                <w:rFonts w:ascii="標楷體" w:eastAsia="標楷體" w:hAnsi="標楷體" w:hint="eastAsia"/>
                <w:sz w:val="26"/>
                <w:szCs w:val="26"/>
              </w:rPr>
              <w:t>投標廠商</w:t>
            </w:r>
            <w:r w:rsidR="008307C3" w:rsidRPr="008307C3">
              <w:rPr>
                <w:rFonts w:ascii="標楷體" w:eastAsia="標楷體" w:hAnsi="標楷體" w:hint="eastAsia"/>
                <w:sz w:val="26"/>
                <w:szCs w:val="26"/>
              </w:rPr>
              <w:t>實績經驗</w:t>
            </w:r>
            <w:r w:rsidR="008307C3">
              <w:rPr>
                <w:rFonts w:ascii="標楷體" w:eastAsia="標楷體" w:hAnsi="標楷體" w:hint="eastAsia"/>
                <w:sz w:val="26"/>
                <w:szCs w:val="26"/>
              </w:rPr>
              <w:t>、</w:t>
            </w:r>
            <w:r w:rsidR="008307C3" w:rsidRPr="008307C3">
              <w:rPr>
                <w:rFonts w:ascii="標楷體" w:eastAsia="標楷體" w:hAnsi="標楷體" w:hint="eastAsia"/>
                <w:sz w:val="26"/>
                <w:szCs w:val="26"/>
              </w:rPr>
              <w:t>工作執行構想與進度</w:t>
            </w:r>
            <w:r w:rsidR="008307C3">
              <w:rPr>
                <w:rFonts w:ascii="標楷體" w:eastAsia="標楷體" w:hAnsi="標楷體" w:hint="eastAsia"/>
                <w:sz w:val="26"/>
                <w:szCs w:val="26"/>
              </w:rPr>
              <w:t>、</w:t>
            </w:r>
            <w:r w:rsidR="008307C3" w:rsidRPr="008307C3">
              <w:rPr>
                <w:rFonts w:ascii="標楷體" w:eastAsia="標楷體" w:hAnsi="標楷體" w:hint="eastAsia"/>
                <w:sz w:val="26"/>
                <w:szCs w:val="26"/>
              </w:rPr>
              <w:t>複查規劃及課題及預算標價分析情形</w:t>
            </w:r>
            <w:r w:rsidR="008307C3">
              <w:rPr>
                <w:rFonts w:ascii="標楷體" w:eastAsia="標楷體" w:hAnsi="標楷體" w:hint="eastAsia"/>
                <w:sz w:val="26"/>
                <w:szCs w:val="26"/>
              </w:rPr>
              <w:t>等綜合</w:t>
            </w:r>
            <w:r w:rsidR="008307C3" w:rsidRPr="008307C3">
              <w:rPr>
                <w:rFonts w:ascii="標楷體" w:eastAsia="標楷體" w:hAnsi="標楷體" w:hint="eastAsia"/>
                <w:sz w:val="26"/>
                <w:szCs w:val="26"/>
              </w:rPr>
              <w:t>評選</w:t>
            </w:r>
            <w:r w:rsidR="008307C3">
              <w:rPr>
                <w:rFonts w:ascii="標楷體" w:eastAsia="標楷體" w:hAnsi="標楷體" w:hint="eastAsia"/>
                <w:sz w:val="26"/>
                <w:szCs w:val="26"/>
              </w:rPr>
              <w:t>，協助本局</w:t>
            </w:r>
            <w:r w:rsidR="000707EE">
              <w:rPr>
                <w:rFonts w:ascii="標楷體" w:eastAsia="標楷體" w:hAnsi="標楷體" w:hint="eastAsia"/>
                <w:sz w:val="26"/>
                <w:szCs w:val="26"/>
              </w:rPr>
              <w:t>把關</w:t>
            </w:r>
            <w:r w:rsidR="008307C3">
              <w:rPr>
                <w:rFonts w:ascii="標楷體" w:eastAsia="標楷體" w:hAnsi="標楷體" w:hint="eastAsia"/>
                <w:sz w:val="26"/>
                <w:szCs w:val="26"/>
              </w:rPr>
              <w:t>評選出適合之</w:t>
            </w:r>
            <w:r w:rsidR="008307C3" w:rsidRPr="008307C3">
              <w:rPr>
                <w:rFonts w:ascii="標楷體" w:eastAsia="標楷體" w:hAnsi="標楷體" w:hint="eastAsia"/>
                <w:sz w:val="26"/>
                <w:szCs w:val="26"/>
              </w:rPr>
              <w:t>廠商</w:t>
            </w:r>
            <w:r w:rsidR="000707EE">
              <w:rPr>
                <w:rFonts w:ascii="標楷體" w:eastAsia="標楷體" w:hAnsi="標楷體" w:hint="eastAsia"/>
                <w:sz w:val="26"/>
                <w:szCs w:val="26"/>
              </w:rPr>
              <w:t>，</w:t>
            </w:r>
            <w:r w:rsidR="008307C3">
              <w:rPr>
                <w:rFonts w:ascii="標楷體" w:eastAsia="標楷體" w:hAnsi="標楷體" w:hint="eastAsia"/>
                <w:sz w:val="26"/>
                <w:szCs w:val="26"/>
              </w:rPr>
              <w:t>。</w:t>
            </w:r>
          </w:p>
          <w:p w14:paraId="21C7DDF0" w14:textId="01089292" w:rsidR="00734289" w:rsidRPr="002A3119" w:rsidRDefault="00734289" w:rsidP="00734289">
            <w:pPr>
              <w:pStyle w:val="a8"/>
              <w:ind w:leftChars="0" w:left="720"/>
              <w:rPr>
                <w:rFonts w:ascii="標楷體" w:eastAsia="標楷體" w:hAnsi="標楷體"/>
                <w:sz w:val="26"/>
                <w:szCs w:val="26"/>
              </w:rPr>
            </w:pPr>
          </w:p>
        </w:tc>
      </w:tr>
    </w:tbl>
    <w:p w14:paraId="625BD437" w14:textId="77777777" w:rsidR="002C7284" w:rsidRPr="00EA6629" w:rsidRDefault="002C7284">
      <w:pPr>
        <w:rPr>
          <w:rFonts w:ascii="標楷體" w:eastAsia="標楷體" w:hAnsi="標楷體"/>
          <w:sz w:val="26"/>
          <w:szCs w:val="26"/>
        </w:rPr>
      </w:pPr>
    </w:p>
    <w:sectPr w:rsidR="002C7284" w:rsidRPr="00EA6629" w:rsidSect="009F1D1A">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890C4" w14:textId="77777777" w:rsidR="008F6E01" w:rsidRDefault="008F6E01" w:rsidP="002C7284">
      <w:r>
        <w:separator/>
      </w:r>
    </w:p>
  </w:endnote>
  <w:endnote w:type="continuationSeparator" w:id="0">
    <w:p w14:paraId="4F83C04A" w14:textId="77777777" w:rsidR="008F6E01" w:rsidRDefault="008F6E01" w:rsidP="002C7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D0C40" w14:textId="77777777" w:rsidR="008F6E01" w:rsidRDefault="008F6E01" w:rsidP="002C7284">
      <w:r>
        <w:separator/>
      </w:r>
    </w:p>
  </w:footnote>
  <w:footnote w:type="continuationSeparator" w:id="0">
    <w:p w14:paraId="06A7346D" w14:textId="77777777" w:rsidR="008F6E01" w:rsidRDefault="008F6E01" w:rsidP="002C7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1721F"/>
    <w:multiLevelType w:val="hybridMultilevel"/>
    <w:tmpl w:val="E1DC7392"/>
    <w:lvl w:ilvl="0" w:tplc="997E1C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493057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D1A"/>
    <w:rsid w:val="000707EE"/>
    <w:rsid w:val="00092E61"/>
    <w:rsid w:val="00173409"/>
    <w:rsid w:val="00246DED"/>
    <w:rsid w:val="002A3119"/>
    <w:rsid w:val="002C7284"/>
    <w:rsid w:val="00305EFB"/>
    <w:rsid w:val="00434609"/>
    <w:rsid w:val="004A6023"/>
    <w:rsid w:val="00531273"/>
    <w:rsid w:val="0060720C"/>
    <w:rsid w:val="00620D12"/>
    <w:rsid w:val="00734289"/>
    <w:rsid w:val="008307C3"/>
    <w:rsid w:val="008F6E01"/>
    <w:rsid w:val="009F1D1A"/>
    <w:rsid w:val="00A94E16"/>
    <w:rsid w:val="00B75658"/>
    <w:rsid w:val="00BD388C"/>
    <w:rsid w:val="00C7700E"/>
    <w:rsid w:val="00CA206F"/>
    <w:rsid w:val="00E23719"/>
    <w:rsid w:val="00EA6629"/>
    <w:rsid w:val="00EC1813"/>
    <w:rsid w:val="00F55B9A"/>
    <w:rsid w:val="00FC29E0"/>
    <w:rsid w:val="00FD2D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D7741"/>
  <w15:chartTrackingRefBased/>
  <w15:docId w15:val="{06A49E7F-55BB-4DA5-9EFE-3F664EDA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284"/>
    <w:pPr>
      <w:tabs>
        <w:tab w:val="center" w:pos="4153"/>
        <w:tab w:val="right" w:pos="8306"/>
      </w:tabs>
      <w:snapToGrid w:val="0"/>
    </w:pPr>
    <w:rPr>
      <w:sz w:val="20"/>
      <w:szCs w:val="20"/>
    </w:rPr>
  </w:style>
  <w:style w:type="character" w:customStyle="1" w:styleId="a4">
    <w:name w:val="頁首 字元"/>
    <w:basedOn w:val="a0"/>
    <w:link w:val="a3"/>
    <w:uiPriority w:val="99"/>
    <w:rsid w:val="002C7284"/>
    <w:rPr>
      <w:sz w:val="20"/>
      <w:szCs w:val="20"/>
    </w:rPr>
  </w:style>
  <w:style w:type="paragraph" w:styleId="a5">
    <w:name w:val="footer"/>
    <w:basedOn w:val="a"/>
    <w:link w:val="a6"/>
    <w:uiPriority w:val="99"/>
    <w:unhideWhenUsed/>
    <w:rsid w:val="002C7284"/>
    <w:pPr>
      <w:tabs>
        <w:tab w:val="center" w:pos="4153"/>
        <w:tab w:val="right" w:pos="8306"/>
      </w:tabs>
      <w:snapToGrid w:val="0"/>
    </w:pPr>
    <w:rPr>
      <w:sz w:val="20"/>
      <w:szCs w:val="20"/>
    </w:rPr>
  </w:style>
  <w:style w:type="character" w:customStyle="1" w:styleId="a6">
    <w:name w:val="頁尾 字元"/>
    <w:basedOn w:val="a0"/>
    <w:link w:val="a5"/>
    <w:uiPriority w:val="99"/>
    <w:rsid w:val="002C7284"/>
    <w:rPr>
      <w:sz w:val="20"/>
      <w:szCs w:val="20"/>
    </w:rPr>
  </w:style>
  <w:style w:type="table" w:styleId="a7">
    <w:name w:val="Table Grid"/>
    <w:basedOn w:val="a1"/>
    <w:uiPriority w:val="39"/>
    <w:rsid w:val="002C7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A311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吳勝利</dc:creator>
  <cp:keywords/>
  <dc:description/>
  <cp:lastModifiedBy>吳勝利</cp:lastModifiedBy>
  <cp:revision>14</cp:revision>
  <cp:lastPrinted>2023-12-07T05:05:00Z</cp:lastPrinted>
  <dcterms:created xsi:type="dcterms:W3CDTF">2023-12-07T01:38:00Z</dcterms:created>
  <dcterms:modified xsi:type="dcterms:W3CDTF">2023-12-07T06:51:00Z</dcterms:modified>
</cp:coreProperties>
</file>