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75" w:rsidRDefault="00FC08EA" w:rsidP="00530986">
      <w:pPr>
        <w:ind w:left="1132" w:hangingChars="283" w:hanging="1132"/>
        <w:jc w:val="center"/>
        <w:rPr>
          <w:rFonts w:ascii="標楷體" w:eastAsia="標楷體" w:hAnsi="標楷體"/>
          <w:sz w:val="40"/>
          <w:szCs w:val="40"/>
        </w:rPr>
      </w:pPr>
      <w:r w:rsidRPr="001F7475">
        <w:rPr>
          <w:rFonts w:ascii="標楷體" w:eastAsia="標楷體" w:hAnsi="標楷體" w:hint="eastAsia"/>
          <w:sz w:val="40"/>
          <w:szCs w:val="40"/>
        </w:rPr>
        <w:t>危險性機械及設備檢查費收費標準</w:t>
      </w:r>
      <w:r w:rsidR="000F4DB5">
        <w:rPr>
          <w:rFonts w:ascii="標楷體" w:eastAsia="標楷體" w:hAnsi="標楷體" w:hint="eastAsia"/>
          <w:sz w:val="40"/>
          <w:szCs w:val="40"/>
        </w:rPr>
        <w:t>修正條文</w:t>
      </w:r>
    </w:p>
    <w:p w:rsidR="007A0326" w:rsidRPr="00DE4731" w:rsidRDefault="007D6B70" w:rsidP="00F81F0B">
      <w:pPr>
        <w:pStyle w:val="1"/>
        <w:tabs>
          <w:tab w:val="left" w:pos="1985"/>
        </w:tabs>
        <w:spacing w:beforeLines="0"/>
        <w:contextualSpacing/>
      </w:pPr>
      <w:r w:rsidRPr="00DE4731">
        <w:rPr>
          <w:rFonts w:hint="eastAsia"/>
        </w:rPr>
        <w:t>第</w:t>
      </w:r>
      <w:r w:rsidR="000D30DF" w:rsidRPr="00DE4731">
        <w:rPr>
          <w:rFonts w:hint="eastAsia"/>
        </w:rPr>
        <w:t xml:space="preserve">  </w:t>
      </w:r>
      <w:r w:rsidR="00CB6119" w:rsidRPr="00DE4731">
        <w:rPr>
          <w:rFonts w:hint="eastAsia"/>
        </w:rPr>
        <w:t>一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條</w:t>
      </w:r>
      <w:r w:rsidR="000D30DF" w:rsidRPr="00DE4731">
        <w:rPr>
          <w:rFonts w:hint="eastAsia"/>
        </w:rPr>
        <w:t xml:space="preserve">    </w:t>
      </w:r>
      <w:r w:rsidR="00FC08EA" w:rsidRPr="00DE4731">
        <w:rPr>
          <w:rFonts w:hint="eastAsia"/>
        </w:rPr>
        <w:t>本標準依據職業安全衛生法（以下簡稱本法）第十六條第三項及規費法第十條訂定之。</w:t>
      </w:r>
      <w:bookmarkStart w:id="0" w:name="_GoBack"/>
      <w:bookmarkEnd w:id="0"/>
    </w:p>
    <w:p w:rsidR="001178F3" w:rsidRPr="00DE4731" w:rsidRDefault="001178F3" w:rsidP="00F81F0B">
      <w:pPr>
        <w:pStyle w:val="1"/>
        <w:spacing w:beforeLines="0"/>
        <w:contextualSpacing/>
      </w:pPr>
      <w:r w:rsidRPr="00DE4731">
        <w:rPr>
          <w:rFonts w:hint="eastAsia"/>
        </w:rPr>
        <w:t>第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二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 xml:space="preserve">條    </w:t>
      </w:r>
      <w:r w:rsidR="00D71B4C" w:rsidRPr="00DE4731">
        <w:rPr>
          <w:rFonts w:hint="eastAsia"/>
        </w:rPr>
        <w:t>依本法申請危險性機械或設備之檢查，檢查機構或代行檢查機構應依本標準收取檢查費。</w:t>
      </w:r>
    </w:p>
    <w:p w:rsidR="00D71B4C" w:rsidRPr="00DE4731" w:rsidRDefault="001178F3" w:rsidP="00F81F0B">
      <w:pPr>
        <w:pStyle w:val="1"/>
        <w:spacing w:beforeLines="0"/>
        <w:contextualSpacing/>
      </w:pPr>
      <w:r w:rsidRPr="00DE4731">
        <w:rPr>
          <w:rFonts w:hint="eastAsia"/>
        </w:rPr>
        <w:t>第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三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 xml:space="preserve">條    </w:t>
      </w:r>
      <w:r w:rsidR="00D71B4C" w:rsidRPr="00DE4731">
        <w:rPr>
          <w:rFonts w:hint="eastAsia"/>
        </w:rPr>
        <w:t>危險性機械或設備型式檢查之檢查費，每一型式收取新臺幣八千元。但同時申請多種型式，且皆屬相同危險性機械或設備種類者，每增加一種型式，加收新臺幣四千元。</w:t>
      </w:r>
    </w:p>
    <w:p w:rsidR="00D71B4C" w:rsidRPr="00DE4731" w:rsidRDefault="00D71B4C" w:rsidP="00F81F0B">
      <w:pPr>
        <w:pStyle w:val="1"/>
        <w:spacing w:beforeLines="0"/>
        <w:contextualSpacing/>
      </w:pPr>
      <w:r w:rsidRPr="00DE4731">
        <w:rPr>
          <w:rFonts w:hint="eastAsia"/>
        </w:rPr>
        <w:t xml:space="preserve">              申請前項危險性設備型式</w:t>
      </w:r>
      <w:proofErr w:type="gramStart"/>
      <w:r w:rsidRPr="00DE4731">
        <w:rPr>
          <w:rFonts w:hint="eastAsia"/>
        </w:rPr>
        <w:t>檢查之熔接</w:t>
      </w:r>
      <w:proofErr w:type="gramEnd"/>
      <w:r w:rsidRPr="00DE4731">
        <w:rPr>
          <w:rFonts w:hint="eastAsia"/>
        </w:rPr>
        <w:t>程序</w:t>
      </w:r>
      <w:proofErr w:type="gramStart"/>
      <w:r w:rsidRPr="00DE4731">
        <w:rPr>
          <w:rFonts w:hint="eastAsia"/>
        </w:rPr>
        <w:t>規範及熔接</w:t>
      </w:r>
      <w:proofErr w:type="gramEnd"/>
      <w:r w:rsidRPr="00DE4731">
        <w:rPr>
          <w:rFonts w:hint="eastAsia"/>
        </w:rPr>
        <w:t>程序資格檢定紀錄者，每件次合計收取</w:t>
      </w:r>
      <w:proofErr w:type="gramStart"/>
      <w:r w:rsidRPr="00DE4731">
        <w:rPr>
          <w:rFonts w:hint="eastAsia"/>
        </w:rPr>
        <w:t>檢查費新臺幣</w:t>
      </w:r>
      <w:proofErr w:type="gramEnd"/>
      <w:r w:rsidRPr="00DE4731">
        <w:rPr>
          <w:rFonts w:hint="eastAsia"/>
        </w:rPr>
        <w:t>二千元。</w:t>
      </w:r>
    </w:p>
    <w:p w:rsidR="00D71B4C" w:rsidRPr="00DE4731" w:rsidRDefault="001178F3" w:rsidP="00F81F0B">
      <w:pPr>
        <w:pStyle w:val="1"/>
        <w:spacing w:beforeLines="0"/>
        <w:contextualSpacing/>
      </w:pPr>
      <w:r w:rsidRPr="00DE4731">
        <w:rPr>
          <w:rFonts w:hint="eastAsia"/>
        </w:rPr>
        <w:t>第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四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 xml:space="preserve">條    </w:t>
      </w:r>
      <w:r w:rsidR="00D71B4C" w:rsidRPr="00DE4731">
        <w:rPr>
          <w:rFonts w:hint="eastAsia"/>
        </w:rPr>
        <w:t>危險性機械之竣工檢查、定期檢查、重新檢查、使用檢查及變更檢查之檢查費，如附表</w:t>
      </w:r>
      <w:proofErr w:type="gramStart"/>
      <w:r w:rsidR="00D71B4C" w:rsidRPr="00DE4731">
        <w:rPr>
          <w:rFonts w:hint="eastAsia"/>
        </w:rPr>
        <w:t>一</w:t>
      </w:r>
      <w:proofErr w:type="gramEnd"/>
      <w:r w:rsidR="00D71B4C" w:rsidRPr="00DE4731">
        <w:rPr>
          <w:rFonts w:hint="eastAsia"/>
        </w:rPr>
        <w:t>。</w:t>
      </w:r>
    </w:p>
    <w:p w:rsidR="00D71B4C" w:rsidRPr="00DE4731" w:rsidRDefault="00D71B4C" w:rsidP="00F81F0B">
      <w:pPr>
        <w:pStyle w:val="1"/>
        <w:spacing w:beforeLines="0"/>
        <w:contextualSpacing/>
      </w:pPr>
      <w:r w:rsidRPr="00DE4731">
        <w:rPr>
          <w:rFonts w:hint="eastAsia"/>
        </w:rPr>
        <w:t xml:space="preserve">              既有危險性機械之檢查費，依前項竣工檢查或使用檢查之檢查費，加收百分之二十。</w:t>
      </w:r>
    </w:p>
    <w:p w:rsidR="00D71B4C" w:rsidRPr="00DE4731" w:rsidRDefault="001178F3" w:rsidP="00F81F0B">
      <w:pPr>
        <w:pStyle w:val="1"/>
        <w:spacing w:beforeLines="0"/>
        <w:contextualSpacing/>
      </w:pPr>
      <w:r w:rsidRPr="00DE4731">
        <w:rPr>
          <w:rFonts w:hint="eastAsia"/>
        </w:rPr>
        <w:t>第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五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 xml:space="preserve">條    </w:t>
      </w:r>
      <w:r w:rsidR="00D71B4C" w:rsidRPr="00DE4731">
        <w:rPr>
          <w:rFonts w:hint="eastAsia"/>
        </w:rPr>
        <w:t>危險性</w:t>
      </w:r>
      <w:proofErr w:type="gramStart"/>
      <w:r w:rsidR="00D71B4C" w:rsidRPr="00DE4731">
        <w:rPr>
          <w:rFonts w:hint="eastAsia"/>
        </w:rPr>
        <w:t>設備之熔接</w:t>
      </w:r>
      <w:proofErr w:type="gramEnd"/>
      <w:r w:rsidR="00D71B4C" w:rsidRPr="00DE4731">
        <w:rPr>
          <w:rFonts w:hint="eastAsia"/>
        </w:rPr>
        <w:t>檢查、構造檢查、竣工檢查、定期檢查、重新檢查及變更檢查之檢查費，如附表二。</w:t>
      </w:r>
    </w:p>
    <w:p w:rsidR="00D71B4C" w:rsidRPr="00DE4731" w:rsidRDefault="00D71B4C" w:rsidP="00F81F0B">
      <w:pPr>
        <w:pStyle w:val="1"/>
        <w:spacing w:beforeLines="0"/>
        <w:contextualSpacing/>
      </w:pPr>
      <w:r w:rsidRPr="00DE4731">
        <w:rPr>
          <w:rFonts w:hint="eastAsia"/>
        </w:rPr>
        <w:t xml:space="preserve">              既有危險性設備之檢查費，屬高壓氣體容器者，依前項構造檢查之檢查費，加收百分之二十，其餘既有危險性設備依前項構造檢查及竣工檢查二者之檢查費合計，加收百分之二十。</w:t>
      </w:r>
    </w:p>
    <w:p w:rsidR="00D71B4C" w:rsidRPr="00DE4731" w:rsidRDefault="00D71B4C" w:rsidP="00F81F0B">
      <w:pPr>
        <w:pStyle w:val="1"/>
        <w:spacing w:beforeLines="0"/>
        <w:contextualSpacing/>
      </w:pPr>
      <w:r w:rsidRPr="00DE4731">
        <w:rPr>
          <w:rFonts w:hint="eastAsia"/>
        </w:rPr>
        <w:t xml:space="preserve">              危險性設備之定期檢查依規定僅實施外部檢查者，依第一項之檢查費之百分之六十收取。</w:t>
      </w:r>
    </w:p>
    <w:p w:rsidR="001178F3" w:rsidRPr="00DE4731" w:rsidRDefault="00D71B4C" w:rsidP="00F81F0B">
      <w:pPr>
        <w:pStyle w:val="1"/>
        <w:spacing w:beforeLines="0"/>
        <w:contextualSpacing/>
      </w:pPr>
      <w:r w:rsidRPr="00DE4731">
        <w:rPr>
          <w:rFonts w:hint="eastAsia"/>
        </w:rPr>
        <w:t xml:space="preserve">              經核定延長內部檢查期限或以其他檢查方式替代之定期檢查，依第一項之檢查費，加收百分之二十。</w:t>
      </w:r>
    </w:p>
    <w:p w:rsidR="001178F3" w:rsidRPr="00DE4731" w:rsidRDefault="001178F3" w:rsidP="00F81F0B">
      <w:pPr>
        <w:pStyle w:val="1"/>
        <w:spacing w:beforeLines="0"/>
        <w:contextualSpacing/>
      </w:pPr>
      <w:r w:rsidRPr="00DE4731">
        <w:rPr>
          <w:rFonts w:hint="eastAsia"/>
        </w:rPr>
        <w:t>第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六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 xml:space="preserve">條    </w:t>
      </w:r>
      <w:r w:rsidR="00D71B4C" w:rsidRPr="00DE4731">
        <w:rPr>
          <w:rFonts w:hint="eastAsia"/>
        </w:rPr>
        <w:t>前二條檢查不合格申請復查者，依各該條文所定檢查費百分之六十收費。</w:t>
      </w:r>
    </w:p>
    <w:p w:rsidR="001178F3" w:rsidRPr="00DE4731" w:rsidRDefault="001178F3" w:rsidP="00F81F0B">
      <w:pPr>
        <w:pStyle w:val="1"/>
        <w:spacing w:beforeLines="0"/>
        <w:contextualSpacing/>
      </w:pPr>
      <w:r w:rsidRPr="00DE4731">
        <w:rPr>
          <w:rFonts w:hint="eastAsia"/>
        </w:rPr>
        <w:t>第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七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 xml:space="preserve">條    </w:t>
      </w:r>
      <w:r w:rsidR="00D71B4C" w:rsidRPr="00DE4731">
        <w:rPr>
          <w:rFonts w:hint="eastAsia"/>
        </w:rPr>
        <w:t>前三條之各項檢查，申請於休息日實施者，依各該條文所定檢查費加收百分之五十</w:t>
      </w:r>
      <w:r w:rsidRPr="00DE4731">
        <w:rPr>
          <w:rFonts w:hint="eastAsia"/>
        </w:rPr>
        <w:t>。</w:t>
      </w:r>
    </w:p>
    <w:p w:rsidR="001178F3" w:rsidRPr="00DE4731" w:rsidRDefault="001178F3" w:rsidP="00F81F0B">
      <w:pPr>
        <w:pStyle w:val="1"/>
        <w:spacing w:beforeLines="0"/>
        <w:contextualSpacing/>
      </w:pPr>
      <w:r w:rsidRPr="00DE4731">
        <w:rPr>
          <w:rFonts w:hint="eastAsia"/>
        </w:rPr>
        <w:t>第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八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 xml:space="preserve">條    </w:t>
      </w:r>
      <w:r w:rsidR="00D71B4C" w:rsidRPr="00DE4731">
        <w:rPr>
          <w:rFonts w:hint="eastAsia"/>
        </w:rPr>
        <w:t>危險性機械或設備檢查合格證明之補發或換發，每張收</w:t>
      </w:r>
      <w:r w:rsidR="00D71B4C" w:rsidRPr="00DE4731">
        <w:rPr>
          <w:rFonts w:hint="eastAsia"/>
        </w:rPr>
        <w:lastRenderedPageBreak/>
        <w:t>費新臺幣八百元</w:t>
      </w:r>
      <w:r w:rsidRPr="00DE4731">
        <w:rPr>
          <w:rFonts w:hint="eastAsia"/>
        </w:rPr>
        <w:t>。</w:t>
      </w:r>
    </w:p>
    <w:p w:rsidR="00FC08EA" w:rsidRPr="00DE4731" w:rsidRDefault="00FC08EA" w:rsidP="00F81F0B">
      <w:pPr>
        <w:pStyle w:val="1"/>
        <w:spacing w:beforeLines="0"/>
        <w:contextualSpacing/>
      </w:pPr>
      <w:r w:rsidRPr="00DE4731">
        <w:rPr>
          <w:rFonts w:hint="eastAsia"/>
        </w:rPr>
        <w:t>第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九</w:t>
      </w:r>
      <w:r w:rsidR="000D30DF" w:rsidRPr="00DE4731">
        <w:rPr>
          <w:rFonts w:hint="eastAsia"/>
        </w:rPr>
        <w:t xml:space="preserve">  </w:t>
      </w:r>
      <w:r w:rsidRPr="00DE4731">
        <w:rPr>
          <w:rFonts w:hint="eastAsia"/>
        </w:rPr>
        <w:t>條</w:t>
      </w:r>
      <w:r w:rsidR="00B05CF4" w:rsidRPr="00DE4731">
        <w:rPr>
          <w:rFonts w:hint="eastAsia"/>
        </w:rPr>
        <w:t xml:space="preserve">　　</w:t>
      </w:r>
      <w:r w:rsidR="00D71B4C" w:rsidRPr="00DE4731">
        <w:rPr>
          <w:rFonts w:hint="eastAsia"/>
        </w:rPr>
        <w:t>申請危險性機械或設備檢查資料之閱覽，每件次收取新臺幣五百元。複製檢查資料者，依</w:t>
      </w:r>
      <w:proofErr w:type="gramStart"/>
      <w:r w:rsidR="00D71B4C" w:rsidRPr="00DE4731">
        <w:rPr>
          <w:rFonts w:hint="eastAsia"/>
        </w:rPr>
        <w:t>勞動部及所屬</w:t>
      </w:r>
      <w:proofErr w:type="gramEnd"/>
      <w:r w:rsidR="00D71B4C" w:rsidRPr="00DE4731">
        <w:rPr>
          <w:rFonts w:hint="eastAsia"/>
        </w:rPr>
        <w:t>機關提供政府資訊收費標準收取複製費</w:t>
      </w:r>
      <w:r w:rsidRPr="00DE4731">
        <w:rPr>
          <w:rFonts w:hint="eastAsia"/>
        </w:rPr>
        <w:t>。</w:t>
      </w:r>
    </w:p>
    <w:p w:rsidR="00CB6119" w:rsidRPr="000D30DF" w:rsidRDefault="00FC08EA" w:rsidP="00F81F0B">
      <w:pPr>
        <w:pStyle w:val="-"/>
        <w:spacing w:line="460" w:lineRule="exact"/>
        <w:contextualSpacing/>
      </w:pPr>
      <w:r w:rsidRPr="00DE4731">
        <w:rPr>
          <w:rFonts w:hint="eastAsia"/>
          <w:sz w:val="28"/>
          <w:szCs w:val="28"/>
        </w:rPr>
        <w:t>第</w:t>
      </w:r>
      <w:r w:rsidR="000D30DF" w:rsidRPr="00DE4731">
        <w:rPr>
          <w:rFonts w:hint="eastAsia"/>
          <w:sz w:val="28"/>
          <w:szCs w:val="28"/>
        </w:rPr>
        <w:t xml:space="preserve">  </w:t>
      </w:r>
      <w:r w:rsidRPr="00DE4731">
        <w:rPr>
          <w:rFonts w:hint="eastAsia"/>
          <w:sz w:val="28"/>
          <w:szCs w:val="28"/>
        </w:rPr>
        <w:t>十</w:t>
      </w:r>
      <w:r w:rsidR="000D30DF" w:rsidRPr="00DE4731">
        <w:rPr>
          <w:rFonts w:hint="eastAsia"/>
          <w:sz w:val="28"/>
          <w:szCs w:val="28"/>
        </w:rPr>
        <w:t xml:space="preserve">  </w:t>
      </w:r>
      <w:r w:rsidR="00CB6119" w:rsidRPr="00DE4731">
        <w:rPr>
          <w:rFonts w:hint="eastAsia"/>
          <w:sz w:val="28"/>
          <w:szCs w:val="28"/>
        </w:rPr>
        <w:t>條</w:t>
      </w:r>
      <w:r w:rsidR="00B05CF4" w:rsidRPr="00DE4731">
        <w:rPr>
          <w:rFonts w:hint="eastAsia"/>
          <w:sz w:val="28"/>
          <w:szCs w:val="28"/>
        </w:rPr>
        <w:t xml:space="preserve">　　</w:t>
      </w:r>
      <w:r w:rsidR="00CB6119" w:rsidRPr="00DE4731">
        <w:rPr>
          <w:rFonts w:hint="eastAsia"/>
          <w:sz w:val="28"/>
          <w:szCs w:val="28"/>
        </w:rPr>
        <w:t>本標準自發布日施行。</w:t>
      </w:r>
      <w:r w:rsidRPr="00DE4731">
        <w:rPr>
          <w:rFonts w:hint="eastAsia"/>
          <w:sz w:val="28"/>
          <w:szCs w:val="28"/>
        </w:rPr>
        <w:t xml:space="preserve">      </w:t>
      </w:r>
      <w:r w:rsidR="00CD3DB5" w:rsidRPr="000D30DF">
        <w:rPr>
          <w:rFonts w:hint="eastAsia"/>
        </w:rPr>
        <w:t xml:space="preserve">  </w:t>
      </w:r>
      <w:r w:rsidR="000D30DF">
        <w:rPr>
          <w:rFonts w:hint="eastAsia"/>
        </w:rPr>
        <w:t xml:space="preserve">    </w:t>
      </w:r>
      <w:r w:rsidRPr="000D30DF">
        <w:rPr>
          <w:rFonts w:hint="eastAsia"/>
        </w:rPr>
        <w:t xml:space="preserve">  </w:t>
      </w:r>
    </w:p>
    <w:p w:rsidR="001178F3" w:rsidRDefault="001178F3">
      <w:pPr>
        <w:sectPr w:rsidR="001178F3" w:rsidSect="00E45F95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1178F3" w:rsidRPr="005D21FD" w:rsidRDefault="001178F3" w:rsidP="006338DA">
      <w:pPr>
        <w:widowControl/>
        <w:spacing w:line="460" w:lineRule="exact"/>
        <w:ind w:left="1114" w:hangingChars="398" w:hanging="1114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5D21FD">
        <w:rPr>
          <w:rFonts w:ascii="標楷體" w:eastAsia="標楷體" w:hAnsi="標楷體" w:cs="Arial"/>
          <w:bCs/>
          <w:color w:val="333333"/>
          <w:kern w:val="0"/>
          <w:sz w:val="28"/>
          <w:szCs w:val="28"/>
        </w:rPr>
        <w:lastRenderedPageBreak/>
        <w:t>附表</w:t>
      </w:r>
      <w:proofErr w:type="gramStart"/>
      <w:r w:rsidRPr="005D21FD">
        <w:rPr>
          <w:rFonts w:ascii="標楷體" w:eastAsia="標楷體" w:hAnsi="標楷體" w:cs="Arial"/>
          <w:bCs/>
          <w:color w:val="333333"/>
          <w:kern w:val="0"/>
          <w:sz w:val="28"/>
          <w:szCs w:val="28"/>
        </w:rPr>
        <w:t>一</w:t>
      </w:r>
      <w:proofErr w:type="gramEnd"/>
      <w:r w:rsidRPr="005D21FD">
        <w:rPr>
          <w:rFonts w:ascii="標楷體" w:eastAsia="標楷體" w:hAnsi="標楷體" w:cs="Arial"/>
          <w:bCs/>
          <w:color w:val="333333"/>
          <w:kern w:val="0"/>
          <w:sz w:val="28"/>
          <w:szCs w:val="28"/>
        </w:rPr>
        <w:t xml:space="preserve">　</w:t>
      </w:r>
      <w:r w:rsidRPr="005D21FD">
        <w:rPr>
          <w:rFonts w:ascii="標楷體" w:eastAsia="標楷體" w:hAnsi="標楷體" w:cs="Arial"/>
          <w:bCs/>
          <w:color w:val="333333"/>
          <w:spacing w:val="4"/>
          <w:kern w:val="0"/>
          <w:sz w:val="28"/>
          <w:szCs w:val="28"/>
        </w:rPr>
        <w:t xml:space="preserve">危險性機械竣工檢查、定期檢查、重新檢查、使用檢查及變更檢查之檢查費收費基準表 </w:t>
      </w:r>
    </w:p>
    <w:p w:rsidR="001178F3" w:rsidRPr="003C50C5" w:rsidRDefault="001178F3" w:rsidP="003C50C5">
      <w:pPr>
        <w:widowControl/>
        <w:ind w:left="442" w:hanging="442"/>
        <w:rPr>
          <w:rFonts w:ascii="標楷體" w:eastAsia="標楷體" w:hAnsi="標楷體" w:cs="Arial"/>
          <w:color w:val="333333"/>
          <w:kern w:val="0"/>
          <w:szCs w:val="24"/>
        </w:rPr>
      </w:pPr>
      <w:r w:rsidRPr="003C50C5">
        <w:rPr>
          <w:rFonts w:ascii="標楷體" w:eastAsia="標楷體" w:hAnsi="標楷體" w:cs="Arial"/>
          <w:color w:val="333333"/>
          <w:kern w:val="0"/>
          <w:szCs w:val="24"/>
        </w:rPr>
        <w:t>一、固定式起重機、移動式起重機及人</w:t>
      </w:r>
      <w:proofErr w:type="gramStart"/>
      <w:r w:rsidRPr="003C50C5">
        <w:rPr>
          <w:rFonts w:ascii="標楷體" w:eastAsia="標楷體" w:hAnsi="標楷體" w:cs="Arial"/>
          <w:color w:val="333333"/>
          <w:kern w:val="0"/>
          <w:szCs w:val="24"/>
        </w:rPr>
        <w:t>字臂起重桿</w:t>
      </w:r>
      <w:proofErr w:type="gramEnd"/>
      <w:r w:rsidRPr="003C50C5">
        <w:rPr>
          <w:rFonts w:ascii="標楷體" w:eastAsia="標楷體" w:hAnsi="標楷體" w:cs="Arial"/>
          <w:color w:val="333333"/>
          <w:kern w:val="0"/>
          <w:szCs w:val="24"/>
        </w:rPr>
        <w:t>各項檢查之檢查費收費基準表</w:t>
      </w:r>
    </w:p>
    <w:p w:rsidR="00FA5678" w:rsidRPr="003C50C5" w:rsidRDefault="001178F3" w:rsidP="003C50C5">
      <w:pPr>
        <w:widowControl/>
        <w:ind w:left="669" w:hanging="442"/>
        <w:rPr>
          <w:rFonts w:ascii="標楷體" w:eastAsia="標楷體" w:hAnsi="標楷體" w:cs="Arial"/>
          <w:color w:val="333333"/>
          <w:kern w:val="0"/>
          <w:szCs w:val="24"/>
        </w:rPr>
      </w:pPr>
      <w:r w:rsidRPr="003C50C5">
        <w:rPr>
          <w:rFonts w:ascii="標楷體" w:eastAsia="標楷體" w:hAnsi="標楷體" w:cs="Arial"/>
          <w:color w:val="333333"/>
          <w:kern w:val="0"/>
          <w:szCs w:val="24"/>
        </w:rPr>
        <w:t>(</w:t>
      </w:r>
      <w:proofErr w:type="gramStart"/>
      <w:r w:rsidRPr="003C50C5">
        <w:rPr>
          <w:rFonts w:ascii="標楷體" w:eastAsia="標楷體" w:hAnsi="標楷體" w:cs="Arial"/>
          <w:color w:val="333333"/>
          <w:kern w:val="0"/>
          <w:szCs w:val="24"/>
        </w:rPr>
        <w:t>一</w:t>
      </w:r>
      <w:proofErr w:type="gramEnd"/>
      <w:r w:rsidRPr="003C50C5">
        <w:rPr>
          <w:rFonts w:ascii="標楷體" w:eastAsia="標楷體" w:hAnsi="標楷體" w:cs="Arial"/>
          <w:color w:val="333333"/>
          <w:kern w:val="0"/>
          <w:szCs w:val="24"/>
        </w:rPr>
        <w:t>)</w:t>
      </w:r>
      <w:proofErr w:type="gramStart"/>
      <w:r w:rsidR="00D71B4C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>伸臂式</w:t>
      </w:r>
      <w:proofErr w:type="gramEnd"/>
      <w:r w:rsidR="00D71B4C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>、橋式、卸載機及纜</w:t>
      </w:r>
      <w:proofErr w:type="gramStart"/>
      <w:r w:rsidR="00D71B4C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>索式等固定式</w:t>
      </w:r>
      <w:proofErr w:type="gramEnd"/>
      <w:r w:rsidR="00D71B4C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>起重機，水上式移動式起重機（船舶貨物裝卸設備除外），</w:t>
      </w:r>
      <w:proofErr w:type="gramStart"/>
      <w:r w:rsidR="00D71B4C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>牽索式及定肢式等人字臂起重桿</w:t>
      </w:r>
      <w:proofErr w:type="gramEnd"/>
    </w:p>
    <w:p w:rsidR="001178F3" w:rsidRPr="003C50C5" w:rsidRDefault="003C50C5" w:rsidP="003C50C5">
      <w:pPr>
        <w:widowControl/>
        <w:ind w:leftChars="50" w:left="12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                                                      </w:t>
      </w:r>
      <w:r w:rsidR="001178F3"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單位：新臺幣　　元 </w:t>
      </w:r>
    </w:p>
    <w:tbl>
      <w:tblPr>
        <w:tblW w:w="846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8"/>
        <w:gridCol w:w="1296"/>
        <w:gridCol w:w="1296"/>
        <w:gridCol w:w="1296"/>
        <w:gridCol w:w="1296"/>
        <w:gridCol w:w="1296"/>
      </w:tblGrid>
      <w:tr w:rsidR="001178F3" w:rsidRPr="000D30DF" w:rsidTr="000B295C">
        <w:trPr>
          <w:trHeight w:val="39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proofErr w:type="gramStart"/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吊升荷重</w:t>
            </w:r>
            <w:proofErr w:type="gramEnd"/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（公噸）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竣工檢查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定期檢查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重新檢查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使用檢查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變更檢查 </w:t>
            </w:r>
          </w:p>
        </w:tc>
      </w:tr>
      <w:tr w:rsidR="00530986" w:rsidRPr="000D30DF" w:rsidTr="000B295C">
        <w:trPr>
          <w:trHeight w:val="16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spacing w:line="169" w:lineRule="atLeast"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未滿5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3,200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3,200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0B295C">
        <w:trPr>
          <w:trHeight w:val="17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5以上，未滿10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4,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3,700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4,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0B295C">
        <w:trPr>
          <w:trHeight w:val="33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10以上，未滿20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0B295C">
        <w:trPr>
          <w:trHeight w:val="13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spacing w:line="137" w:lineRule="atLeast"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20以上，未滿50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0B295C">
        <w:trPr>
          <w:trHeight w:val="32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50以上，未滿100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0B295C">
        <w:trPr>
          <w:trHeight w:val="30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100以上，未滿200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0B295C">
        <w:trPr>
          <w:trHeight w:val="1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spacing w:line="117" w:lineRule="atLeast"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200以上，未滿500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0B295C">
        <w:trPr>
          <w:trHeight w:val="7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500以上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,000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,000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</w:tbl>
    <w:p w:rsidR="003C50C5" w:rsidRDefault="003C50C5" w:rsidP="003C50C5">
      <w:pPr>
        <w:widowControl/>
        <w:ind w:left="669" w:hanging="442"/>
        <w:rPr>
          <w:rFonts w:ascii="標楷體" w:eastAsia="標楷體" w:hAnsi="標楷體" w:cs="Arial"/>
          <w:color w:val="333333"/>
          <w:kern w:val="0"/>
          <w:szCs w:val="24"/>
        </w:rPr>
      </w:pPr>
    </w:p>
    <w:p w:rsidR="003C50C5" w:rsidRDefault="001178F3" w:rsidP="003C50C5">
      <w:pPr>
        <w:widowControl/>
        <w:ind w:left="669" w:hanging="442"/>
        <w:rPr>
          <w:rFonts w:ascii="標楷體" w:eastAsia="標楷體" w:hAnsi="標楷體" w:cs="Arial"/>
          <w:color w:val="333333"/>
          <w:kern w:val="0"/>
          <w:szCs w:val="24"/>
        </w:rPr>
      </w:pPr>
      <w:r w:rsidRPr="003C50C5">
        <w:rPr>
          <w:rFonts w:ascii="標楷體" w:eastAsia="標楷體" w:hAnsi="標楷體" w:cs="Arial"/>
          <w:color w:val="333333"/>
          <w:kern w:val="0"/>
          <w:szCs w:val="24"/>
        </w:rPr>
        <w:t>(二)前述以外其他型式之固定式起重機、移動式起重機及人</w:t>
      </w:r>
      <w:proofErr w:type="gramStart"/>
      <w:r w:rsidRPr="003C50C5">
        <w:rPr>
          <w:rFonts w:ascii="標楷體" w:eastAsia="標楷體" w:hAnsi="標楷體" w:cs="Arial"/>
          <w:color w:val="333333"/>
          <w:kern w:val="0"/>
          <w:szCs w:val="24"/>
        </w:rPr>
        <w:t>字臂起重桿</w:t>
      </w:r>
      <w:proofErr w:type="gramEnd"/>
    </w:p>
    <w:p w:rsidR="001178F3" w:rsidRPr="003C50C5" w:rsidRDefault="001178F3" w:rsidP="003C50C5">
      <w:pPr>
        <w:widowControl/>
        <w:ind w:left="669" w:hanging="442"/>
        <w:rPr>
          <w:rFonts w:ascii="標楷體" w:eastAsia="標楷體" w:hAnsi="標楷體" w:cs="Arial"/>
          <w:color w:val="333333"/>
          <w:kern w:val="0"/>
          <w:szCs w:val="24"/>
        </w:rPr>
      </w:pPr>
      <w:r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   </w:t>
      </w:r>
      <w:r w:rsidR="00FA5678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</w:t>
      </w:r>
      <w:r w:rsidR="003C50C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                                              </w:t>
      </w:r>
      <w:r w:rsidRPr="003C50C5">
        <w:rPr>
          <w:rFonts w:ascii="標楷體" w:eastAsia="標楷體" w:hAnsi="標楷體" w:cs="Arial"/>
          <w:color w:val="333333"/>
          <w:kern w:val="0"/>
          <w:szCs w:val="24"/>
        </w:rPr>
        <w:t>單位：新臺幣　　元</w:t>
      </w:r>
    </w:p>
    <w:tbl>
      <w:tblPr>
        <w:tblW w:w="846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4"/>
        <w:gridCol w:w="1130"/>
        <w:gridCol w:w="1422"/>
        <w:gridCol w:w="1417"/>
        <w:gridCol w:w="1134"/>
        <w:gridCol w:w="1211"/>
      </w:tblGrid>
      <w:tr w:rsidR="001178F3" w:rsidRPr="000D30DF" w:rsidTr="00832754">
        <w:trPr>
          <w:trHeight w:val="36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proofErr w:type="gramStart"/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吊升荷重</w:t>
            </w:r>
            <w:proofErr w:type="gramEnd"/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（公噸）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竣工檢查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定期檢查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重新檢查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使用檢查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變更檢查 </w:t>
            </w:r>
          </w:p>
        </w:tc>
      </w:tr>
      <w:tr w:rsidR="00530986" w:rsidRPr="000D30DF" w:rsidTr="00832754">
        <w:trPr>
          <w:trHeight w:val="13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spacing w:line="132" w:lineRule="atLeast"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未滿5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832754">
        <w:trPr>
          <w:trHeight w:val="32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5以上，未滿10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2,600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832754">
        <w:trPr>
          <w:trHeight w:val="12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spacing w:line="123" w:lineRule="atLeast"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10以上，未滿20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3,200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832754">
        <w:trPr>
          <w:trHeight w:val="10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spacing w:line="105" w:lineRule="atLeast"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20以上，未滿50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4,200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832754">
        <w:trPr>
          <w:trHeight w:val="28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50以上，未滿100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5,800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832754">
        <w:trPr>
          <w:trHeight w:val="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spacing w:line="83" w:lineRule="atLeast"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100以上，未滿200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7,000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832754">
        <w:trPr>
          <w:trHeight w:val="24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200以上，未滿500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9,000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0D30DF" w:rsidTr="00832754">
        <w:trPr>
          <w:trHeight w:val="24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500以上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11,000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</w:tbl>
    <w:p w:rsidR="00832754" w:rsidRDefault="00832754" w:rsidP="00FA5678">
      <w:pPr>
        <w:widowControl/>
        <w:spacing w:before="100" w:beforeAutospacing="1"/>
        <w:rPr>
          <w:rFonts w:ascii="標楷體" w:eastAsia="標楷體" w:hAnsi="標楷體" w:cs="Arial"/>
          <w:color w:val="333333"/>
          <w:kern w:val="0"/>
          <w:szCs w:val="24"/>
        </w:rPr>
      </w:pPr>
    </w:p>
    <w:p w:rsidR="003C50C5" w:rsidRDefault="001178F3" w:rsidP="00832754">
      <w:pPr>
        <w:widowControl/>
        <w:rPr>
          <w:rFonts w:ascii="標楷體" w:eastAsia="標楷體" w:hAnsi="標楷體" w:cs="Arial"/>
          <w:color w:val="333333"/>
          <w:kern w:val="0"/>
          <w:szCs w:val="24"/>
        </w:rPr>
      </w:pPr>
      <w:r w:rsidRPr="003C50C5">
        <w:rPr>
          <w:rFonts w:ascii="標楷體" w:eastAsia="標楷體" w:hAnsi="標楷體" w:cs="Arial"/>
          <w:color w:val="333333"/>
          <w:kern w:val="0"/>
          <w:szCs w:val="24"/>
        </w:rPr>
        <w:t>二、</w:t>
      </w:r>
      <w:r w:rsidR="00FA5678" w:rsidRPr="003C50C5">
        <w:rPr>
          <w:rFonts w:ascii="標楷體" w:eastAsia="標楷體" w:hAnsi="標楷體" w:cs="Arial" w:hint="eastAsia"/>
          <w:kern w:val="0"/>
          <w:szCs w:val="24"/>
        </w:rPr>
        <w:t>營建用</w:t>
      </w:r>
      <w:r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升降機各項檢查之檢查費收費基準表    </w:t>
      </w:r>
    </w:p>
    <w:p w:rsidR="001178F3" w:rsidRPr="003C50C5" w:rsidRDefault="001178F3" w:rsidP="00832754">
      <w:pPr>
        <w:widowControl/>
        <w:rPr>
          <w:rFonts w:ascii="標楷體" w:eastAsia="標楷體" w:hAnsi="標楷體" w:cs="Arial"/>
          <w:color w:val="333333"/>
          <w:kern w:val="0"/>
          <w:szCs w:val="24"/>
        </w:rPr>
      </w:pPr>
      <w:r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        </w:t>
      </w:r>
      <w:r w:rsidR="000B295C"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      </w:t>
      </w:r>
      <w:r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 </w:t>
      </w:r>
      <w:r w:rsidR="003C50C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                            </w:t>
      </w:r>
      <w:r w:rsidR="00832754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="003C50C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  </w:t>
      </w:r>
      <w:r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單位：新臺幣　　元</w:t>
      </w: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1"/>
        <w:gridCol w:w="1399"/>
        <w:gridCol w:w="1399"/>
        <w:gridCol w:w="1399"/>
        <w:gridCol w:w="1399"/>
      </w:tblGrid>
      <w:tr w:rsidR="001178F3" w:rsidRPr="000D30DF" w:rsidTr="003C50C5">
        <w:trPr>
          <w:trHeight w:val="42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積載荷重（公噸）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竣工檢查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定期檢查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重新檢查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變更檢查 </w:t>
            </w:r>
          </w:p>
        </w:tc>
      </w:tr>
      <w:tr w:rsidR="00530986" w:rsidRPr="000D30DF" w:rsidTr="003C50C5">
        <w:trPr>
          <w:trHeight w:val="19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未滿2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986" w:rsidRPr="00530986" w:rsidRDefault="00530986" w:rsidP="00530986">
            <w:pPr>
              <w:widowControl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2,500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</w:tr>
      <w:tr w:rsidR="00530986" w:rsidRPr="000D30DF" w:rsidTr="003C50C5">
        <w:trPr>
          <w:trHeight w:val="18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2以上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986" w:rsidRPr="00530986" w:rsidRDefault="00530986" w:rsidP="00530986">
            <w:pPr>
              <w:widowControl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3,000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</w:tr>
    </w:tbl>
    <w:p w:rsidR="00832754" w:rsidRDefault="00832754" w:rsidP="00832754">
      <w:pPr>
        <w:widowControl/>
        <w:rPr>
          <w:rFonts w:ascii="標楷體" w:eastAsia="標楷體" w:hAnsi="標楷體" w:cs="Arial"/>
          <w:color w:val="333333"/>
          <w:kern w:val="0"/>
          <w:szCs w:val="24"/>
        </w:rPr>
      </w:pPr>
    </w:p>
    <w:p w:rsidR="003C50C5" w:rsidRPr="003C50C5" w:rsidRDefault="001178F3" w:rsidP="00832754">
      <w:pPr>
        <w:widowControl/>
        <w:rPr>
          <w:rFonts w:ascii="標楷體" w:eastAsia="標楷體" w:hAnsi="標楷體" w:cs="Arial"/>
          <w:color w:val="333333"/>
          <w:kern w:val="0"/>
          <w:szCs w:val="24"/>
        </w:rPr>
      </w:pPr>
      <w:r w:rsidRPr="003C50C5">
        <w:rPr>
          <w:rFonts w:ascii="標楷體" w:eastAsia="標楷體" w:hAnsi="標楷體" w:cs="Arial"/>
          <w:color w:val="333333"/>
          <w:kern w:val="0"/>
          <w:szCs w:val="24"/>
        </w:rPr>
        <w:lastRenderedPageBreak/>
        <w:t>三、</w:t>
      </w:r>
      <w:proofErr w:type="gramStart"/>
      <w:r w:rsidRPr="003C50C5">
        <w:rPr>
          <w:rFonts w:ascii="標楷體" w:eastAsia="標楷體" w:hAnsi="標楷體" w:cs="Arial"/>
          <w:color w:val="333333"/>
          <w:kern w:val="0"/>
          <w:szCs w:val="24"/>
        </w:rPr>
        <w:t>吊籠各項</w:t>
      </w:r>
      <w:proofErr w:type="gramEnd"/>
      <w:r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檢查之檢查費收費基準表     </w:t>
      </w:r>
    </w:p>
    <w:p w:rsidR="001178F3" w:rsidRPr="003C50C5" w:rsidRDefault="003C50C5" w:rsidP="00832754">
      <w:pPr>
        <w:widowControl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                      </w:t>
      </w:r>
      <w:r w:rsidR="001178F3"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          </w:t>
      </w:r>
      <w:r w:rsidR="000B295C"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      </w:t>
      </w:r>
      <w:r w:rsidR="001178F3"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</w:t>
      </w:r>
      <w:r w:rsidR="00FA5678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  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="00FA5678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 </w:t>
      </w:r>
      <w:r w:rsidR="00832754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="00FA5678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="001178F3"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 單位：新臺幣　　元</w:t>
      </w: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4"/>
        <w:gridCol w:w="1400"/>
        <w:gridCol w:w="1399"/>
        <w:gridCol w:w="1399"/>
        <w:gridCol w:w="1399"/>
      </w:tblGrid>
      <w:tr w:rsidR="001178F3" w:rsidRPr="003C50C5" w:rsidTr="00832754">
        <w:trPr>
          <w:trHeight w:val="18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積載荷重（公噸）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使用檢查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定期檢查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重新檢查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變更檢查 </w:t>
            </w:r>
          </w:p>
        </w:tc>
      </w:tr>
      <w:tr w:rsidR="00530986" w:rsidRPr="003C50C5" w:rsidTr="00832754">
        <w:trPr>
          <w:trHeight w:val="22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未滿0.25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986" w:rsidRPr="00530986" w:rsidRDefault="00530986" w:rsidP="00530986">
            <w:pPr>
              <w:widowControl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2,500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</w:tr>
      <w:tr w:rsidR="00530986" w:rsidRPr="003C50C5" w:rsidTr="00832754">
        <w:trPr>
          <w:trHeight w:val="22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0.25以上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986" w:rsidRPr="00530986" w:rsidRDefault="00530986" w:rsidP="00530986">
            <w:pPr>
              <w:widowControl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3,000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</w:tr>
    </w:tbl>
    <w:p w:rsidR="00832754" w:rsidRDefault="00832754" w:rsidP="00832754">
      <w:pPr>
        <w:widowControl/>
        <w:rPr>
          <w:rFonts w:ascii="標楷體" w:eastAsia="標楷體" w:hAnsi="標楷體" w:cs="Arial"/>
          <w:color w:val="333333"/>
          <w:kern w:val="0"/>
          <w:szCs w:val="24"/>
        </w:rPr>
      </w:pPr>
    </w:p>
    <w:p w:rsidR="00832754" w:rsidRDefault="001178F3" w:rsidP="00832754">
      <w:pPr>
        <w:pStyle w:val="2"/>
      </w:pPr>
      <w:r w:rsidRPr="003C50C5">
        <w:t xml:space="preserve">四、營建用提升機各項檢查之檢查費收費基準表    </w:t>
      </w:r>
    </w:p>
    <w:p w:rsidR="001178F3" w:rsidRPr="003C50C5" w:rsidRDefault="00832754" w:rsidP="00832754">
      <w:pPr>
        <w:widowControl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                                  </w:t>
      </w:r>
      <w:r w:rsidR="001178F3"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         </w:t>
      </w:r>
      <w:r w:rsidR="00FA5678" w:rsidRPr="003C50C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     </w:t>
      </w:r>
      <w:r w:rsidR="001178F3" w:rsidRPr="003C50C5">
        <w:rPr>
          <w:rFonts w:ascii="標楷體" w:eastAsia="標楷體" w:hAnsi="標楷體" w:cs="Arial"/>
          <w:color w:val="333333"/>
          <w:kern w:val="0"/>
          <w:szCs w:val="24"/>
        </w:rPr>
        <w:t xml:space="preserve">   單位：新臺幣　　元</w:t>
      </w: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9"/>
        <w:gridCol w:w="1398"/>
        <w:gridCol w:w="1398"/>
        <w:gridCol w:w="1398"/>
        <w:gridCol w:w="1398"/>
      </w:tblGrid>
      <w:tr w:rsidR="001178F3" w:rsidRPr="003C50C5" w:rsidTr="00832754">
        <w:trPr>
          <w:trHeight w:val="48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導軌或升降路高度（公尺）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竣工檢查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定期檢查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重新檢查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F3" w:rsidRPr="003C50C5" w:rsidRDefault="001178F3" w:rsidP="000B295C">
            <w:pPr>
              <w:widowControl/>
              <w:ind w:left="48" w:right="48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變更檢查 </w:t>
            </w:r>
          </w:p>
        </w:tc>
      </w:tr>
      <w:tr w:rsidR="00530986" w:rsidRPr="003C50C5" w:rsidTr="00832754">
        <w:trPr>
          <w:trHeight w:val="21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未滿30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986" w:rsidRPr="00530986" w:rsidRDefault="00530986" w:rsidP="00530986">
            <w:pPr>
              <w:widowControl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2,500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2,200 </w:t>
            </w:r>
          </w:p>
        </w:tc>
      </w:tr>
      <w:tr w:rsidR="00530986" w:rsidRPr="003C50C5" w:rsidTr="00832754">
        <w:trPr>
          <w:trHeight w:val="2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3C50C5" w:rsidRDefault="00530986" w:rsidP="000B295C">
            <w:pPr>
              <w:widowControl/>
              <w:ind w:left="48" w:right="48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3C50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30以上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986" w:rsidRPr="00530986" w:rsidRDefault="00530986" w:rsidP="00530986">
            <w:pPr>
              <w:widowControl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3,000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2,800 </w:t>
            </w:r>
          </w:p>
        </w:tc>
      </w:tr>
    </w:tbl>
    <w:p w:rsidR="007A0326" w:rsidRPr="000D30DF" w:rsidRDefault="007A0326">
      <w:pPr>
        <w:rPr>
          <w:rFonts w:ascii="標楷體" w:eastAsia="標楷體" w:hAnsi="標楷體" w:cs="Arial"/>
        </w:rPr>
      </w:pPr>
    </w:p>
    <w:p w:rsidR="000B295C" w:rsidRDefault="000B295C">
      <w:pPr>
        <w:sectPr w:rsidR="000B295C" w:rsidSect="00DE4731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0B295C" w:rsidRPr="005D21FD" w:rsidRDefault="000B295C" w:rsidP="006338DA">
      <w:pPr>
        <w:widowControl/>
        <w:spacing w:line="460" w:lineRule="exact"/>
        <w:ind w:left="1114" w:hangingChars="398" w:hanging="1114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D21FD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lastRenderedPageBreak/>
        <w:t xml:space="preserve">附表二　</w:t>
      </w:r>
      <w:r w:rsidRPr="005D21FD">
        <w:rPr>
          <w:rFonts w:ascii="標楷體" w:eastAsia="標楷體" w:hAnsi="標楷體" w:cs="新細明體" w:hint="eastAsia"/>
          <w:bCs/>
          <w:color w:val="333333"/>
          <w:spacing w:val="4"/>
          <w:kern w:val="0"/>
          <w:sz w:val="28"/>
          <w:szCs w:val="28"/>
        </w:rPr>
        <w:t>危險性設備熔接檢查、構造檢查、竣工檢查、定期檢查、重新檢查及變</w:t>
      </w:r>
      <w:r w:rsidRPr="005D21FD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更檢查之檢查費收費基準表</w:t>
      </w:r>
    </w:p>
    <w:p w:rsidR="00832754" w:rsidRDefault="00832754" w:rsidP="00832754">
      <w:pPr>
        <w:pStyle w:val="2"/>
      </w:pPr>
      <w:r>
        <w:rPr>
          <w:rFonts w:hint="eastAsia"/>
        </w:rPr>
        <w:t>一、</w:t>
      </w:r>
      <w:r w:rsidR="000B295C" w:rsidRPr="00832754">
        <w:rPr>
          <w:rFonts w:hint="eastAsia"/>
        </w:rPr>
        <w:t>鍋爐各項檢查之檢查費收費基準表</w:t>
      </w:r>
      <w:r w:rsidR="000B295C" w:rsidRPr="00832754">
        <w:t xml:space="preserve">   </w:t>
      </w:r>
    </w:p>
    <w:p w:rsidR="000B295C" w:rsidRPr="00832754" w:rsidRDefault="000B295C" w:rsidP="00832754">
      <w:pPr>
        <w:widowControl/>
        <w:ind w:left="960"/>
        <w:rPr>
          <w:rFonts w:ascii="標楷體" w:eastAsia="標楷體" w:hAnsi="標楷體" w:cs="新細明體"/>
          <w:color w:val="333333"/>
          <w:kern w:val="0"/>
          <w:szCs w:val="24"/>
        </w:rPr>
      </w:pPr>
      <w:r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      </w:t>
      </w:r>
      <w:r w:rsidR="00FA5678"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      </w:t>
      </w:r>
      <w:r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      </w:t>
      </w:r>
      <w:r w:rsidR="00832754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             </w:t>
      </w:r>
      <w:r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</w:t>
      </w:r>
      <w:r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>單位：新臺幣　　元</w:t>
      </w:r>
    </w:p>
    <w:tbl>
      <w:tblPr>
        <w:tblW w:w="8679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40"/>
        <w:gridCol w:w="1006"/>
        <w:gridCol w:w="1007"/>
        <w:gridCol w:w="1006"/>
        <w:gridCol w:w="1007"/>
        <w:gridCol w:w="1006"/>
        <w:gridCol w:w="1007"/>
      </w:tblGrid>
      <w:tr w:rsidR="000B295C" w:rsidRPr="00832754" w:rsidTr="000B295C">
        <w:trPr>
          <w:trHeight w:val="48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傳熱面積（平方公尺）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熔接檢查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構造檢查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竣工檢查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定期檢查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重新檢查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變更檢查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530986" w:rsidRPr="00832754" w:rsidTr="000B295C">
        <w:trPr>
          <w:trHeight w:val="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87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2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40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24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40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4,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2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6,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4,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22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,000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6,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2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</w:p>
        </w:tc>
      </w:tr>
      <w:tr w:rsidR="00530986" w:rsidRPr="00832754" w:rsidTr="000B295C"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700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700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</w:tbl>
    <w:p w:rsidR="00832754" w:rsidRDefault="00832754" w:rsidP="00832754">
      <w:pPr>
        <w:pStyle w:val="2"/>
      </w:pPr>
    </w:p>
    <w:p w:rsidR="00832754" w:rsidRDefault="00832754" w:rsidP="00832754">
      <w:pPr>
        <w:pStyle w:val="2"/>
      </w:pPr>
      <w:r>
        <w:rPr>
          <w:rFonts w:hint="eastAsia"/>
        </w:rPr>
        <w:t>二、</w:t>
      </w:r>
      <w:r w:rsidR="000B295C" w:rsidRPr="00832754">
        <w:rPr>
          <w:rFonts w:hint="eastAsia"/>
        </w:rPr>
        <w:t>第一種壓力容器各項檢查之檢查費收費基準表</w:t>
      </w:r>
      <w:r w:rsidR="000B295C" w:rsidRPr="00832754">
        <w:t xml:space="preserve">    </w:t>
      </w:r>
    </w:p>
    <w:p w:rsidR="000B295C" w:rsidRPr="00832754" w:rsidRDefault="00832754" w:rsidP="00832754">
      <w:pPr>
        <w:widowControl/>
        <w:ind w:left="960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0B295C"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        </w:t>
      </w:r>
      <w:r w:rsidR="00FA5678"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                        </w:t>
      </w:r>
      <w:r w:rsidR="000B295C"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</w:t>
      </w:r>
      <w:r w:rsidR="000B295C"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>單位：新臺幣　　元</w:t>
      </w:r>
    </w:p>
    <w:tbl>
      <w:tblPr>
        <w:tblW w:w="8665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40"/>
        <w:gridCol w:w="1004"/>
        <w:gridCol w:w="1004"/>
        <w:gridCol w:w="1004"/>
        <w:gridCol w:w="1004"/>
        <w:gridCol w:w="1004"/>
        <w:gridCol w:w="1005"/>
      </w:tblGrid>
      <w:tr w:rsidR="000B295C" w:rsidRPr="00832754" w:rsidTr="000B295C">
        <w:trPr>
          <w:trHeight w:val="52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內容積（立方公尺）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熔接檢查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構造檢查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竣工檢查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定期檢查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重新檢查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變更檢查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530986" w:rsidRPr="00832754" w:rsidTr="000B295C">
        <w:trPr>
          <w:trHeight w:val="18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1.0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18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1.0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2.0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1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165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2.0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5.0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14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147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5.0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33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13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139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12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121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</w:p>
        </w:tc>
      </w:tr>
    </w:tbl>
    <w:p w:rsidR="000B295C" w:rsidRPr="00832754" w:rsidRDefault="000B295C" w:rsidP="000B295C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333333"/>
          <w:kern w:val="0"/>
          <w:szCs w:val="24"/>
        </w:rPr>
        <w:sectPr w:rsidR="000B295C" w:rsidRPr="00832754" w:rsidSect="001F7475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832754" w:rsidRDefault="000B295C" w:rsidP="00832754">
      <w:pPr>
        <w:widowControl/>
        <w:rPr>
          <w:rFonts w:ascii="標楷體" w:eastAsia="標楷體" w:hAnsi="標楷體" w:cs="新細明體"/>
          <w:color w:val="333333"/>
          <w:kern w:val="0"/>
          <w:szCs w:val="24"/>
        </w:rPr>
      </w:pPr>
      <w:r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>三、高壓氣體特定設備各項檢查之檢查費收費基準表</w:t>
      </w:r>
      <w:r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    </w:t>
      </w:r>
    </w:p>
    <w:p w:rsidR="000B295C" w:rsidRPr="00832754" w:rsidRDefault="00832754" w:rsidP="00832754">
      <w:pPr>
        <w:widowControl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                                     </w:t>
      </w:r>
      <w:r w:rsidR="000B295C"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 </w:t>
      </w:r>
      <w:r w:rsidR="00FA5678"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</w:t>
      </w:r>
      <w:r w:rsidR="000B295C"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</w:t>
      </w:r>
      <w:r w:rsidR="00FA5678"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0B295C"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</w:t>
      </w:r>
      <w:r w:rsidR="000B295C"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>單位：新臺幣　　元</w:t>
      </w:r>
    </w:p>
    <w:tbl>
      <w:tblPr>
        <w:tblW w:w="867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0"/>
        <w:gridCol w:w="1011"/>
        <w:gridCol w:w="1011"/>
        <w:gridCol w:w="1012"/>
        <w:gridCol w:w="1011"/>
        <w:gridCol w:w="1011"/>
        <w:gridCol w:w="1012"/>
      </w:tblGrid>
      <w:tr w:rsidR="000B295C" w:rsidRPr="00832754" w:rsidTr="000B295C">
        <w:trPr>
          <w:trHeight w:val="52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內容積（立方公尺）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熔接檢查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構造檢查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竣工檢查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定期檢查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重新檢查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變更檢查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530986" w:rsidRPr="00832754" w:rsidTr="000B295C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1.0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</w:p>
        </w:tc>
      </w:tr>
      <w:tr w:rsidR="00530986" w:rsidRPr="00832754" w:rsidTr="000B295C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1.0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2.0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2.0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5.0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23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5.0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300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spacing w:line="70" w:lineRule="atLeast"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</w:tbl>
    <w:p w:rsidR="00832754" w:rsidRDefault="00832754" w:rsidP="00832754">
      <w:pPr>
        <w:widowControl/>
        <w:rPr>
          <w:rFonts w:ascii="標楷體" w:eastAsia="標楷體" w:hAnsi="標楷體" w:cs="新細明體"/>
          <w:color w:val="333333"/>
          <w:kern w:val="0"/>
          <w:szCs w:val="24"/>
        </w:rPr>
      </w:pPr>
    </w:p>
    <w:p w:rsidR="00832754" w:rsidRDefault="000B295C" w:rsidP="00832754">
      <w:pPr>
        <w:widowControl/>
        <w:rPr>
          <w:rFonts w:ascii="標楷體" w:eastAsia="標楷體" w:hAnsi="標楷體" w:cs="新細明體"/>
          <w:color w:val="333333"/>
          <w:kern w:val="0"/>
          <w:szCs w:val="24"/>
        </w:rPr>
      </w:pPr>
      <w:r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>四、高壓氣體容器各項檢查之檢查費收費基準表</w:t>
      </w:r>
      <w:r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 </w:t>
      </w:r>
    </w:p>
    <w:p w:rsidR="000B295C" w:rsidRPr="00832754" w:rsidRDefault="00832754" w:rsidP="00832754">
      <w:pPr>
        <w:widowControl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                               </w:t>
      </w:r>
      <w:r w:rsidR="000B295C"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        </w:t>
      </w:r>
      <w:r w:rsidR="00FA5678"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 </w:t>
      </w:r>
      <w:r w:rsidR="000B295C" w:rsidRPr="00832754">
        <w:rPr>
          <w:rFonts w:ascii="標楷體" w:eastAsia="標楷體" w:hAnsi="標楷體" w:cs="新細明體"/>
          <w:color w:val="333333"/>
          <w:kern w:val="0"/>
          <w:szCs w:val="24"/>
        </w:rPr>
        <w:t xml:space="preserve">  </w:t>
      </w:r>
      <w:r w:rsidR="000B295C" w:rsidRPr="00832754">
        <w:rPr>
          <w:rFonts w:ascii="標楷體" w:eastAsia="標楷體" w:hAnsi="標楷體" w:cs="新細明體" w:hint="eastAsia"/>
          <w:color w:val="333333"/>
          <w:kern w:val="0"/>
          <w:szCs w:val="24"/>
        </w:rPr>
        <w:t>單位：新臺幣　　元</w:t>
      </w:r>
    </w:p>
    <w:tbl>
      <w:tblPr>
        <w:tblW w:w="867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04"/>
        <w:gridCol w:w="1214"/>
        <w:gridCol w:w="1215"/>
        <w:gridCol w:w="1215"/>
        <w:gridCol w:w="1215"/>
        <w:gridCol w:w="1215"/>
      </w:tblGrid>
      <w:tr w:rsidR="000B295C" w:rsidRPr="00832754" w:rsidTr="000B295C">
        <w:trPr>
          <w:trHeight w:val="45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內容積（立方公尺）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熔接檢查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構造檢查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定期檢查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重新檢查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C" w:rsidRPr="00832754" w:rsidRDefault="000B295C" w:rsidP="000B295C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變更檢查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530986" w:rsidRPr="00832754" w:rsidTr="000B295C">
        <w:trPr>
          <w:trHeight w:val="2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0.5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1.0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2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1.0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2.0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2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2.0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5.0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3,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2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5.0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3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50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6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2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4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5" w:right="45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36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50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以上，未滿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100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  <w:tr w:rsidR="00530986" w:rsidRPr="00832754" w:rsidTr="000B295C">
        <w:trPr>
          <w:trHeight w:val="34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832754" w:rsidRDefault="00530986" w:rsidP="000B295C">
            <w:pPr>
              <w:widowControl/>
              <w:ind w:left="48" w:right="4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100</w:t>
            </w:r>
            <w:r w:rsidRPr="00832754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以上</w:t>
            </w:r>
            <w:r w:rsidRPr="00832754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7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8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6" w:rsidRPr="00530986" w:rsidRDefault="00530986" w:rsidP="00611C78">
            <w:pPr>
              <w:widowControl/>
              <w:spacing w:line="240" w:lineRule="exact"/>
              <w:ind w:left="48" w:right="48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9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,</w:t>
            </w:r>
            <w:r w:rsidRPr="0053098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</w:t>
            </w:r>
            <w:r w:rsidRPr="00530986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00 </w:t>
            </w:r>
          </w:p>
        </w:tc>
      </w:tr>
    </w:tbl>
    <w:p w:rsidR="000B295C" w:rsidRPr="00832754" w:rsidRDefault="000B295C">
      <w:pPr>
        <w:rPr>
          <w:rFonts w:ascii="標楷體" w:eastAsia="標楷體" w:hAnsi="標楷體"/>
          <w:szCs w:val="24"/>
        </w:rPr>
      </w:pPr>
    </w:p>
    <w:sectPr w:rsidR="000B295C" w:rsidRPr="00832754" w:rsidSect="001F747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02" w:rsidRDefault="002E7902" w:rsidP="00052108">
      <w:r>
        <w:separator/>
      </w:r>
    </w:p>
  </w:endnote>
  <w:endnote w:type="continuationSeparator" w:id="0">
    <w:p w:rsidR="002E7902" w:rsidRDefault="002E7902" w:rsidP="0005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02" w:rsidRDefault="002E7902" w:rsidP="00052108">
      <w:r>
        <w:separator/>
      </w:r>
    </w:p>
  </w:footnote>
  <w:footnote w:type="continuationSeparator" w:id="0">
    <w:p w:rsidR="002E7902" w:rsidRDefault="002E7902" w:rsidP="00052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41"/>
    <w:multiLevelType w:val="singleLevel"/>
    <w:tmpl w:val="6122B038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">
    <w:nsid w:val="14BA4E4E"/>
    <w:multiLevelType w:val="singleLevel"/>
    <w:tmpl w:val="ACF83A6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583105A2"/>
    <w:multiLevelType w:val="hybridMultilevel"/>
    <w:tmpl w:val="909419EA"/>
    <w:lvl w:ilvl="0" w:tplc="84B45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8C6278"/>
    <w:multiLevelType w:val="hybridMultilevel"/>
    <w:tmpl w:val="2A14A06E"/>
    <w:lvl w:ilvl="0" w:tplc="8EEED8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326"/>
    <w:rsid w:val="00000838"/>
    <w:rsid w:val="0001214D"/>
    <w:rsid w:val="0002540E"/>
    <w:rsid w:val="00052108"/>
    <w:rsid w:val="000A6E61"/>
    <w:rsid w:val="000B295C"/>
    <w:rsid w:val="000D30DF"/>
    <w:rsid w:val="000E2E43"/>
    <w:rsid w:val="000F4DB5"/>
    <w:rsid w:val="001178F3"/>
    <w:rsid w:val="00170D9D"/>
    <w:rsid w:val="00191A0E"/>
    <w:rsid w:val="001B0EDF"/>
    <w:rsid w:val="001F6728"/>
    <w:rsid w:val="001F7475"/>
    <w:rsid w:val="00211EE0"/>
    <w:rsid w:val="002209A2"/>
    <w:rsid w:val="00227A1D"/>
    <w:rsid w:val="00245804"/>
    <w:rsid w:val="002E7902"/>
    <w:rsid w:val="002F0BB9"/>
    <w:rsid w:val="00356E91"/>
    <w:rsid w:val="00397A22"/>
    <w:rsid w:val="003A3A4D"/>
    <w:rsid w:val="003C081C"/>
    <w:rsid w:val="003C50C5"/>
    <w:rsid w:val="003D46C3"/>
    <w:rsid w:val="00404C88"/>
    <w:rsid w:val="004267D3"/>
    <w:rsid w:val="0043792D"/>
    <w:rsid w:val="00441B72"/>
    <w:rsid w:val="00467B87"/>
    <w:rsid w:val="00484B20"/>
    <w:rsid w:val="00495B8A"/>
    <w:rsid w:val="00496318"/>
    <w:rsid w:val="004B5B80"/>
    <w:rsid w:val="004C2DFD"/>
    <w:rsid w:val="00511C9A"/>
    <w:rsid w:val="00530986"/>
    <w:rsid w:val="0054665B"/>
    <w:rsid w:val="005D21FD"/>
    <w:rsid w:val="00611C78"/>
    <w:rsid w:val="006300A3"/>
    <w:rsid w:val="006338DA"/>
    <w:rsid w:val="006339B8"/>
    <w:rsid w:val="006C06FA"/>
    <w:rsid w:val="006C48F6"/>
    <w:rsid w:val="00734113"/>
    <w:rsid w:val="0074095A"/>
    <w:rsid w:val="007A0326"/>
    <w:rsid w:val="007B49E4"/>
    <w:rsid w:val="007D3E75"/>
    <w:rsid w:val="007D6B70"/>
    <w:rsid w:val="007E46A8"/>
    <w:rsid w:val="008004B6"/>
    <w:rsid w:val="00832754"/>
    <w:rsid w:val="0093536B"/>
    <w:rsid w:val="00935692"/>
    <w:rsid w:val="00955B47"/>
    <w:rsid w:val="009932C1"/>
    <w:rsid w:val="009A17C3"/>
    <w:rsid w:val="009C5BEB"/>
    <w:rsid w:val="00A13015"/>
    <w:rsid w:val="00A37B0C"/>
    <w:rsid w:val="00A532C0"/>
    <w:rsid w:val="00A64B8D"/>
    <w:rsid w:val="00A82AFE"/>
    <w:rsid w:val="00AE533A"/>
    <w:rsid w:val="00B02838"/>
    <w:rsid w:val="00B05CF4"/>
    <w:rsid w:val="00B61297"/>
    <w:rsid w:val="00B66C76"/>
    <w:rsid w:val="00BA12C9"/>
    <w:rsid w:val="00BA3DF9"/>
    <w:rsid w:val="00BB5694"/>
    <w:rsid w:val="00BC1905"/>
    <w:rsid w:val="00BC6518"/>
    <w:rsid w:val="00BD6E46"/>
    <w:rsid w:val="00CB6119"/>
    <w:rsid w:val="00CD3DB5"/>
    <w:rsid w:val="00CD5FB8"/>
    <w:rsid w:val="00CE63F9"/>
    <w:rsid w:val="00D0019C"/>
    <w:rsid w:val="00D01735"/>
    <w:rsid w:val="00D335F2"/>
    <w:rsid w:val="00D71B4C"/>
    <w:rsid w:val="00D81E9A"/>
    <w:rsid w:val="00D936A9"/>
    <w:rsid w:val="00DA1E73"/>
    <w:rsid w:val="00DE4731"/>
    <w:rsid w:val="00E43A70"/>
    <w:rsid w:val="00E45F95"/>
    <w:rsid w:val="00E54196"/>
    <w:rsid w:val="00E70933"/>
    <w:rsid w:val="00E829AD"/>
    <w:rsid w:val="00F30A1B"/>
    <w:rsid w:val="00F65BFE"/>
    <w:rsid w:val="00F81F0B"/>
    <w:rsid w:val="00FA5678"/>
    <w:rsid w:val="00FC08EA"/>
    <w:rsid w:val="00F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2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64B8D"/>
    <w:rPr>
      <w:rFonts w:ascii="細明體" w:eastAsia="細明體" w:hAnsi="Courier New"/>
      <w:sz w:val="28"/>
    </w:rPr>
  </w:style>
  <w:style w:type="paragraph" w:styleId="a4">
    <w:name w:val="Balloon Text"/>
    <w:basedOn w:val="a"/>
    <w:semiHidden/>
    <w:rsid w:val="00170D9D"/>
    <w:rPr>
      <w:rFonts w:ascii="Arial" w:hAnsi="Arial"/>
      <w:sz w:val="18"/>
      <w:szCs w:val="18"/>
    </w:rPr>
  </w:style>
  <w:style w:type="paragraph" w:customStyle="1" w:styleId="-">
    <w:name w:val="條-新"/>
    <w:basedOn w:val="a"/>
    <w:rsid w:val="000D30DF"/>
    <w:pPr>
      <w:adjustRightInd w:val="0"/>
      <w:snapToGrid w:val="0"/>
      <w:ind w:left="1204" w:hanging="1204"/>
    </w:pPr>
    <w:rPr>
      <w:rFonts w:ascii="標楷體" w:eastAsia="標楷體" w:hAnsi="標楷體"/>
      <w:szCs w:val="24"/>
    </w:rPr>
  </w:style>
  <w:style w:type="paragraph" w:styleId="a5">
    <w:name w:val="header"/>
    <w:basedOn w:val="a"/>
    <w:link w:val="a6"/>
    <w:rsid w:val="000521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2108"/>
    <w:rPr>
      <w:kern w:val="2"/>
    </w:rPr>
  </w:style>
  <w:style w:type="paragraph" w:styleId="a7">
    <w:name w:val="footer"/>
    <w:basedOn w:val="a"/>
    <w:link w:val="a8"/>
    <w:rsid w:val="000521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2108"/>
    <w:rPr>
      <w:kern w:val="2"/>
    </w:rPr>
  </w:style>
  <w:style w:type="paragraph" w:customStyle="1" w:styleId="1">
    <w:name w:val="樣式1"/>
    <w:basedOn w:val="a"/>
    <w:qFormat/>
    <w:rsid w:val="00E45F95"/>
    <w:pPr>
      <w:adjustRightInd w:val="0"/>
      <w:snapToGrid w:val="0"/>
      <w:spacing w:beforeLines="50" w:line="460" w:lineRule="exact"/>
      <w:ind w:left="1386" w:hanging="1372"/>
    </w:pPr>
    <w:rPr>
      <w:rFonts w:ascii="標楷體" w:eastAsia="標楷體" w:hAnsi="標楷體"/>
      <w:sz w:val="28"/>
      <w:szCs w:val="28"/>
    </w:rPr>
  </w:style>
  <w:style w:type="paragraph" w:customStyle="1" w:styleId="2">
    <w:name w:val="樣式2"/>
    <w:basedOn w:val="a"/>
    <w:qFormat/>
    <w:rsid w:val="00832754"/>
    <w:pPr>
      <w:widowControl/>
    </w:pPr>
    <w:rPr>
      <w:rFonts w:ascii="標楷體" w:eastAsia="標楷體" w:hAnsi="標楷體" w:cs="Arial"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2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64B8D"/>
    <w:rPr>
      <w:rFonts w:ascii="細明體" w:eastAsia="細明體" w:hAnsi="Courier New"/>
      <w:sz w:val="28"/>
    </w:rPr>
  </w:style>
  <w:style w:type="paragraph" w:styleId="a4">
    <w:name w:val="Balloon Text"/>
    <w:basedOn w:val="a"/>
    <w:semiHidden/>
    <w:rsid w:val="00170D9D"/>
    <w:rPr>
      <w:rFonts w:ascii="Arial" w:hAnsi="Arial"/>
      <w:sz w:val="18"/>
      <w:szCs w:val="18"/>
    </w:rPr>
  </w:style>
  <w:style w:type="paragraph" w:customStyle="1" w:styleId="-">
    <w:name w:val="條-新"/>
    <w:basedOn w:val="a"/>
    <w:rsid w:val="000D30DF"/>
    <w:pPr>
      <w:adjustRightInd w:val="0"/>
      <w:snapToGrid w:val="0"/>
      <w:ind w:left="1204" w:hanging="1204"/>
    </w:pPr>
    <w:rPr>
      <w:rFonts w:ascii="標楷體" w:eastAsia="標楷體" w:hAnsi="標楷體"/>
      <w:szCs w:val="24"/>
    </w:rPr>
  </w:style>
  <w:style w:type="paragraph" w:styleId="a5">
    <w:name w:val="header"/>
    <w:basedOn w:val="a"/>
    <w:link w:val="a6"/>
    <w:rsid w:val="000521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2108"/>
    <w:rPr>
      <w:kern w:val="2"/>
    </w:rPr>
  </w:style>
  <w:style w:type="paragraph" w:styleId="a7">
    <w:name w:val="footer"/>
    <w:basedOn w:val="a"/>
    <w:link w:val="a8"/>
    <w:rsid w:val="000521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2108"/>
    <w:rPr>
      <w:kern w:val="2"/>
    </w:rPr>
  </w:style>
  <w:style w:type="paragraph" w:customStyle="1" w:styleId="1">
    <w:name w:val="樣式1"/>
    <w:basedOn w:val="a"/>
    <w:qFormat/>
    <w:rsid w:val="00E45F95"/>
    <w:pPr>
      <w:adjustRightInd w:val="0"/>
      <w:snapToGrid w:val="0"/>
      <w:spacing w:beforeLines="50" w:before="180" w:line="460" w:lineRule="exact"/>
      <w:ind w:left="1386" w:hanging="1372"/>
    </w:pPr>
    <w:rPr>
      <w:rFonts w:ascii="標楷體" w:eastAsia="標楷體" w:hAnsi="標楷體"/>
      <w:sz w:val="28"/>
      <w:szCs w:val="28"/>
    </w:rPr>
  </w:style>
  <w:style w:type="paragraph" w:customStyle="1" w:styleId="2">
    <w:name w:val="樣式2"/>
    <w:basedOn w:val="a"/>
    <w:qFormat/>
    <w:rsid w:val="00832754"/>
    <w:pPr>
      <w:widowControl/>
    </w:pPr>
    <w:rPr>
      <w:rFonts w:ascii="標楷體" w:eastAsia="標楷體" w:hAnsi="標楷體" w:cs="Arial"/>
      <w:color w:val="333333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4458</Characters>
  <Application>Microsoft Office Word</Application>
  <DocSecurity>0</DocSecurity>
  <Lines>37</Lines>
  <Paragraphs>10</Paragraphs>
  <ScaleCrop>false</ScaleCrop>
  <Company>no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移動式起重機安全檢查構造標準部分條文修正草案總說明</dc:title>
  <dc:creator>OEM</dc:creator>
  <cp:lastModifiedBy>user</cp:lastModifiedBy>
  <cp:revision>2</cp:revision>
  <cp:lastPrinted>2016-08-16T09:06:00Z</cp:lastPrinted>
  <dcterms:created xsi:type="dcterms:W3CDTF">2016-10-12T06:27:00Z</dcterms:created>
  <dcterms:modified xsi:type="dcterms:W3CDTF">2016-10-12T06:27:00Z</dcterms:modified>
</cp:coreProperties>
</file>