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9612" w14:textId="40A3250E" w:rsidR="00AF6451" w:rsidRDefault="00824C8E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3626F8" w:rsidRPr="00BA14CE">
        <w:rPr>
          <w:rFonts w:ascii="標楷體" w:eastAsia="標楷體" w:hAnsi="標楷體"/>
        </w:rPr>
        <w:t>臺</w:t>
      </w:r>
      <w:proofErr w:type="gramEnd"/>
      <w:r w:rsidR="003626F8" w:rsidRPr="00BA14CE">
        <w:rPr>
          <w:rFonts w:ascii="標楷體" w:eastAsia="標楷體" w:hAnsi="標楷體"/>
        </w:rPr>
        <w:t>南市學甲區公所</w:t>
      </w:r>
      <w:r w:rsidR="00000000" w:rsidRPr="00BA14CE">
        <w:rPr>
          <w:rFonts w:ascii="標楷體" w:eastAsia="標楷體" w:hAnsi="標楷體"/>
        </w:rPr>
        <w:t>廉政會報設置要點</w:t>
      </w:r>
    </w:p>
    <w:p w14:paraId="4DD158FC" w14:textId="77777777" w:rsidR="00824C8E" w:rsidRPr="00BA14CE" w:rsidRDefault="00824C8E">
      <w:pPr>
        <w:pStyle w:val="a4"/>
        <w:rPr>
          <w:rFonts w:ascii="標楷體" w:eastAsia="標楷體" w:hAnsi="標楷體" w:hint="eastAsia"/>
        </w:rPr>
      </w:pPr>
    </w:p>
    <w:p w14:paraId="12271E3D" w14:textId="38283BB1" w:rsidR="00AF6451" w:rsidRPr="00BA14CE" w:rsidRDefault="00000000">
      <w:pPr>
        <w:pStyle w:val="a3"/>
        <w:spacing w:before="277" w:line="362" w:lineRule="auto"/>
        <w:ind w:left="679" w:right="113" w:hanging="56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一、</w:t>
      </w:r>
      <w:r w:rsidR="0045357A" w:rsidRPr="0045357A">
        <w:rPr>
          <w:rFonts w:ascii="標楷體" w:eastAsia="標楷體" w:hAnsi="標楷體" w:hint="eastAsia"/>
        </w:rPr>
        <w:t>本所為貫徹廉能政治，端正政治風氣，提昇施政效能，特設本所廉政會報（以下簡稱本會報），特訂定本要點。</w:t>
      </w:r>
    </w:p>
    <w:p w14:paraId="01BFBAA5" w14:textId="16BD86D0" w:rsidR="00AF6451" w:rsidRPr="00BA14CE" w:rsidRDefault="00000000">
      <w:pPr>
        <w:pStyle w:val="a3"/>
        <w:spacing w:line="354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二、</w:t>
      </w:r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報任務如下：</w:t>
      </w:r>
    </w:p>
    <w:p w14:paraId="3367ED10" w14:textId="64EF6152" w:rsidR="00AF6451" w:rsidRPr="00BA14CE" w:rsidRDefault="00000000">
      <w:pPr>
        <w:pStyle w:val="a3"/>
        <w:spacing w:before="181"/>
        <w:jc w:val="left"/>
        <w:rPr>
          <w:rFonts w:ascii="標楷體" w:eastAsia="標楷體" w:hAnsi="標楷體"/>
        </w:rPr>
      </w:pPr>
      <w:r w:rsidRPr="00BA14CE">
        <w:rPr>
          <w:rFonts w:ascii="標楷體" w:eastAsia="標楷體" w:hAnsi="標楷體"/>
          <w:spacing w:val="-9"/>
        </w:rPr>
        <w:t>(</w:t>
      </w:r>
      <w:proofErr w:type="gramStart"/>
      <w:r w:rsidRPr="00BA14CE">
        <w:rPr>
          <w:rFonts w:ascii="標楷體" w:eastAsia="標楷體" w:hAnsi="標楷體"/>
          <w:spacing w:val="-9"/>
        </w:rPr>
        <w:t>一</w:t>
      </w:r>
      <w:proofErr w:type="gramEnd"/>
      <w:r w:rsidRPr="00BA14CE">
        <w:rPr>
          <w:rFonts w:ascii="標楷體" w:eastAsia="標楷體" w:hAnsi="標楷體"/>
          <w:spacing w:val="-9"/>
        </w:rPr>
        <w:t xml:space="preserve">) </w:t>
      </w:r>
      <w:proofErr w:type="gramStart"/>
      <w:r w:rsidR="003626F8" w:rsidRPr="00BA14CE">
        <w:rPr>
          <w:rFonts w:ascii="標楷體" w:eastAsia="標楷體" w:hAnsi="標楷體"/>
          <w:spacing w:val="-9"/>
        </w:rPr>
        <w:t>本所</w:t>
      </w:r>
      <w:r w:rsidRPr="00BA14CE">
        <w:rPr>
          <w:rFonts w:ascii="標楷體" w:eastAsia="標楷體" w:hAnsi="標楷體"/>
          <w:spacing w:val="-9"/>
        </w:rPr>
        <w:t>廉政</w:t>
      </w:r>
      <w:proofErr w:type="gramEnd"/>
      <w:r w:rsidRPr="00BA14CE">
        <w:rPr>
          <w:rFonts w:ascii="標楷體" w:eastAsia="標楷體" w:hAnsi="標楷體"/>
          <w:spacing w:val="-9"/>
        </w:rPr>
        <w:t>計畫之規劃事項。</w:t>
      </w:r>
    </w:p>
    <w:p w14:paraId="34FE3D3B" w14:textId="081FD121" w:rsidR="00AF6451" w:rsidRPr="00BA14CE" w:rsidRDefault="00000000">
      <w:pPr>
        <w:pStyle w:val="a3"/>
        <w:spacing w:before="182"/>
        <w:jc w:val="left"/>
        <w:rPr>
          <w:rFonts w:ascii="標楷體" w:eastAsia="標楷體" w:hAnsi="標楷體"/>
        </w:rPr>
      </w:pPr>
      <w:r w:rsidRPr="00BA14CE">
        <w:rPr>
          <w:rFonts w:ascii="標楷體" w:eastAsia="標楷體" w:hAnsi="標楷體"/>
          <w:spacing w:val="-9"/>
        </w:rPr>
        <w:t xml:space="preserve">(二) </w:t>
      </w:r>
      <w:proofErr w:type="gramStart"/>
      <w:r w:rsidR="003626F8" w:rsidRPr="00BA14CE">
        <w:rPr>
          <w:rFonts w:ascii="標楷體" w:eastAsia="標楷體" w:hAnsi="標楷體"/>
          <w:spacing w:val="-9"/>
        </w:rPr>
        <w:t>本所</w:t>
      </w:r>
      <w:r w:rsidRPr="00BA14CE">
        <w:rPr>
          <w:rFonts w:ascii="標楷體" w:eastAsia="標楷體" w:hAnsi="標楷體"/>
          <w:spacing w:val="-9"/>
        </w:rPr>
        <w:t>廉政</w:t>
      </w:r>
      <w:proofErr w:type="gramEnd"/>
      <w:r w:rsidRPr="00BA14CE">
        <w:rPr>
          <w:rFonts w:ascii="標楷體" w:eastAsia="標楷體" w:hAnsi="標楷體"/>
          <w:spacing w:val="-9"/>
        </w:rPr>
        <w:t>工作之諮詢事項。</w:t>
      </w:r>
    </w:p>
    <w:p w14:paraId="187FD6AE" w14:textId="5D0B685E" w:rsidR="00AF6451" w:rsidRPr="00BA14CE" w:rsidRDefault="00000000">
      <w:pPr>
        <w:pStyle w:val="a3"/>
        <w:spacing w:before="182"/>
        <w:jc w:val="left"/>
        <w:rPr>
          <w:rFonts w:ascii="標楷體" w:eastAsia="標楷體" w:hAnsi="標楷體"/>
        </w:rPr>
      </w:pPr>
      <w:r w:rsidRPr="00BA14CE">
        <w:rPr>
          <w:rFonts w:ascii="標楷體" w:eastAsia="標楷體" w:hAnsi="標楷體"/>
          <w:spacing w:val="-10"/>
        </w:rPr>
        <w:t xml:space="preserve">(三) </w:t>
      </w:r>
      <w:proofErr w:type="gramStart"/>
      <w:r w:rsidR="003626F8" w:rsidRPr="00BA14CE">
        <w:rPr>
          <w:rFonts w:ascii="標楷體" w:eastAsia="標楷體" w:hAnsi="標楷體"/>
          <w:spacing w:val="-10"/>
        </w:rPr>
        <w:t>本所</w:t>
      </w:r>
      <w:r w:rsidRPr="00BA14CE">
        <w:rPr>
          <w:rFonts w:ascii="標楷體" w:eastAsia="標楷體" w:hAnsi="標楷體"/>
          <w:spacing w:val="-10"/>
        </w:rPr>
        <w:t>廉政</w:t>
      </w:r>
      <w:proofErr w:type="gramEnd"/>
      <w:r w:rsidRPr="00BA14CE">
        <w:rPr>
          <w:rFonts w:ascii="標楷體" w:eastAsia="標楷體" w:hAnsi="標楷體"/>
          <w:spacing w:val="-10"/>
        </w:rPr>
        <w:t>工作執行情形之督導及考核事項。</w:t>
      </w:r>
    </w:p>
    <w:p w14:paraId="7B5B874E" w14:textId="77777777" w:rsidR="00AF6451" w:rsidRPr="00BA14CE" w:rsidRDefault="00000000">
      <w:pPr>
        <w:pStyle w:val="a3"/>
        <w:spacing w:before="181"/>
        <w:jc w:val="left"/>
        <w:rPr>
          <w:rFonts w:ascii="標楷體" w:eastAsia="標楷體" w:hAnsi="標楷體"/>
        </w:rPr>
      </w:pPr>
      <w:r w:rsidRPr="00BA14CE">
        <w:rPr>
          <w:rFonts w:ascii="標楷體" w:eastAsia="標楷體" w:hAnsi="標楷體"/>
          <w:spacing w:val="-10"/>
        </w:rPr>
        <w:t>(四) 其他有關端正機關風紀及促進廉能政治事項。</w:t>
      </w:r>
    </w:p>
    <w:p w14:paraId="0162C116" w14:textId="40DA99ED" w:rsidR="00AF6451" w:rsidRPr="00BA14CE" w:rsidRDefault="00000000">
      <w:pPr>
        <w:pStyle w:val="a3"/>
        <w:tabs>
          <w:tab w:val="left" w:pos="1245"/>
        </w:tabs>
        <w:spacing w:before="181" w:line="362" w:lineRule="auto"/>
        <w:ind w:left="686" w:right="113" w:hanging="567"/>
        <w:jc w:val="left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三、</w:t>
      </w:r>
      <w:r w:rsidRPr="00BA14CE">
        <w:rPr>
          <w:rFonts w:ascii="標楷體" w:eastAsia="標楷體" w:hAnsi="標楷體"/>
        </w:rPr>
        <w:tab/>
      </w:r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報置召集人</w:t>
      </w:r>
      <w:r w:rsidR="0045357A">
        <w:rPr>
          <w:rFonts w:ascii="標楷體" w:eastAsia="標楷體" w:hAnsi="標楷體" w:hint="eastAsia"/>
        </w:rPr>
        <w:t>一</w:t>
      </w:r>
      <w:r w:rsidRPr="00BA14CE">
        <w:rPr>
          <w:rFonts w:ascii="標楷體" w:eastAsia="標楷體" w:hAnsi="標楷體"/>
        </w:rPr>
        <w:t>人，由</w:t>
      </w:r>
      <w:r w:rsidR="003626F8" w:rsidRPr="00BA14CE">
        <w:rPr>
          <w:rFonts w:ascii="標楷體" w:eastAsia="標楷體" w:hAnsi="標楷體" w:hint="eastAsia"/>
        </w:rPr>
        <w:t>區長</w:t>
      </w:r>
      <w:r w:rsidRPr="00BA14CE">
        <w:rPr>
          <w:rFonts w:ascii="標楷體" w:eastAsia="標楷體" w:hAnsi="標楷體"/>
        </w:rPr>
        <w:t>兼任；副召集人</w:t>
      </w:r>
      <w:r w:rsidR="0045357A">
        <w:rPr>
          <w:rFonts w:ascii="標楷體" w:eastAsia="標楷體" w:hAnsi="標楷體" w:hint="eastAsia"/>
        </w:rPr>
        <w:t>一</w:t>
      </w:r>
      <w:r w:rsidRPr="00BA14CE">
        <w:rPr>
          <w:rFonts w:ascii="標楷體" w:eastAsia="標楷體" w:hAnsi="標楷體"/>
          <w:spacing w:val="-4"/>
        </w:rPr>
        <w:t>人，由主任</w:t>
      </w:r>
      <w:r w:rsidR="003626F8" w:rsidRPr="00BA14CE">
        <w:rPr>
          <w:rFonts w:ascii="標楷體" w:eastAsia="標楷體" w:hAnsi="標楷體" w:hint="eastAsia"/>
          <w:spacing w:val="-4"/>
        </w:rPr>
        <w:t>秘書</w:t>
      </w:r>
      <w:r w:rsidRPr="00BA14CE">
        <w:rPr>
          <w:rFonts w:ascii="標楷體" w:eastAsia="標楷體" w:hAnsi="標楷體"/>
          <w:spacing w:val="-4"/>
        </w:rPr>
        <w:t>兼</w:t>
      </w:r>
      <w:r w:rsidRPr="00BA14CE">
        <w:rPr>
          <w:rFonts w:ascii="標楷體" w:eastAsia="標楷體" w:hAnsi="標楷體"/>
          <w:spacing w:val="-3"/>
        </w:rPr>
        <w:t>任；委員</w:t>
      </w:r>
      <w:r w:rsidR="0045357A">
        <w:rPr>
          <w:rFonts w:ascii="標楷體" w:eastAsia="標楷體" w:hAnsi="標楷體" w:hint="eastAsia"/>
          <w:spacing w:val="-3"/>
        </w:rPr>
        <w:t>七</w:t>
      </w:r>
      <w:r w:rsidRPr="00BA14CE">
        <w:rPr>
          <w:rFonts w:ascii="標楷體" w:eastAsia="標楷體" w:hAnsi="標楷體"/>
          <w:spacing w:val="-3"/>
        </w:rPr>
        <w:t>人以上，由</w:t>
      </w:r>
      <w:r w:rsidR="003626F8" w:rsidRPr="00BA14CE">
        <w:rPr>
          <w:rFonts w:ascii="標楷體" w:eastAsia="標楷體" w:hAnsi="標楷體"/>
          <w:spacing w:val="-3"/>
        </w:rPr>
        <w:t>本所</w:t>
      </w:r>
      <w:r w:rsidRPr="00BA14CE">
        <w:rPr>
          <w:rFonts w:ascii="標楷體" w:eastAsia="標楷體" w:hAnsi="標楷體"/>
          <w:spacing w:val="-4"/>
        </w:rPr>
        <w:t>各</w:t>
      </w:r>
      <w:r w:rsidR="0045357A">
        <w:rPr>
          <w:rFonts w:ascii="標楷體" w:eastAsia="標楷體" w:hAnsi="標楷體" w:hint="eastAsia"/>
          <w:spacing w:val="-4"/>
        </w:rPr>
        <w:t>課</w:t>
      </w:r>
      <w:r w:rsidRPr="00BA14CE">
        <w:rPr>
          <w:rFonts w:ascii="標楷體" w:eastAsia="標楷體" w:hAnsi="標楷體"/>
          <w:spacing w:val="-3"/>
        </w:rPr>
        <w:t>室一級主管</w:t>
      </w:r>
      <w:r w:rsidRPr="00BA14CE">
        <w:rPr>
          <w:rFonts w:ascii="標楷體" w:eastAsia="標楷體" w:hAnsi="標楷體"/>
        </w:rPr>
        <w:t>或</w:t>
      </w:r>
      <w:r w:rsidR="003626F8" w:rsidRPr="00BA14CE">
        <w:rPr>
          <w:rFonts w:ascii="標楷體" w:eastAsia="標楷體" w:hAnsi="標楷體"/>
        </w:rPr>
        <w:t>本所</w:t>
      </w:r>
      <w:r w:rsidRPr="00BA14CE">
        <w:rPr>
          <w:rFonts w:ascii="標楷體" w:eastAsia="標楷體" w:hAnsi="標楷體"/>
        </w:rPr>
        <w:t>主任委員指派之代表派兼</w:t>
      </w:r>
      <w:r w:rsidRPr="00BA14CE">
        <w:rPr>
          <w:rFonts w:ascii="標楷體" w:eastAsia="標楷體" w:hAnsi="標楷體"/>
          <w:spacing w:val="-51"/>
        </w:rPr>
        <w:t>之</w:t>
      </w:r>
      <w:r w:rsidRPr="00BA14CE">
        <w:rPr>
          <w:rFonts w:ascii="標楷體" w:eastAsia="標楷體" w:hAnsi="標楷體"/>
          <w:spacing w:val="-53"/>
        </w:rPr>
        <w:t>。</w:t>
      </w:r>
      <w:r w:rsidRPr="00BA14CE">
        <w:rPr>
          <w:rFonts w:ascii="標楷體" w:eastAsia="標楷體" w:hAnsi="標楷體"/>
        </w:rPr>
        <w:t>如有需要得聘請專家學者為外聘委員。</w:t>
      </w:r>
    </w:p>
    <w:p w14:paraId="4496254F" w14:textId="13EFA0F6" w:rsidR="00AF6451" w:rsidRPr="00BA14CE" w:rsidRDefault="00BA14CE" w:rsidP="00BA14CE">
      <w:pPr>
        <w:pStyle w:val="a3"/>
        <w:spacing w:line="351" w:lineRule="exact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</w:t>
      </w:r>
      <w:r w:rsidR="00000000" w:rsidRPr="00BA14CE">
        <w:rPr>
          <w:rFonts w:ascii="標楷體" w:eastAsia="標楷體" w:hAnsi="標楷體"/>
          <w:spacing w:val="-1"/>
        </w:rPr>
        <w:t>前項委員任一性別比率不得少於百分之四十。</w:t>
      </w:r>
    </w:p>
    <w:p w14:paraId="4F222A01" w14:textId="7C3F6A74" w:rsidR="00AF6451" w:rsidRPr="00BA14CE" w:rsidRDefault="00000000">
      <w:pPr>
        <w:pStyle w:val="a3"/>
        <w:spacing w:before="181" w:line="362" w:lineRule="auto"/>
        <w:ind w:left="686" w:right="118" w:hanging="567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四、</w:t>
      </w:r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報置執行秘書一人，由</w:t>
      </w:r>
      <w:proofErr w:type="gramStart"/>
      <w:r w:rsidR="003626F8" w:rsidRPr="00BA14CE">
        <w:rPr>
          <w:rFonts w:ascii="標楷體" w:eastAsia="標楷體" w:hAnsi="標楷體"/>
        </w:rPr>
        <w:t>本所</w:t>
      </w:r>
      <w:r w:rsidRPr="00BA14CE">
        <w:rPr>
          <w:rFonts w:ascii="標楷體" w:eastAsia="標楷體" w:hAnsi="標楷體"/>
        </w:rPr>
        <w:t>政風</w:t>
      </w:r>
      <w:proofErr w:type="gramEnd"/>
      <w:r w:rsidRPr="00BA14CE">
        <w:rPr>
          <w:rFonts w:ascii="標楷體" w:eastAsia="標楷體" w:hAnsi="標楷體"/>
        </w:rPr>
        <w:t>室主任兼任，承召集人</w:t>
      </w:r>
      <w:proofErr w:type="gramStart"/>
      <w:r w:rsidRPr="00BA14CE">
        <w:rPr>
          <w:rFonts w:ascii="標楷體" w:eastAsia="標楷體" w:hAnsi="標楷體"/>
        </w:rPr>
        <w:t>之命綜理</w:t>
      </w:r>
      <w:proofErr w:type="gramEnd"/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報事務；相關幕僚作業，由政風人員辦理。</w:t>
      </w:r>
    </w:p>
    <w:p w14:paraId="6CB259A7" w14:textId="27E3DD14" w:rsidR="00AF6451" w:rsidRPr="00BA14CE" w:rsidRDefault="00000000">
      <w:pPr>
        <w:pStyle w:val="a3"/>
        <w:spacing w:line="362" w:lineRule="auto"/>
        <w:ind w:left="679" w:right="118" w:hanging="56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五、</w:t>
      </w:r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報原則每半年召開會議一次，必要時，得隨時召開臨時</w:t>
      </w:r>
      <w:r w:rsidRPr="00BA14CE">
        <w:rPr>
          <w:rFonts w:ascii="標楷體" w:eastAsia="標楷體" w:hAnsi="標楷體"/>
          <w:spacing w:val="-4"/>
        </w:rPr>
        <w:t>會議，由召集人擔任主席。召集人不能出席會議時，由副召集人</w:t>
      </w:r>
      <w:r w:rsidRPr="00BA14CE">
        <w:rPr>
          <w:rFonts w:ascii="標楷體" w:eastAsia="標楷體" w:hAnsi="標楷體"/>
        </w:rPr>
        <w:t>代理。</w:t>
      </w:r>
    </w:p>
    <w:p w14:paraId="11264E16" w14:textId="6BA50255" w:rsidR="00AF6451" w:rsidRPr="00BA14CE" w:rsidRDefault="00000000">
      <w:pPr>
        <w:pStyle w:val="a3"/>
        <w:spacing w:line="362" w:lineRule="auto"/>
        <w:ind w:left="679" w:right="118" w:hanging="56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  <w:spacing w:val="2"/>
        </w:rPr>
        <w:t>六、</w:t>
      </w:r>
      <w:r w:rsidR="003626F8" w:rsidRPr="00BA14CE">
        <w:rPr>
          <w:rFonts w:ascii="標楷體" w:eastAsia="標楷體" w:hAnsi="標楷體"/>
          <w:spacing w:val="2"/>
        </w:rPr>
        <w:t>本</w:t>
      </w:r>
      <w:r w:rsidR="003626F8" w:rsidRPr="00BA14CE">
        <w:rPr>
          <w:rFonts w:ascii="標楷體" w:eastAsia="標楷體" w:hAnsi="標楷體" w:hint="eastAsia"/>
          <w:spacing w:val="2"/>
        </w:rPr>
        <w:t>會</w:t>
      </w:r>
      <w:r w:rsidRPr="00BA14CE">
        <w:rPr>
          <w:rFonts w:ascii="標楷體" w:eastAsia="標楷體" w:hAnsi="標楷體"/>
          <w:spacing w:val="2"/>
        </w:rPr>
        <w:t>報召開會議時，得視需要邀請有關機關</w:t>
      </w:r>
      <w:r w:rsidRPr="00BA14CE">
        <w:rPr>
          <w:rFonts w:ascii="標楷體" w:eastAsia="標楷體" w:hAnsi="標楷體"/>
        </w:rPr>
        <w:t>（單位）人員或相關人士列席。</w:t>
      </w:r>
    </w:p>
    <w:p w14:paraId="058E638F" w14:textId="34576E51" w:rsidR="00AF6451" w:rsidRPr="00BA14CE" w:rsidRDefault="00000000">
      <w:pPr>
        <w:pStyle w:val="a3"/>
        <w:spacing w:line="362" w:lineRule="auto"/>
        <w:ind w:left="679" w:right="118" w:hanging="56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七、</w:t>
      </w:r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報召集人、副召集人及</w:t>
      </w:r>
      <w:proofErr w:type="gramStart"/>
      <w:r w:rsidRPr="00BA14CE">
        <w:rPr>
          <w:rFonts w:ascii="標楷體" w:eastAsia="標楷體" w:hAnsi="標楷體"/>
        </w:rPr>
        <w:t>委員均為無</w:t>
      </w:r>
      <w:proofErr w:type="gramEnd"/>
      <w:r w:rsidRPr="00BA14CE">
        <w:rPr>
          <w:rFonts w:ascii="標楷體" w:eastAsia="標楷體" w:hAnsi="標楷體"/>
        </w:rPr>
        <w:t>給職。但開會時專家學者之委員，得依規定支領交通費及出席費。</w:t>
      </w:r>
    </w:p>
    <w:p w14:paraId="428E15F4" w14:textId="70DC2C13" w:rsidR="00AF6451" w:rsidRPr="00BA14CE" w:rsidRDefault="00000000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>八、</w:t>
      </w:r>
      <w:r w:rsidR="003626F8" w:rsidRPr="00BA14CE">
        <w:rPr>
          <w:rFonts w:ascii="標楷體" w:eastAsia="標楷體" w:hAnsi="標楷體"/>
        </w:rPr>
        <w:t>本</w:t>
      </w:r>
      <w:r w:rsidR="003626F8" w:rsidRPr="00BA14CE">
        <w:rPr>
          <w:rFonts w:ascii="標楷體" w:eastAsia="標楷體" w:hAnsi="標楷體" w:hint="eastAsia"/>
        </w:rPr>
        <w:t>會</w:t>
      </w:r>
      <w:r w:rsidRPr="00BA14CE">
        <w:rPr>
          <w:rFonts w:ascii="標楷體" w:eastAsia="標楷體" w:hAnsi="標楷體"/>
        </w:rPr>
        <w:t>報所需經費由</w:t>
      </w:r>
      <w:r w:rsidR="003626F8" w:rsidRPr="00BA14CE">
        <w:rPr>
          <w:rFonts w:ascii="標楷體" w:eastAsia="標楷體" w:hAnsi="標楷體"/>
        </w:rPr>
        <w:t>本所</w:t>
      </w:r>
      <w:r w:rsidRPr="00BA14CE">
        <w:rPr>
          <w:rFonts w:ascii="標楷體" w:eastAsia="標楷體" w:hAnsi="標楷體"/>
        </w:rPr>
        <w:t>相關預算項下支應。</w:t>
      </w:r>
    </w:p>
    <w:p w14:paraId="739DDBFF" w14:textId="0A0DAF37" w:rsidR="00BA14CE" w:rsidRP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A0781E9" w14:textId="1D0F9293" w:rsidR="00BA14CE" w:rsidRP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7976DD74" w14:textId="601A92FD" w:rsidR="00BA14CE" w:rsidRP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7685EAD1" w14:textId="0A8E5E3F" w:rsidR="00BA14CE" w:rsidRP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12C2565B" w14:textId="44778EC4" w:rsidR="00BA14CE" w:rsidRP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39ACC766" w14:textId="4F609D5B" w:rsid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8818DD7" w14:textId="7BD5FE23" w:rsidR="0045357A" w:rsidRDefault="0045357A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5B839001" w14:textId="613869FA" w:rsidR="00824C8E" w:rsidRDefault="00824C8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C468013" w14:textId="47AC3417" w:rsidR="00824C8E" w:rsidRDefault="00824C8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3457325E" w14:textId="10341C17" w:rsidR="00824C8E" w:rsidRDefault="00824C8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712354DE" w14:textId="77777777" w:rsidR="0045357A" w:rsidRPr="00BA14CE" w:rsidRDefault="0045357A">
      <w:pPr>
        <w:pStyle w:val="a3"/>
        <w:spacing w:line="355" w:lineRule="exact"/>
        <w:ind w:left="120"/>
        <w:rPr>
          <w:rFonts w:ascii="標楷體" w:eastAsia="標楷體" w:hAnsi="標楷體" w:hint="eastAsia"/>
        </w:rPr>
      </w:pPr>
    </w:p>
    <w:p w14:paraId="63E29B68" w14:textId="28C00627" w:rsidR="00BA14CE" w:rsidRPr="00BA14CE" w:rsidRDefault="00824C8E" w:rsidP="00BA14CE">
      <w:pPr>
        <w:pStyle w:val="a3"/>
        <w:spacing w:line="355" w:lineRule="exact"/>
        <w:ind w:left="1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proofErr w:type="gramStart"/>
      <w:r w:rsidR="00BA14CE" w:rsidRPr="00BA14CE">
        <w:rPr>
          <w:rFonts w:ascii="標楷體" w:eastAsia="標楷體" w:hAnsi="標楷體"/>
          <w:sz w:val="40"/>
          <w:szCs w:val="40"/>
        </w:rPr>
        <w:t>臺</w:t>
      </w:r>
      <w:proofErr w:type="gramEnd"/>
      <w:r w:rsidR="00BA14CE" w:rsidRPr="00BA14CE">
        <w:rPr>
          <w:rFonts w:ascii="標楷體" w:eastAsia="標楷體" w:hAnsi="標楷體"/>
          <w:sz w:val="40"/>
          <w:szCs w:val="40"/>
        </w:rPr>
        <w:t>南市學甲區公所</w:t>
      </w:r>
      <w:r w:rsidR="00BA14CE" w:rsidRPr="00BA14CE">
        <w:rPr>
          <w:rFonts w:ascii="標楷體" w:eastAsia="標楷體" w:hAnsi="標楷體" w:hint="eastAsia"/>
          <w:sz w:val="40"/>
          <w:szCs w:val="40"/>
        </w:rPr>
        <w:t>廉政會報設置要點總說明</w:t>
      </w:r>
    </w:p>
    <w:p w14:paraId="0770C7C4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0CAC5BA9" w14:textId="3827166B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學甲區公所</w:t>
      </w:r>
      <w:r w:rsidRPr="00BA14CE">
        <w:rPr>
          <w:rFonts w:ascii="標楷體" w:eastAsia="標楷體" w:hAnsi="標楷體"/>
        </w:rPr>
        <w:t>為落實廉能政策，於本機關內設「廉政會報」(以下簡稱本會報)，以推動「乾淨政府運動」，檢討防貪、</w:t>
      </w:r>
      <w:proofErr w:type="gramStart"/>
      <w:r w:rsidRPr="00BA14CE">
        <w:rPr>
          <w:rFonts w:ascii="標楷體" w:eastAsia="標楷體" w:hAnsi="標楷體"/>
        </w:rPr>
        <w:t>肅</w:t>
      </w:r>
      <w:proofErr w:type="gramEnd"/>
      <w:r w:rsidRPr="00BA14CE">
        <w:rPr>
          <w:rFonts w:ascii="標楷體" w:eastAsia="標楷體" w:hAnsi="標楷體"/>
        </w:rPr>
        <w:t>貪及</w:t>
      </w:r>
      <w:r>
        <w:rPr>
          <w:rFonts w:ascii="標楷體" w:eastAsia="標楷體" w:hAnsi="標楷體" w:hint="eastAsia"/>
        </w:rPr>
        <w:t>廉政</w:t>
      </w:r>
      <w:r w:rsidRPr="00BA14CE">
        <w:rPr>
          <w:rFonts w:ascii="標楷體" w:eastAsia="標楷體" w:hAnsi="標楷體"/>
        </w:rPr>
        <w:t>倫理</w:t>
      </w:r>
      <w:r>
        <w:rPr>
          <w:rFonts w:ascii="標楷體" w:eastAsia="標楷體" w:hAnsi="標楷體" w:hint="eastAsia"/>
        </w:rPr>
        <w:t>、行政透明</w:t>
      </w:r>
      <w:r w:rsidRPr="00BA14CE">
        <w:rPr>
          <w:rFonts w:ascii="標楷體" w:eastAsia="標楷體" w:hAnsi="標楷體"/>
        </w:rPr>
        <w:t>工作推動情形，展現根除積弊及清廉執政之決心，</w:t>
      </w:r>
      <w:proofErr w:type="gramStart"/>
      <w:r w:rsidRPr="00BA14CE">
        <w:rPr>
          <w:rFonts w:ascii="標楷體" w:eastAsia="標楷體" w:hAnsi="標楷體"/>
        </w:rPr>
        <w:t>爰</w:t>
      </w:r>
      <w:proofErr w:type="gramEnd"/>
      <w:r w:rsidRPr="00BA14CE">
        <w:rPr>
          <w:rFonts w:ascii="標楷體" w:eastAsia="標楷體" w:hAnsi="標楷體"/>
        </w:rPr>
        <w:t>擬具「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南市學甲區公所</w:t>
      </w:r>
      <w:r w:rsidRPr="00BA14CE">
        <w:rPr>
          <w:rFonts w:ascii="標楷體" w:eastAsia="標楷體" w:hAnsi="標楷體"/>
        </w:rPr>
        <w:t>廉政會報設置要點」，其主要內容如下：</w:t>
      </w:r>
    </w:p>
    <w:p w14:paraId="4B451160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33B86572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4188A86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 w:hint="eastAsia"/>
        </w:rPr>
        <w:t>一、本會報之設置目的及任務。（第一點及第二點）</w:t>
      </w:r>
    </w:p>
    <w:p w14:paraId="7C8714C9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6535689D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CFB4A24" w14:textId="75E6388E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 w:hint="eastAsia"/>
        </w:rPr>
        <w:t>二、本會報之組成</w:t>
      </w:r>
      <w:r>
        <w:rPr>
          <w:rFonts w:ascii="標楷體" w:eastAsia="標楷體" w:hAnsi="標楷體" w:hint="eastAsia"/>
        </w:rPr>
        <w:t>及性別</w:t>
      </w:r>
      <w:proofErr w:type="gramStart"/>
      <w:r>
        <w:rPr>
          <w:rFonts w:ascii="標楷體" w:eastAsia="標楷體" w:hAnsi="標楷體" w:hint="eastAsia"/>
        </w:rPr>
        <w:t>比例之衡平</w:t>
      </w:r>
      <w:proofErr w:type="gramEnd"/>
      <w:r>
        <w:rPr>
          <w:rFonts w:ascii="標楷體" w:eastAsia="標楷體" w:hAnsi="標楷體" w:hint="eastAsia"/>
        </w:rPr>
        <w:t>規定</w:t>
      </w:r>
      <w:r w:rsidRPr="00BA14CE">
        <w:rPr>
          <w:rFonts w:ascii="標楷體" w:eastAsia="標楷體" w:hAnsi="標楷體" w:hint="eastAsia"/>
        </w:rPr>
        <w:t>。（第三點）</w:t>
      </w:r>
    </w:p>
    <w:p w14:paraId="5F5831A0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5574AC34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77FF2200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 w:hint="eastAsia"/>
        </w:rPr>
        <w:t>三、本會報秘書業務之負責單位及執行秘書之權責。（第四點）</w:t>
      </w:r>
    </w:p>
    <w:p w14:paraId="11C85569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D8156EA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75F02A91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 w:hint="eastAsia"/>
        </w:rPr>
        <w:t>四、本會報之會議召開時間及主席人選。（第五點）</w:t>
      </w:r>
    </w:p>
    <w:p w14:paraId="199DFB88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5CC757D0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6680A45F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 w:hint="eastAsia"/>
        </w:rPr>
        <w:t>五、本會報得邀請列席之人員。（第六點）</w:t>
      </w:r>
    </w:p>
    <w:p w14:paraId="702EBA3C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4BAB74F3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1E646736" w14:textId="77777777" w:rsidR="007A1BEC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 w:rsidRPr="00BA14CE">
        <w:rPr>
          <w:rFonts w:ascii="標楷體" w:eastAsia="標楷體" w:hAnsi="標楷體" w:hint="eastAsia"/>
        </w:rPr>
        <w:t>六、本會報召集人、副召集人及</w:t>
      </w:r>
      <w:proofErr w:type="gramStart"/>
      <w:r w:rsidRPr="00BA14CE">
        <w:rPr>
          <w:rFonts w:ascii="標楷體" w:eastAsia="標楷體" w:hAnsi="標楷體" w:hint="eastAsia"/>
        </w:rPr>
        <w:t>委員均為無</w:t>
      </w:r>
      <w:proofErr w:type="gramEnd"/>
      <w:r w:rsidRPr="00BA14CE">
        <w:rPr>
          <w:rFonts w:ascii="標楷體" w:eastAsia="標楷體" w:hAnsi="標楷體" w:hint="eastAsia"/>
        </w:rPr>
        <w:t>給職</w:t>
      </w:r>
      <w:r>
        <w:rPr>
          <w:rFonts w:ascii="標楷體" w:eastAsia="標楷體" w:hAnsi="標楷體" w:hint="eastAsia"/>
        </w:rPr>
        <w:t>以及</w:t>
      </w:r>
      <w:r w:rsidRPr="00BA14CE">
        <w:rPr>
          <w:rFonts w:ascii="標楷體" w:eastAsia="標楷體" w:hAnsi="標楷體" w:hint="eastAsia"/>
        </w:rPr>
        <w:t>專家學者之委員</w:t>
      </w:r>
    </w:p>
    <w:p w14:paraId="0BB27083" w14:textId="31B91163" w:rsidR="00BA14CE" w:rsidRPr="00BA14CE" w:rsidRDefault="007A1BEC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A14CE">
        <w:rPr>
          <w:rFonts w:ascii="標楷體" w:eastAsia="標楷體" w:hAnsi="標楷體" w:hint="eastAsia"/>
        </w:rPr>
        <w:t>之例外規定</w:t>
      </w:r>
      <w:r w:rsidR="00BA14CE" w:rsidRPr="00BA14CE">
        <w:rPr>
          <w:rFonts w:ascii="標楷體" w:eastAsia="標楷體" w:hAnsi="標楷體" w:hint="eastAsia"/>
        </w:rPr>
        <w:t>。（第七點）</w:t>
      </w:r>
    </w:p>
    <w:p w14:paraId="57930A16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3EF6C62F" w14:textId="77777777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p w14:paraId="73850AA9" w14:textId="1C1DCAE6" w:rsidR="00BA14CE" w:rsidRPr="00BA14CE" w:rsidRDefault="00BA14CE" w:rsidP="00BA14CE">
      <w:pPr>
        <w:pStyle w:val="a3"/>
        <w:spacing w:line="355" w:lineRule="exact"/>
        <w:ind w:left="120"/>
        <w:rPr>
          <w:rFonts w:ascii="標楷體" w:eastAsia="標楷體" w:hAnsi="標楷體" w:hint="eastAsia"/>
        </w:rPr>
      </w:pPr>
      <w:r w:rsidRPr="00BA14CE">
        <w:rPr>
          <w:rFonts w:ascii="標楷體" w:eastAsia="標楷體" w:hAnsi="標楷體" w:hint="eastAsia"/>
        </w:rPr>
        <w:t>七、本會報之經費來源。（第八點）</w:t>
      </w:r>
    </w:p>
    <w:p w14:paraId="7910FFF0" w14:textId="77777777" w:rsidR="00BA14CE" w:rsidRPr="00BA14CE" w:rsidRDefault="00BA14CE">
      <w:pPr>
        <w:pStyle w:val="a3"/>
        <w:spacing w:line="355" w:lineRule="exact"/>
        <w:ind w:left="120"/>
        <w:rPr>
          <w:rFonts w:ascii="標楷體" w:eastAsia="標楷體" w:hAnsi="標楷體"/>
        </w:rPr>
      </w:pPr>
    </w:p>
    <w:sectPr w:rsidR="00BA14CE" w:rsidRPr="00BA14CE" w:rsidSect="00824C8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111F" w14:textId="77777777" w:rsidR="00225EDA" w:rsidRDefault="00225EDA" w:rsidP="00BA14CE">
      <w:r>
        <w:separator/>
      </w:r>
    </w:p>
  </w:endnote>
  <w:endnote w:type="continuationSeparator" w:id="0">
    <w:p w14:paraId="6BAB61BB" w14:textId="77777777" w:rsidR="00225EDA" w:rsidRDefault="00225EDA" w:rsidP="00BA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DA18" w14:textId="77777777" w:rsidR="00225EDA" w:rsidRDefault="00225EDA" w:rsidP="00BA14CE">
      <w:r>
        <w:separator/>
      </w:r>
    </w:p>
  </w:footnote>
  <w:footnote w:type="continuationSeparator" w:id="0">
    <w:p w14:paraId="2F46CB2D" w14:textId="77777777" w:rsidR="00225EDA" w:rsidRDefault="00225EDA" w:rsidP="00BA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51"/>
    <w:rsid w:val="00225EDA"/>
    <w:rsid w:val="003626F8"/>
    <w:rsid w:val="0045357A"/>
    <w:rsid w:val="007A1BEC"/>
    <w:rsid w:val="00824C8E"/>
    <w:rsid w:val="00AF6451"/>
    <w:rsid w:val="00B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D8D11"/>
  <w15:docId w15:val="{8FC133F3-D951-4845-BC9F-DDA95D61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"/>
      <w:ind w:left="127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4CE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A1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4CE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weiyulin0805</dc:creator>
  <cp:lastModifiedBy>林璋維</cp:lastModifiedBy>
  <cp:revision>4</cp:revision>
  <cp:lastPrinted>2022-12-05T06:17:00Z</cp:lastPrinted>
  <dcterms:created xsi:type="dcterms:W3CDTF">2022-12-05T06:15:00Z</dcterms:created>
  <dcterms:modified xsi:type="dcterms:W3CDTF">2022-12-05T06:17:00Z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