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88" w:rsidRPr="007F3D98" w:rsidRDefault="007E0388" w:rsidP="006E5CD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E5CD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E5CD0">
        <w:rPr>
          <w:rFonts w:ascii="標楷體" w:eastAsia="標楷體" w:hAnsi="標楷體" w:hint="eastAsia"/>
          <w:sz w:val="32"/>
          <w:szCs w:val="32"/>
        </w:rPr>
        <w:t>南市公立骨灰(</w:t>
      </w:r>
      <w:proofErr w:type="gramStart"/>
      <w:r w:rsidRPr="006E5CD0">
        <w:rPr>
          <w:rFonts w:ascii="標楷體" w:eastAsia="標楷體" w:hAnsi="標楷體" w:hint="eastAsia"/>
          <w:sz w:val="32"/>
          <w:szCs w:val="32"/>
        </w:rPr>
        <w:t>骸</w:t>
      </w:r>
      <w:proofErr w:type="gramEnd"/>
      <w:r w:rsidRPr="006E5CD0">
        <w:rPr>
          <w:rFonts w:ascii="標楷體" w:eastAsia="標楷體" w:hAnsi="標楷體" w:hint="eastAsia"/>
          <w:sz w:val="32"/>
          <w:szCs w:val="32"/>
        </w:rPr>
        <w:t>)存放設施收費標準表</w:t>
      </w:r>
      <w:r w:rsidR="006E5CD0" w:rsidRPr="006E5CD0">
        <w:rPr>
          <w:rFonts w:ascii="標楷體" w:eastAsia="標楷體" w:hAnsi="標楷體" w:hint="eastAsia"/>
          <w:sz w:val="32"/>
          <w:szCs w:val="32"/>
        </w:rPr>
        <w:t>草案</w:t>
      </w:r>
      <w:r w:rsidRPr="006E5CD0">
        <w:rPr>
          <w:rFonts w:ascii="標楷體" w:eastAsia="標楷體" w:hAnsi="標楷體" w:hint="eastAsia"/>
          <w:sz w:val="32"/>
          <w:szCs w:val="32"/>
        </w:rPr>
        <w:t xml:space="preserve"> </w:t>
      </w:r>
      <w:r w:rsidR="0083571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F3D98">
        <w:rPr>
          <w:rFonts w:ascii="標楷體" w:eastAsia="標楷體" w:hAnsi="標楷體" w:hint="eastAsia"/>
          <w:sz w:val="32"/>
          <w:szCs w:val="32"/>
        </w:rPr>
        <w:t>單位：新臺幣</w:t>
      </w:r>
      <w:r w:rsidR="007F3D98" w:rsidRPr="007F3D98">
        <w:rPr>
          <w:rFonts w:ascii="標楷體" w:eastAsia="標楷體" w:hAnsi="標楷體" w:hint="eastAsia"/>
          <w:sz w:val="32"/>
          <w:szCs w:val="32"/>
        </w:rPr>
        <w:t>/元</w:t>
      </w:r>
      <w:r w:rsidR="006E5CD0" w:rsidRPr="007F3D98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262"/>
        <w:gridCol w:w="1167"/>
        <w:gridCol w:w="1188"/>
        <w:gridCol w:w="2312"/>
        <w:gridCol w:w="1541"/>
        <w:gridCol w:w="1798"/>
      </w:tblGrid>
      <w:tr w:rsidR="007F271D" w:rsidRPr="003214CF" w:rsidTr="00296C9E">
        <w:trPr>
          <w:tblHeader/>
          <w:jc w:val="center"/>
        </w:trPr>
        <w:tc>
          <w:tcPr>
            <w:tcW w:w="639" w:type="pct"/>
            <w:vAlign w:val="center"/>
          </w:tcPr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31" w:left="-2" w:rightChars="-46" w:right="-110" w:hangingChars="30" w:hanging="7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管理機關</w:t>
            </w:r>
          </w:p>
        </w:tc>
        <w:tc>
          <w:tcPr>
            <w:tcW w:w="594" w:type="pct"/>
            <w:vAlign w:val="center"/>
          </w:tcPr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31" w:left="-2" w:rightChars="-46" w:right="-110" w:hangingChars="30" w:hanging="7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設施名稱</w:t>
            </w:r>
          </w:p>
        </w:tc>
        <w:tc>
          <w:tcPr>
            <w:tcW w:w="549" w:type="pct"/>
            <w:vAlign w:val="center"/>
          </w:tcPr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31" w:left="-2" w:rightChars="-46" w:right="-110" w:hangingChars="30" w:hanging="7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收費項目</w:t>
            </w:r>
          </w:p>
        </w:tc>
        <w:tc>
          <w:tcPr>
            <w:tcW w:w="559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樓</w:t>
            </w:r>
            <w:r w:rsidR="004119D8">
              <w:rPr>
                <w:rFonts w:ascii="標楷體" w:eastAsia="標楷體" w:hAnsi="標楷體" w:hint="eastAsia"/>
                <w:szCs w:val="24"/>
              </w:rPr>
              <w:t>/區</w:t>
            </w:r>
            <w:r w:rsidRPr="003D1F4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層別</w:t>
            </w:r>
            <w:proofErr w:type="gramEnd"/>
          </w:p>
        </w:tc>
        <w:tc>
          <w:tcPr>
            <w:tcW w:w="724" w:type="pct"/>
            <w:vAlign w:val="center"/>
          </w:tcPr>
          <w:p w:rsidR="007E0388" w:rsidRPr="003D1F42" w:rsidRDefault="004945AF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5" w:left="-107" w:rightChars="-66" w:right="-158" w:hanging="1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市民</w:t>
            </w:r>
            <w:r w:rsidR="007E0388" w:rsidRPr="003D1F42">
              <w:rPr>
                <w:rFonts w:ascii="標楷體" w:eastAsia="標楷體" w:hAnsi="標楷體" w:hint="eastAsia"/>
                <w:szCs w:val="24"/>
              </w:rPr>
              <w:t>收費金額</w:t>
            </w:r>
          </w:p>
        </w:tc>
        <w:tc>
          <w:tcPr>
            <w:tcW w:w="847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回饋事項</w:t>
            </w:r>
          </w:p>
        </w:tc>
      </w:tr>
      <w:tr w:rsidR="007F271D" w:rsidRPr="003214CF" w:rsidTr="00296C9E">
        <w:trPr>
          <w:trHeight w:val="352"/>
          <w:jc w:val="center"/>
        </w:trPr>
        <w:tc>
          <w:tcPr>
            <w:tcW w:w="639" w:type="pct"/>
            <w:vMerge w:val="restart"/>
            <w:vAlign w:val="center"/>
          </w:tcPr>
          <w:p w:rsidR="007E0388" w:rsidRPr="003D1F42" w:rsidRDefault="007E0388" w:rsidP="0016700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7E0388" w:rsidRPr="003D1F42" w:rsidRDefault="007E0388" w:rsidP="006E5CD0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75" w:left="38" w:rightChars="-44" w:right="-106" w:hangingChars="91" w:hanging="218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南區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崇孝塔</w:t>
            </w:r>
            <w:proofErr w:type="gramEnd"/>
          </w:p>
        </w:tc>
        <w:tc>
          <w:tcPr>
            <w:tcW w:w="549" w:type="pct"/>
            <w:vMerge w:val="restar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四千</w:t>
            </w:r>
          </w:p>
        </w:tc>
        <w:tc>
          <w:tcPr>
            <w:tcW w:w="847" w:type="pct"/>
            <w:vMerge w:val="restart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93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一萬一千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58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八千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9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七千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81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六千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不分層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077FA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8"/>
          <w:jc w:val="center"/>
        </w:trPr>
        <w:tc>
          <w:tcPr>
            <w:tcW w:w="639" w:type="pct"/>
            <w:vMerge w:val="restar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7E0388" w:rsidRPr="003D1F42" w:rsidRDefault="007E0388" w:rsidP="006E5CD0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39" w:left="-94" w:rightChars="-44" w:right="-106" w:firstLineChars="7" w:firstLine="17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安南區第一示範公墓納骨塔</w:t>
            </w:r>
          </w:p>
        </w:tc>
        <w:tc>
          <w:tcPr>
            <w:tcW w:w="549" w:type="pct"/>
            <w:vMerge w:val="restar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  <w:proofErr w:type="gramStart"/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 w:val="restart"/>
          </w:tcPr>
          <w:p w:rsidR="0004156E" w:rsidRPr="00EA0113" w:rsidRDefault="00E865FC" w:rsidP="00EA011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A0113">
              <w:rPr>
                <w:rFonts w:ascii="標楷體" w:eastAsia="標楷體" w:hAnsi="標楷體" w:hint="eastAsia"/>
                <w:szCs w:val="24"/>
              </w:rPr>
              <w:t>亡者設籍本區青草里、城西里四個月以上之里民，使用費免收。</w:t>
            </w: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8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7E0388" w:rsidRPr="003D1F42" w:rsidRDefault="0004156E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孝</w:t>
            </w:r>
            <w:r w:rsidR="007E0388" w:rsidRPr="003D1F42">
              <w:rPr>
                <w:rFonts w:ascii="標楷體" w:eastAsia="標楷體" w:hAnsi="標楷體" w:hint="eastAsia"/>
                <w:sz w:val="20"/>
                <w:szCs w:val="20"/>
              </w:rPr>
              <w:t>二、四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一、十、十一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8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孝三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一、十、十一、十二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</w:tcPr>
          <w:p w:rsidR="007E0388" w:rsidRPr="003D1F42" w:rsidRDefault="007E0388" w:rsidP="001B0D98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8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proofErr w:type="gramStart"/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二萬三千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F126C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二萬八千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三萬三千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8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both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仁二第一、二、六、七排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一、二、三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59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富、五、六、七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45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both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仁二第三、富、五排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六、七、八、九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45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1C519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1" w:rightChars="-78" w:right="-187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一、二、三、富、五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4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愛一、三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0D15F9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二萬一千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1857F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二萬六千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0D15F9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三萬一千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4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信一、三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一萬九千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665924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二萬四千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46531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二萬九千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230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地上層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忠一、三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一、二、三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F75EA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230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富、五、六、七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一萬五千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雙人骨灰櫃</w:t>
            </w:r>
          </w:p>
        </w:tc>
        <w:tc>
          <w:tcPr>
            <w:tcW w:w="559" w:type="pct"/>
            <w:vMerge w:val="restart"/>
            <w:vAlign w:val="center"/>
          </w:tcPr>
          <w:p w:rsidR="007E0388" w:rsidRPr="003D1F42" w:rsidRDefault="007E0388" w:rsidP="004B1ADD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7E0388" w:rsidRPr="003D1F42" w:rsidRDefault="007E0388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3" w:left="1" w:rightChars="-36" w:right="-86" w:hangingChars="52" w:hanging="104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 w:val="20"/>
                <w:szCs w:val="20"/>
              </w:rPr>
              <w:t>仁三</w:t>
            </w: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二、三、七、八、九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D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7E0388" w:rsidRPr="003D1F42" w:rsidRDefault="007E0388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富、五、六</w:t>
            </w:r>
          </w:p>
        </w:tc>
        <w:tc>
          <w:tcPr>
            <w:tcW w:w="724" w:type="pct"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7E0388" w:rsidRPr="003D1F42" w:rsidRDefault="007E0388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6C9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296C9E" w:rsidRPr="003D1F42" w:rsidRDefault="00296C9E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96C9E" w:rsidRPr="003D1F42" w:rsidRDefault="00296C9E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96C9E" w:rsidRPr="003D1F42" w:rsidRDefault="00296C9E" w:rsidP="003D1F4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神主牌位</w:t>
            </w:r>
          </w:p>
        </w:tc>
        <w:tc>
          <w:tcPr>
            <w:tcW w:w="559" w:type="pct"/>
            <w:vAlign w:val="center"/>
          </w:tcPr>
          <w:p w:rsidR="00296C9E" w:rsidRPr="003D1F42" w:rsidRDefault="00296C9E" w:rsidP="00061C55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296C9E" w:rsidRPr="003D1F42" w:rsidRDefault="00296C9E" w:rsidP="00296C9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96C9E" w:rsidRPr="003D1F42" w:rsidRDefault="00296C9E" w:rsidP="00296C9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一萬二千</w:t>
            </w:r>
          </w:p>
        </w:tc>
        <w:tc>
          <w:tcPr>
            <w:tcW w:w="847" w:type="pct"/>
            <w:vMerge/>
            <w:vAlign w:val="center"/>
          </w:tcPr>
          <w:p w:rsidR="00296C9E" w:rsidRPr="003D1F42" w:rsidRDefault="00296C9E" w:rsidP="00B92C72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52"/>
          <w:jc w:val="center"/>
        </w:trPr>
        <w:tc>
          <w:tcPr>
            <w:tcW w:w="63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lastRenderedPageBreak/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39" w:left="-94" w:rightChars="-44" w:right="-106" w:firstLineChars="7" w:firstLine="17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新營福園殯葬專區孝思堂</w:t>
            </w: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 w:val="restart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亡者設籍新營區四個月以上之區民，申請使用本專區骨灰(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)存放施者，使用火化場火化處理費免收。</w:t>
            </w:r>
          </w:p>
        </w:tc>
      </w:tr>
      <w:tr w:rsidR="0004156E" w:rsidRPr="003214CF" w:rsidTr="00296C9E">
        <w:trPr>
          <w:trHeight w:val="219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4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21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雙人骨灰櫃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七萬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一、四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49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神主牌位</w:t>
            </w:r>
          </w:p>
        </w:tc>
        <w:tc>
          <w:tcPr>
            <w:tcW w:w="1647" w:type="pct"/>
            <w:gridSpan w:val="2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一萬二千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52"/>
          <w:jc w:val="center"/>
        </w:trPr>
        <w:tc>
          <w:tcPr>
            <w:tcW w:w="63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新營福園殯葬專區永生堂</w:t>
            </w: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 w:val="restart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亡者設籍新營區四個月以上之區民，申請使用本專區骨灰(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)存放施者，使用火化場火化處理費免收。</w:t>
            </w:r>
          </w:p>
        </w:tc>
      </w:tr>
      <w:tr w:rsidR="0004156E" w:rsidRPr="003214CF" w:rsidTr="00296C9E">
        <w:trPr>
          <w:trHeight w:val="34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4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</w:t>
            </w:r>
          </w:p>
        </w:tc>
        <w:tc>
          <w:tcPr>
            <w:tcW w:w="72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4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4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4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90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雙人骨灰櫃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90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90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七萬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一、四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8"/>
          <w:jc w:val="center"/>
        </w:trPr>
        <w:tc>
          <w:tcPr>
            <w:tcW w:w="63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柳營祿園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殯葬專區納骨堂</w:t>
            </w: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一萬三千</w:t>
            </w:r>
          </w:p>
        </w:tc>
        <w:tc>
          <w:tcPr>
            <w:tcW w:w="847" w:type="pct"/>
            <w:vMerge w:val="restart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亡者設籍柳營區及六甲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區龜港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里四個月以上之區(里)民，申請使用本專區骨灰(骸)存放設施者，使用火化場火化處理費免收。</w:t>
            </w: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一萬八千</w:t>
            </w:r>
          </w:p>
        </w:tc>
        <w:tc>
          <w:tcPr>
            <w:tcW w:w="847" w:type="pct"/>
            <w:vMerge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二萬三千</w:t>
            </w:r>
          </w:p>
        </w:tc>
        <w:tc>
          <w:tcPr>
            <w:tcW w:w="847" w:type="pct"/>
            <w:vMerge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8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二萬八千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三萬三千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三萬八千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4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4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7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雙人骨灰櫃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70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69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六萬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7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四、五、六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8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559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49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05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神主牌位</w:t>
            </w:r>
          </w:p>
        </w:tc>
        <w:tc>
          <w:tcPr>
            <w:tcW w:w="1647" w:type="pct"/>
            <w:gridSpan w:val="2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一萬二千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01"/>
          <w:jc w:val="center"/>
        </w:trPr>
        <w:tc>
          <w:tcPr>
            <w:tcW w:w="63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594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鹽水壽園殯葬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專區納骨堂</w:t>
            </w: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一、十、十一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二萬八千</w:t>
            </w:r>
          </w:p>
        </w:tc>
        <w:tc>
          <w:tcPr>
            <w:tcW w:w="847" w:type="pct"/>
            <w:vMerge w:val="restart"/>
          </w:tcPr>
          <w:p w:rsidR="0004156E" w:rsidRPr="00EA0113" w:rsidRDefault="0004156E" w:rsidP="00EA011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A0113">
              <w:rPr>
                <w:rFonts w:ascii="標楷體" w:eastAsia="標楷體" w:hAnsi="標楷體" w:hint="eastAsia"/>
                <w:szCs w:val="24"/>
              </w:rPr>
              <w:t>亡者設籍鹽水區橋南里四個月以上之里民，使用費減收二分之一。</w:t>
            </w:r>
          </w:p>
        </w:tc>
      </w:tr>
      <w:tr w:rsidR="0004156E" w:rsidRPr="003214CF" w:rsidTr="00296C9E">
        <w:trPr>
          <w:trHeight w:val="55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二、三、八、九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三萬三千</w:t>
            </w:r>
          </w:p>
        </w:tc>
        <w:tc>
          <w:tcPr>
            <w:tcW w:w="847" w:type="pct"/>
            <w:vMerge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五、六、七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三萬八千</w:t>
            </w:r>
          </w:p>
        </w:tc>
        <w:tc>
          <w:tcPr>
            <w:tcW w:w="847" w:type="pct"/>
            <w:vMerge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8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二萬三千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二萬八千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7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五、六、七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三萬三千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4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一萬八千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二萬三千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153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五、六、七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二萬八千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7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雙人骨灰櫃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52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8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五、六、七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六萬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7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一、九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二、三、八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4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五、六、七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304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骨骸櫃</w:t>
            </w:r>
          </w:p>
        </w:tc>
        <w:tc>
          <w:tcPr>
            <w:tcW w:w="559" w:type="pct"/>
            <w:vMerge w:val="restar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一、五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6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四萬五千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256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五萬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rPr>
          <w:trHeight w:val="59"/>
          <w:jc w:val="center"/>
        </w:trPr>
        <w:tc>
          <w:tcPr>
            <w:tcW w:w="639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神主牌位</w:t>
            </w:r>
          </w:p>
        </w:tc>
        <w:tc>
          <w:tcPr>
            <w:tcW w:w="1647" w:type="pct"/>
            <w:gridSpan w:val="2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一萬二千</w:t>
            </w:r>
          </w:p>
        </w:tc>
        <w:tc>
          <w:tcPr>
            <w:tcW w:w="847" w:type="pct"/>
            <w:vMerge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0113" w:rsidRPr="003214CF" w:rsidTr="00296C9E">
        <w:trPr>
          <w:trHeight w:val="270"/>
          <w:jc w:val="center"/>
        </w:trPr>
        <w:tc>
          <w:tcPr>
            <w:tcW w:w="1782" w:type="pct"/>
            <w:gridSpan w:val="3"/>
            <w:vMerge w:val="restart"/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骨灰(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換櫃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未入櫃</w:t>
            </w:r>
            <w:proofErr w:type="gramEnd"/>
          </w:p>
        </w:tc>
        <w:tc>
          <w:tcPr>
            <w:tcW w:w="724" w:type="pct"/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三千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0113" w:rsidRPr="003214CF" w:rsidTr="00296C9E">
        <w:trPr>
          <w:trHeight w:val="117"/>
          <w:jc w:val="center"/>
        </w:trPr>
        <w:tc>
          <w:tcPr>
            <w:tcW w:w="178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ind w:leftChars="-42" w:left="19" w:rightChars="-44" w:right="-106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已入櫃</w:t>
            </w:r>
            <w:proofErr w:type="gramEnd"/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五千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113" w:rsidRPr="003D1F42" w:rsidRDefault="00EA0113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1782" w:type="pct"/>
            <w:gridSpan w:val="3"/>
            <w:vMerge w:val="restart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神主</w:t>
            </w: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牌換位費</w:t>
            </w:r>
            <w:proofErr w:type="gramEnd"/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未入位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D1F4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3D1F42"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156E" w:rsidRPr="003214CF" w:rsidTr="00296C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"/>
          <w:jc w:val="center"/>
        </w:trPr>
        <w:tc>
          <w:tcPr>
            <w:tcW w:w="1782" w:type="pct"/>
            <w:gridSpan w:val="3"/>
            <w:vMerge/>
            <w:shd w:val="clear" w:color="auto" w:fill="auto"/>
            <w:vAlign w:val="center"/>
          </w:tcPr>
          <w:p w:rsidR="0004156E" w:rsidRPr="00E85F13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已入位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三千</w:t>
            </w: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04156E" w:rsidRPr="00E85F13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156E" w:rsidRPr="003214CF" w:rsidTr="00296C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9"/>
          <w:jc w:val="center"/>
        </w:trPr>
        <w:tc>
          <w:tcPr>
            <w:tcW w:w="1782" w:type="pct"/>
            <w:gridSpan w:val="3"/>
            <w:shd w:val="clear" w:color="auto" w:fill="auto"/>
            <w:vAlign w:val="center"/>
          </w:tcPr>
          <w:p w:rsidR="0004156E" w:rsidRPr="003D1F42" w:rsidRDefault="0004156E" w:rsidP="0004156E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許可證明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04156E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ind w:left="240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F271D">
              <w:rPr>
                <w:rFonts w:ascii="標楷體" w:eastAsia="標楷體" w:hAnsi="標楷體" w:hint="eastAsia"/>
                <w:szCs w:val="24"/>
              </w:rPr>
              <w:t>許可證明包含骨灰(骸)、神主牌位進(退)塔及換櫃位等。</w:t>
            </w:r>
          </w:p>
          <w:p w:rsidR="0004156E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ind w:left="240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F271D">
              <w:rPr>
                <w:rFonts w:ascii="標楷體" w:eastAsia="標楷體" w:hAnsi="標楷體" w:hint="eastAsia"/>
                <w:szCs w:val="24"/>
              </w:rPr>
              <w:t>骨灰(</w:t>
            </w:r>
            <w:proofErr w:type="gramStart"/>
            <w:r w:rsidRPr="007F271D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7F271D">
              <w:rPr>
                <w:rFonts w:ascii="標楷體" w:eastAsia="標楷體" w:hAnsi="標楷體" w:hint="eastAsia"/>
                <w:szCs w:val="24"/>
              </w:rPr>
              <w:t>)櫃位、神主牌位使用費及換櫃</w:t>
            </w:r>
            <w:proofErr w:type="gramStart"/>
            <w:r w:rsidRPr="007F271D">
              <w:rPr>
                <w:rFonts w:ascii="標楷體" w:eastAsia="標楷體" w:hAnsi="標楷體" w:hint="eastAsia"/>
                <w:szCs w:val="24"/>
              </w:rPr>
              <w:t>位費均</w:t>
            </w:r>
            <w:proofErr w:type="gramEnd"/>
            <w:r w:rsidRPr="007F271D">
              <w:rPr>
                <w:rFonts w:ascii="標楷體" w:eastAsia="標楷體" w:hAnsi="標楷體" w:hint="eastAsia"/>
                <w:szCs w:val="24"/>
              </w:rPr>
              <w:t>含許可證明。</w:t>
            </w:r>
          </w:p>
          <w:p w:rsidR="0004156E" w:rsidRPr="003D1F42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ind w:left="240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3D1F42">
              <w:rPr>
                <w:rFonts w:ascii="標楷體" w:eastAsia="標楷體" w:hAnsi="標楷體" w:hint="eastAsia"/>
                <w:szCs w:val="24"/>
              </w:rPr>
              <w:t>各項許可證明遺失補發，減半收費。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56E" w:rsidRPr="003D1F42" w:rsidRDefault="0004156E" w:rsidP="0004156E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1F42">
              <w:rPr>
                <w:rFonts w:ascii="標楷體" w:eastAsia="標楷體" w:hAnsi="標楷體" w:hint="eastAsia"/>
                <w:szCs w:val="24"/>
              </w:rPr>
              <w:t>一百</w:t>
            </w:r>
          </w:p>
        </w:tc>
        <w:tc>
          <w:tcPr>
            <w:tcW w:w="847" w:type="pct"/>
            <w:vMerge/>
            <w:shd w:val="clear" w:color="auto" w:fill="auto"/>
          </w:tcPr>
          <w:p w:rsidR="0004156E" w:rsidRPr="00E85F13" w:rsidRDefault="0004156E" w:rsidP="0004156E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156E" w:rsidRPr="00EA0113" w:rsidTr="00EA011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4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04156E" w:rsidRPr="006E5CD0" w:rsidRDefault="0004156E" w:rsidP="00EA0113">
            <w:pPr>
              <w:kinsoku w:val="0"/>
              <w:overflowPunct w:val="0"/>
              <w:autoSpaceDE w:val="0"/>
              <w:autoSpaceDN w:val="0"/>
              <w:snapToGrid w:val="0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規範事項</w:t>
            </w:r>
          </w:p>
          <w:p w:rsidR="0004156E" w:rsidRPr="006E5CD0" w:rsidRDefault="0004156E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非本市市民申請使用骨灰(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)存放設施（含神主牌位）者，依照收費標準加收百分之五十。</w:t>
            </w:r>
          </w:p>
          <w:p w:rsidR="0004156E" w:rsidRPr="006E5CD0" w:rsidRDefault="0004156E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神主牌位不得預購，且一律使用管理機關提供之神主牌，其使用、管理比照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南市公立殯葬設施使用管理辦法第二十二條至二十六條規定辦理。</w:t>
            </w:r>
          </w:p>
          <w:p w:rsidR="0004156E" w:rsidRPr="006E5CD0" w:rsidRDefault="0004156E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直轄市、縣（市）政府列冊之低收入戶成員死亡，使用骨灰(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)存放設施存放，管理機關得視該區骨灰(骸)存放設施使用狀況，轉介至鄰近地區骨灰(骸)存放設施存放。</w:t>
            </w:r>
          </w:p>
          <w:p w:rsidR="0004156E" w:rsidRPr="006E5CD0" w:rsidRDefault="0004156E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管理機關得將二個鄰接(垂直上下或水平左右)單人骨灰（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）櫃位提供一次申購並視為雙人骨灰（骸）櫃位。</w:t>
            </w:r>
          </w:p>
          <w:p w:rsidR="0004156E" w:rsidRPr="00EA0113" w:rsidRDefault="0004156E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依管理機關指定位置、場所免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予收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費者，以使用本市公立骨灰骸存放設施現有最低價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單人櫃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位一次為限(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含神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主牌位，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無者除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外</w:t>
            </w:r>
            <w:r w:rsidRPr="006E5CD0">
              <w:rPr>
                <w:rFonts w:ascii="標楷體" w:eastAsia="標楷體" w:hAnsi="標楷體"/>
                <w:szCs w:val="24"/>
              </w:rPr>
              <w:t>)</w:t>
            </w:r>
            <w:r w:rsidRPr="006E5CD0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6E5CD0">
              <w:rPr>
                <w:rFonts w:ascii="標楷體" w:eastAsia="標楷體" w:hAnsi="標楷體" w:hint="eastAsia"/>
                <w:szCs w:val="24"/>
              </w:rPr>
              <w:t>進塔安</w:t>
            </w:r>
            <w:proofErr w:type="gramEnd"/>
            <w:r w:rsidRPr="006E5CD0">
              <w:rPr>
                <w:rFonts w:ascii="標楷體" w:eastAsia="標楷體" w:hAnsi="標楷體" w:hint="eastAsia"/>
                <w:szCs w:val="24"/>
              </w:rPr>
              <w:t>置後不提供免費換櫃位。</w:t>
            </w:r>
          </w:p>
          <w:p w:rsidR="00EA0113" w:rsidRPr="00EA0113" w:rsidRDefault="00EA0113" w:rsidP="00EA0113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snapToGrid w:val="0"/>
              <w:ind w:left="254" w:rightChars="15" w:right="3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6E5CD0"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本標準減免者以使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用一次為限</w:t>
            </w:r>
            <w:r w:rsidRPr="0004156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超過部分不予減免</w:t>
            </w:r>
            <w:r w:rsidRPr="0004156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896AD2" w:rsidRPr="00EA0113" w:rsidRDefault="00896AD2" w:rsidP="00EA0113">
      <w:pPr>
        <w:kinsoku w:val="0"/>
        <w:overflowPunct w:val="0"/>
        <w:autoSpaceDE w:val="0"/>
        <w:autoSpaceDN w:val="0"/>
        <w:snapToGrid w:val="0"/>
        <w:ind w:rightChars="15" w:right="36"/>
        <w:jc w:val="both"/>
        <w:rPr>
          <w:rFonts w:ascii="標楷體" w:eastAsia="標楷體" w:hAnsi="標楷體"/>
          <w:szCs w:val="24"/>
        </w:rPr>
      </w:pPr>
    </w:p>
    <w:sectPr w:rsidR="00896AD2" w:rsidRPr="00EA0113" w:rsidSect="007F271D">
      <w:footerReference w:type="default" r:id="rId8"/>
      <w:pgSz w:w="11906" w:h="16838" w:code="9"/>
      <w:pgMar w:top="709" w:right="567" w:bottom="1134" w:left="851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E8" w:rsidRDefault="00F302E8" w:rsidP="001C2089">
      <w:r>
        <w:separator/>
      </w:r>
    </w:p>
  </w:endnote>
  <w:endnote w:type="continuationSeparator" w:id="0">
    <w:p w:rsidR="00F302E8" w:rsidRDefault="00F302E8" w:rsidP="001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045071"/>
      <w:docPartObj>
        <w:docPartGallery w:val="Page Numbers (Bottom of Page)"/>
        <w:docPartUnique/>
      </w:docPartObj>
    </w:sdtPr>
    <w:sdtEndPr/>
    <w:sdtContent>
      <w:p w:rsidR="004B1ADD" w:rsidRDefault="006E5CD0">
        <w:pPr>
          <w:pStyle w:val="ad"/>
          <w:jc w:val="center"/>
        </w:pPr>
        <w:r>
          <w:rPr>
            <w:rFonts w:hint="eastAsia"/>
          </w:rPr>
          <w:t>第</w:t>
        </w:r>
        <w:r w:rsidR="004B1ADD">
          <w:fldChar w:fldCharType="begin"/>
        </w:r>
        <w:r w:rsidR="004B1ADD">
          <w:instrText>PAGE   \* MERGEFORMAT</w:instrText>
        </w:r>
        <w:r w:rsidR="004B1ADD">
          <w:fldChar w:fldCharType="separate"/>
        </w:r>
        <w:r w:rsidR="004B1ADD" w:rsidRPr="00895A84">
          <w:rPr>
            <w:noProof/>
            <w:lang w:val="zh-TW"/>
          </w:rPr>
          <w:t>17</w:t>
        </w:r>
        <w:r w:rsidR="004B1ADD">
          <w:fldChar w:fldCharType="end"/>
        </w:r>
        <w:r>
          <w:rPr>
            <w:rFonts w:hint="eastAsia"/>
          </w:rPr>
          <w:t>頁共</w:t>
        </w:r>
        <w:r w:rsidR="0002365A">
          <w:t>3</w:t>
        </w:r>
        <w:r>
          <w:rPr>
            <w:rFonts w:hint="eastAsia"/>
          </w:rPr>
          <w:t>頁</w:t>
        </w:r>
      </w:p>
    </w:sdtContent>
  </w:sdt>
  <w:p w:rsidR="004B1ADD" w:rsidRDefault="004B1A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E8" w:rsidRDefault="00F302E8" w:rsidP="001C2089">
      <w:r>
        <w:separator/>
      </w:r>
    </w:p>
  </w:footnote>
  <w:footnote w:type="continuationSeparator" w:id="0">
    <w:p w:rsidR="00F302E8" w:rsidRDefault="00F302E8" w:rsidP="001C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86E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1" w15:restartNumberingAfterBreak="0">
    <w:nsid w:val="02221122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459C8"/>
    <w:multiLevelType w:val="hybridMultilevel"/>
    <w:tmpl w:val="4D2A94AE"/>
    <w:lvl w:ilvl="0" w:tplc="0FB29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221B7"/>
    <w:multiLevelType w:val="hybridMultilevel"/>
    <w:tmpl w:val="5D20010C"/>
    <w:lvl w:ilvl="0" w:tplc="CEAC5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063E1"/>
    <w:multiLevelType w:val="hybridMultilevel"/>
    <w:tmpl w:val="927633B2"/>
    <w:lvl w:ilvl="0" w:tplc="B65EC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B62FD"/>
    <w:multiLevelType w:val="hybridMultilevel"/>
    <w:tmpl w:val="1FDA7A66"/>
    <w:lvl w:ilvl="0" w:tplc="E8DAA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86A83"/>
    <w:multiLevelType w:val="hybridMultilevel"/>
    <w:tmpl w:val="642EAA42"/>
    <w:lvl w:ilvl="0" w:tplc="71C04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15760"/>
    <w:multiLevelType w:val="hybridMultilevel"/>
    <w:tmpl w:val="5956C374"/>
    <w:lvl w:ilvl="0" w:tplc="B40C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147F5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D2459"/>
    <w:multiLevelType w:val="hybridMultilevel"/>
    <w:tmpl w:val="4A1C6EDA"/>
    <w:lvl w:ilvl="0" w:tplc="69428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141AB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11" w15:restartNumberingAfterBreak="0">
    <w:nsid w:val="207B4883"/>
    <w:multiLevelType w:val="hybridMultilevel"/>
    <w:tmpl w:val="02BC3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8BE04D6">
      <w:start w:val="107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4A55ED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22EF1"/>
    <w:multiLevelType w:val="hybridMultilevel"/>
    <w:tmpl w:val="148E1194"/>
    <w:lvl w:ilvl="0" w:tplc="50C29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0F4313"/>
    <w:multiLevelType w:val="hybridMultilevel"/>
    <w:tmpl w:val="0C7091CA"/>
    <w:lvl w:ilvl="0" w:tplc="A90C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611546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16" w15:restartNumberingAfterBreak="0">
    <w:nsid w:val="2A013395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17" w15:restartNumberingAfterBreak="0">
    <w:nsid w:val="2ACC15AF"/>
    <w:multiLevelType w:val="hybridMultilevel"/>
    <w:tmpl w:val="FBC206F0"/>
    <w:lvl w:ilvl="0" w:tplc="F342A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B30500"/>
    <w:multiLevelType w:val="hybridMultilevel"/>
    <w:tmpl w:val="C728034E"/>
    <w:lvl w:ilvl="0" w:tplc="F684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C06864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27484F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9425C3"/>
    <w:multiLevelType w:val="hybridMultilevel"/>
    <w:tmpl w:val="CC2A1822"/>
    <w:lvl w:ilvl="0" w:tplc="E452D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201372"/>
    <w:multiLevelType w:val="hybridMultilevel"/>
    <w:tmpl w:val="FBC20E8A"/>
    <w:lvl w:ilvl="0" w:tplc="6B88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0015F3"/>
    <w:multiLevelType w:val="hybridMultilevel"/>
    <w:tmpl w:val="E3B431BC"/>
    <w:lvl w:ilvl="0" w:tplc="B65EC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904559"/>
    <w:multiLevelType w:val="hybridMultilevel"/>
    <w:tmpl w:val="D780EED4"/>
    <w:lvl w:ilvl="0" w:tplc="1C649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977E7B"/>
    <w:multiLevelType w:val="hybridMultilevel"/>
    <w:tmpl w:val="79E0003E"/>
    <w:lvl w:ilvl="0" w:tplc="03A8A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5E7058"/>
    <w:multiLevelType w:val="hybridMultilevel"/>
    <w:tmpl w:val="51F0DBE4"/>
    <w:lvl w:ilvl="0" w:tplc="23ACC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0C2E11"/>
    <w:multiLevelType w:val="hybridMultilevel"/>
    <w:tmpl w:val="A798E79C"/>
    <w:lvl w:ilvl="0" w:tplc="65D8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6871BD"/>
    <w:multiLevelType w:val="hybridMultilevel"/>
    <w:tmpl w:val="0A827970"/>
    <w:lvl w:ilvl="0" w:tplc="CAD04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3F449A"/>
    <w:multiLevelType w:val="hybridMultilevel"/>
    <w:tmpl w:val="4A68D7CC"/>
    <w:lvl w:ilvl="0" w:tplc="B65EC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FC38CF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31" w15:restartNumberingAfterBreak="0">
    <w:nsid w:val="5CAE5961"/>
    <w:multiLevelType w:val="hybridMultilevel"/>
    <w:tmpl w:val="09B4B6F6"/>
    <w:lvl w:ilvl="0" w:tplc="B0FC3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804D0"/>
    <w:multiLevelType w:val="hybridMultilevel"/>
    <w:tmpl w:val="AC7CBA6E"/>
    <w:lvl w:ilvl="0" w:tplc="5A641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60FE8"/>
    <w:multiLevelType w:val="hybridMultilevel"/>
    <w:tmpl w:val="91AAAD1E"/>
    <w:lvl w:ilvl="0" w:tplc="C26C272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4" w15:restartNumberingAfterBreak="0">
    <w:nsid w:val="66BE5ACF"/>
    <w:multiLevelType w:val="hybridMultilevel"/>
    <w:tmpl w:val="712E54FA"/>
    <w:lvl w:ilvl="0" w:tplc="32EE49D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9" w:hanging="480"/>
      </w:pPr>
    </w:lvl>
    <w:lvl w:ilvl="2" w:tplc="0409001B" w:tentative="1">
      <w:start w:val="1"/>
      <w:numFmt w:val="lowerRoman"/>
      <w:lvlText w:val="%3."/>
      <w:lvlJc w:val="right"/>
      <w:pPr>
        <w:ind w:left="1359" w:hanging="480"/>
      </w:pPr>
    </w:lvl>
    <w:lvl w:ilvl="3" w:tplc="0409000F" w:tentative="1">
      <w:start w:val="1"/>
      <w:numFmt w:val="decimal"/>
      <w:lvlText w:val="%4."/>
      <w:lvlJc w:val="left"/>
      <w:pPr>
        <w:ind w:left="1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9" w:hanging="480"/>
      </w:pPr>
    </w:lvl>
    <w:lvl w:ilvl="5" w:tplc="0409001B" w:tentative="1">
      <w:start w:val="1"/>
      <w:numFmt w:val="lowerRoman"/>
      <w:lvlText w:val="%6."/>
      <w:lvlJc w:val="right"/>
      <w:pPr>
        <w:ind w:left="2799" w:hanging="480"/>
      </w:pPr>
    </w:lvl>
    <w:lvl w:ilvl="6" w:tplc="0409000F" w:tentative="1">
      <w:start w:val="1"/>
      <w:numFmt w:val="decimal"/>
      <w:lvlText w:val="%7."/>
      <w:lvlJc w:val="left"/>
      <w:pPr>
        <w:ind w:left="3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9" w:hanging="480"/>
      </w:pPr>
    </w:lvl>
    <w:lvl w:ilvl="8" w:tplc="0409001B" w:tentative="1">
      <w:start w:val="1"/>
      <w:numFmt w:val="lowerRoman"/>
      <w:lvlText w:val="%9."/>
      <w:lvlJc w:val="right"/>
      <w:pPr>
        <w:ind w:left="4239" w:hanging="480"/>
      </w:pPr>
    </w:lvl>
  </w:abstractNum>
  <w:abstractNum w:abstractNumId="35" w15:restartNumberingAfterBreak="0">
    <w:nsid w:val="70C34871"/>
    <w:multiLevelType w:val="hybridMultilevel"/>
    <w:tmpl w:val="DA8CED5A"/>
    <w:lvl w:ilvl="0" w:tplc="3A9E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010EDA"/>
    <w:multiLevelType w:val="hybridMultilevel"/>
    <w:tmpl w:val="0284F26C"/>
    <w:lvl w:ilvl="0" w:tplc="E770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9473DE"/>
    <w:multiLevelType w:val="hybridMultilevel"/>
    <w:tmpl w:val="37726184"/>
    <w:lvl w:ilvl="0" w:tplc="AFA27D6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D45A64"/>
    <w:multiLevelType w:val="hybridMultilevel"/>
    <w:tmpl w:val="B76ADA50"/>
    <w:lvl w:ilvl="0" w:tplc="23ACC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8"/>
  </w:num>
  <w:num w:numId="3">
    <w:abstractNumId w:val="11"/>
  </w:num>
  <w:num w:numId="4">
    <w:abstractNumId w:val="2"/>
  </w:num>
  <w:num w:numId="5">
    <w:abstractNumId w:val="5"/>
  </w:num>
  <w:num w:numId="6">
    <w:abstractNumId w:val="32"/>
  </w:num>
  <w:num w:numId="7">
    <w:abstractNumId w:val="18"/>
  </w:num>
  <w:num w:numId="8">
    <w:abstractNumId w:val="31"/>
  </w:num>
  <w:num w:numId="9">
    <w:abstractNumId w:val="28"/>
  </w:num>
  <w:num w:numId="10">
    <w:abstractNumId w:val="23"/>
  </w:num>
  <w:num w:numId="11">
    <w:abstractNumId w:val="35"/>
  </w:num>
  <w:num w:numId="12">
    <w:abstractNumId w:val="9"/>
  </w:num>
  <w:num w:numId="13">
    <w:abstractNumId w:val="22"/>
  </w:num>
  <w:num w:numId="14">
    <w:abstractNumId w:val="7"/>
  </w:num>
  <w:num w:numId="15">
    <w:abstractNumId w:val="17"/>
  </w:num>
  <w:num w:numId="16">
    <w:abstractNumId w:val="36"/>
  </w:num>
  <w:num w:numId="17">
    <w:abstractNumId w:val="6"/>
  </w:num>
  <w:num w:numId="18">
    <w:abstractNumId w:val="14"/>
  </w:num>
  <w:num w:numId="19">
    <w:abstractNumId w:val="24"/>
  </w:num>
  <w:num w:numId="20">
    <w:abstractNumId w:val="25"/>
  </w:num>
  <w:num w:numId="21">
    <w:abstractNumId w:val="13"/>
  </w:num>
  <w:num w:numId="22">
    <w:abstractNumId w:val="29"/>
  </w:num>
  <w:num w:numId="23">
    <w:abstractNumId w:val="4"/>
  </w:num>
  <w:num w:numId="24">
    <w:abstractNumId w:val="3"/>
  </w:num>
  <w:num w:numId="25">
    <w:abstractNumId w:val="21"/>
  </w:num>
  <w:num w:numId="26">
    <w:abstractNumId w:val="34"/>
  </w:num>
  <w:num w:numId="27">
    <w:abstractNumId w:val="15"/>
  </w:num>
  <w:num w:numId="28">
    <w:abstractNumId w:val="30"/>
  </w:num>
  <w:num w:numId="29">
    <w:abstractNumId w:val="10"/>
  </w:num>
  <w:num w:numId="30">
    <w:abstractNumId w:val="16"/>
  </w:num>
  <w:num w:numId="31">
    <w:abstractNumId w:val="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</w:num>
  <w:num w:numId="35">
    <w:abstractNumId w:val="12"/>
  </w:num>
  <w:num w:numId="36">
    <w:abstractNumId w:val="19"/>
  </w:num>
  <w:num w:numId="37">
    <w:abstractNumId w:val="20"/>
  </w:num>
  <w:num w:numId="38">
    <w:abstractNumId w:val="37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F5"/>
    <w:rsid w:val="00012EC0"/>
    <w:rsid w:val="0001350E"/>
    <w:rsid w:val="0002365A"/>
    <w:rsid w:val="000256ED"/>
    <w:rsid w:val="0002767C"/>
    <w:rsid w:val="000276E6"/>
    <w:rsid w:val="00032149"/>
    <w:rsid w:val="0004156E"/>
    <w:rsid w:val="000425B3"/>
    <w:rsid w:val="00061C55"/>
    <w:rsid w:val="00062900"/>
    <w:rsid w:val="000769C8"/>
    <w:rsid w:val="000A0268"/>
    <w:rsid w:val="000A6B31"/>
    <w:rsid w:val="000B3B18"/>
    <w:rsid w:val="000C42B3"/>
    <w:rsid w:val="000C76A7"/>
    <w:rsid w:val="000D15F9"/>
    <w:rsid w:val="000F179A"/>
    <w:rsid w:val="000F51A4"/>
    <w:rsid w:val="00107D9F"/>
    <w:rsid w:val="0011207E"/>
    <w:rsid w:val="0013403B"/>
    <w:rsid w:val="00143245"/>
    <w:rsid w:val="00167002"/>
    <w:rsid w:val="001857F6"/>
    <w:rsid w:val="00186FD7"/>
    <w:rsid w:val="001B0D98"/>
    <w:rsid w:val="001C2089"/>
    <w:rsid w:val="001C2BA5"/>
    <w:rsid w:val="001C4034"/>
    <w:rsid w:val="001C5198"/>
    <w:rsid w:val="001D4E6C"/>
    <w:rsid w:val="001E5CF0"/>
    <w:rsid w:val="001F700E"/>
    <w:rsid w:val="00203C44"/>
    <w:rsid w:val="00213F09"/>
    <w:rsid w:val="00254AAF"/>
    <w:rsid w:val="0027759F"/>
    <w:rsid w:val="00284934"/>
    <w:rsid w:val="002953B7"/>
    <w:rsid w:val="00296C9E"/>
    <w:rsid w:val="00296E68"/>
    <w:rsid w:val="002A0C57"/>
    <w:rsid w:val="002D5EA9"/>
    <w:rsid w:val="002D67C4"/>
    <w:rsid w:val="00305958"/>
    <w:rsid w:val="003353F8"/>
    <w:rsid w:val="00344790"/>
    <w:rsid w:val="0034520A"/>
    <w:rsid w:val="00357F62"/>
    <w:rsid w:val="00370D17"/>
    <w:rsid w:val="003B29B8"/>
    <w:rsid w:val="003C06B5"/>
    <w:rsid w:val="003C3822"/>
    <w:rsid w:val="003D1F42"/>
    <w:rsid w:val="003E01AF"/>
    <w:rsid w:val="00410244"/>
    <w:rsid w:val="004119D8"/>
    <w:rsid w:val="00417697"/>
    <w:rsid w:val="00424AAD"/>
    <w:rsid w:val="004356E1"/>
    <w:rsid w:val="00436C77"/>
    <w:rsid w:val="00457827"/>
    <w:rsid w:val="004603D4"/>
    <w:rsid w:val="00464B67"/>
    <w:rsid w:val="00465312"/>
    <w:rsid w:val="004753D8"/>
    <w:rsid w:val="00480241"/>
    <w:rsid w:val="004945AF"/>
    <w:rsid w:val="004A46F6"/>
    <w:rsid w:val="004B1ADD"/>
    <w:rsid w:val="004C04FC"/>
    <w:rsid w:val="004F3449"/>
    <w:rsid w:val="004F46A1"/>
    <w:rsid w:val="004F5C53"/>
    <w:rsid w:val="0051038C"/>
    <w:rsid w:val="005272E0"/>
    <w:rsid w:val="00537E1B"/>
    <w:rsid w:val="00543D57"/>
    <w:rsid w:val="005531A8"/>
    <w:rsid w:val="00563978"/>
    <w:rsid w:val="0057255A"/>
    <w:rsid w:val="00585E83"/>
    <w:rsid w:val="00586F4B"/>
    <w:rsid w:val="00592DA6"/>
    <w:rsid w:val="00595942"/>
    <w:rsid w:val="005C527C"/>
    <w:rsid w:val="005D30C4"/>
    <w:rsid w:val="005D32D6"/>
    <w:rsid w:val="005D753B"/>
    <w:rsid w:val="005F0EED"/>
    <w:rsid w:val="005F1A01"/>
    <w:rsid w:val="006018B5"/>
    <w:rsid w:val="00616F60"/>
    <w:rsid w:val="00623A48"/>
    <w:rsid w:val="0063313E"/>
    <w:rsid w:val="00633EAC"/>
    <w:rsid w:val="00652A7B"/>
    <w:rsid w:val="0065325D"/>
    <w:rsid w:val="0065672F"/>
    <w:rsid w:val="00665924"/>
    <w:rsid w:val="0067024B"/>
    <w:rsid w:val="00683C74"/>
    <w:rsid w:val="006A5303"/>
    <w:rsid w:val="006B6814"/>
    <w:rsid w:val="006C0475"/>
    <w:rsid w:val="006E0AE9"/>
    <w:rsid w:val="006E5CD0"/>
    <w:rsid w:val="006F60B3"/>
    <w:rsid w:val="0070279F"/>
    <w:rsid w:val="00702888"/>
    <w:rsid w:val="00706AC1"/>
    <w:rsid w:val="007157CC"/>
    <w:rsid w:val="007629A7"/>
    <w:rsid w:val="00775715"/>
    <w:rsid w:val="007E0388"/>
    <w:rsid w:val="007E65BD"/>
    <w:rsid w:val="007F271D"/>
    <w:rsid w:val="007F3D98"/>
    <w:rsid w:val="007F4BC6"/>
    <w:rsid w:val="007F56D8"/>
    <w:rsid w:val="00821F78"/>
    <w:rsid w:val="00824C40"/>
    <w:rsid w:val="00835714"/>
    <w:rsid w:val="008727C1"/>
    <w:rsid w:val="008954A6"/>
    <w:rsid w:val="00895A84"/>
    <w:rsid w:val="00896AD2"/>
    <w:rsid w:val="008A02FE"/>
    <w:rsid w:val="008B0944"/>
    <w:rsid w:val="008B7A74"/>
    <w:rsid w:val="008C0235"/>
    <w:rsid w:val="008C1CEE"/>
    <w:rsid w:val="008C2148"/>
    <w:rsid w:val="008C5AAF"/>
    <w:rsid w:val="008E1863"/>
    <w:rsid w:val="008E5802"/>
    <w:rsid w:val="008F0BE4"/>
    <w:rsid w:val="00903C38"/>
    <w:rsid w:val="009339DC"/>
    <w:rsid w:val="00933E94"/>
    <w:rsid w:val="009429A4"/>
    <w:rsid w:val="00944DAD"/>
    <w:rsid w:val="00944FA5"/>
    <w:rsid w:val="0094553B"/>
    <w:rsid w:val="009509A7"/>
    <w:rsid w:val="0095188F"/>
    <w:rsid w:val="0096499D"/>
    <w:rsid w:val="00970438"/>
    <w:rsid w:val="00971AFA"/>
    <w:rsid w:val="009725C4"/>
    <w:rsid w:val="00972622"/>
    <w:rsid w:val="00975F33"/>
    <w:rsid w:val="0098695A"/>
    <w:rsid w:val="00987DAF"/>
    <w:rsid w:val="00996FB5"/>
    <w:rsid w:val="009A7411"/>
    <w:rsid w:val="009B1E75"/>
    <w:rsid w:val="009B61E7"/>
    <w:rsid w:val="009C496F"/>
    <w:rsid w:val="009C5EE2"/>
    <w:rsid w:val="009E3EAD"/>
    <w:rsid w:val="00A12E33"/>
    <w:rsid w:val="00A24A8D"/>
    <w:rsid w:val="00A30878"/>
    <w:rsid w:val="00A31443"/>
    <w:rsid w:val="00A33895"/>
    <w:rsid w:val="00A74141"/>
    <w:rsid w:val="00A82A56"/>
    <w:rsid w:val="00AA5A11"/>
    <w:rsid w:val="00AB38E6"/>
    <w:rsid w:val="00AC4683"/>
    <w:rsid w:val="00AC73F4"/>
    <w:rsid w:val="00AD1860"/>
    <w:rsid w:val="00AE1DCC"/>
    <w:rsid w:val="00AF2BEF"/>
    <w:rsid w:val="00AF590D"/>
    <w:rsid w:val="00AF626B"/>
    <w:rsid w:val="00AF7CD6"/>
    <w:rsid w:val="00B16488"/>
    <w:rsid w:val="00B31B0F"/>
    <w:rsid w:val="00B47113"/>
    <w:rsid w:val="00B6304A"/>
    <w:rsid w:val="00B92C72"/>
    <w:rsid w:val="00BA198C"/>
    <w:rsid w:val="00BA7AF8"/>
    <w:rsid w:val="00BB0994"/>
    <w:rsid w:val="00BB6D3E"/>
    <w:rsid w:val="00BD2404"/>
    <w:rsid w:val="00BD7B7F"/>
    <w:rsid w:val="00BE2150"/>
    <w:rsid w:val="00BE4AFB"/>
    <w:rsid w:val="00BE4CD1"/>
    <w:rsid w:val="00BF2048"/>
    <w:rsid w:val="00C049F6"/>
    <w:rsid w:val="00C50692"/>
    <w:rsid w:val="00C670F7"/>
    <w:rsid w:val="00C751F1"/>
    <w:rsid w:val="00C83208"/>
    <w:rsid w:val="00C8588A"/>
    <w:rsid w:val="00CA1EEC"/>
    <w:rsid w:val="00CA45F5"/>
    <w:rsid w:val="00CB7E5D"/>
    <w:rsid w:val="00CE0AF9"/>
    <w:rsid w:val="00CE2BA7"/>
    <w:rsid w:val="00D04DA2"/>
    <w:rsid w:val="00D20BE8"/>
    <w:rsid w:val="00D24EE2"/>
    <w:rsid w:val="00D4027D"/>
    <w:rsid w:val="00D743DC"/>
    <w:rsid w:val="00D757B5"/>
    <w:rsid w:val="00D84427"/>
    <w:rsid w:val="00D858B1"/>
    <w:rsid w:val="00D87A7A"/>
    <w:rsid w:val="00DA37FE"/>
    <w:rsid w:val="00DB4BDF"/>
    <w:rsid w:val="00DC592D"/>
    <w:rsid w:val="00DD0FC0"/>
    <w:rsid w:val="00DE1825"/>
    <w:rsid w:val="00DE1C82"/>
    <w:rsid w:val="00DF49D9"/>
    <w:rsid w:val="00E47189"/>
    <w:rsid w:val="00E5089D"/>
    <w:rsid w:val="00E552D5"/>
    <w:rsid w:val="00E558B8"/>
    <w:rsid w:val="00E64C50"/>
    <w:rsid w:val="00E65189"/>
    <w:rsid w:val="00E7163A"/>
    <w:rsid w:val="00E84572"/>
    <w:rsid w:val="00E85F13"/>
    <w:rsid w:val="00E865FC"/>
    <w:rsid w:val="00EA0113"/>
    <w:rsid w:val="00EA2AAD"/>
    <w:rsid w:val="00EA383C"/>
    <w:rsid w:val="00EB78AA"/>
    <w:rsid w:val="00EC6E6C"/>
    <w:rsid w:val="00ED58DB"/>
    <w:rsid w:val="00EE228C"/>
    <w:rsid w:val="00EE3A95"/>
    <w:rsid w:val="00EF6642"/>
    <w:rsid w:val="00F077FA"/>
    <w:rsid w:val="00F126C4"/>
    <w:rsid w:val="00F21CDB"/>
    <w:rsid w:val="00F302E8"/>
    <w:rsid w:val="00F42015"/>
    <w:rsid w:val="00F44ECA"/>
    <w:rsid w:val="00F56448"/>
    <w:rsid w:val="00F61F7E"/>
    <w:rsid w:val="00F75EAD"/>
    <w:rsid w:val="00F7709C"/>
    <w:rsid w:val="00F9598D"/>
    <w:rsid w:val="00FC2D29"/>
    <w:rsid w:val="00FC2D59"/>
    <w:rsid w:val="00FC46E0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E76A9"/>
  <w15:docId w15:val="{DC9555AA-7213-43C3-A6C5-FE7973E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8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92C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2C72"/>
  </w:style>
  <w:style w:type="character" w:customStyle="1" w:styleId="a6">
    <w:name w:val="註解文字 字元"/>
    <w:basedOn w:val="a0"/>
    <w:link w:val="a5"/>
    <w:uiPriority w:val="99"/>
    <w:semiHidden/>
    <w:rsid w:val="00B92C7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2C7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92C7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2C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208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2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A06B-49BB-438B-90AA-DF5A459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趙立山</dc:creator>
  <cp:keywords/>
  <dc:description/>
  <cp:lastModifiedBy>陳萱瑜</cp:lastModifiedBy>
  <cp:revision>22</cp:revision>
  <cp:lastPrinted>2019-03-06T09:58:00Z</cp:lastPrinted>
  <dcterms:created xsi:type="dcterms:W3CDTF">2018-10-31T03:55:00Z</dcterms:created>
  <dcterms:modified xsi:type="dcterms:W3CDTF">2019-03-06T10:10:00Z</dcterms:modified>
</cp:coreProperties>
</file>