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B7" w:rsidRPr="00683888" w:rsidRDefault="003F1AB7" w:rsidP="003F1AB7">
      <w:pPr>
        <w:jc w:val="center"/>
        <w:rPr>
          <w:rFonts w:ascii="標楷體" w:eastAsia="標楷體" w:hAnsi="標楷體"/>
          <w:b/>
          <w:sz w:val="36"/>
          <w:szCs w:val="36"/>
        </w:rPr>
      </w:pPr>
      <w:r w:rsidRPr="00D07247">
        <w:rPr>
          <w:rFonts w:ascii="標楷體" w:eastAsia="標楷體" w:hAnsi="標楷體" w:hint="eastAsia"/>
          <w:b/>
          <w:sz w:val="36"/>
          <w:szCs w:val="36"/>
        </w:rPr>
        <w:t>108年國防部陸軍司令部睦鄰經費(彈藥庫)執行計畫明細</w:t>
      </w:r>
    </w:p>
    <w:tbl>
      <w:tblPr>
        <w:tblStyle w:val="a3"/>
        <w:tblW w:w="0" w:type="auto"/>
        <w:jc w:val="center"/>
        <w:tblLayout w:type="fixed"/>
        <w:tblLook w:val="04A0" w:firstRow="1" w:lastRow="0" w:firstColumn="1" w:lastColumn="0" w:noHBand="0" w:noVBand="1"/>
      </w:tblPr>
      <w:tblGrid>
        <w:gridCol w:w="2802"/>
        <w:gridCol w:w="1559"/>
        <w:gridCol w:w="1559"/>
        <w:gridCol w:w="1276"/>
        <w:gridCol w:w="2268"/>
        <w:gridCol w:w="6150"/>
      </w:tblGrid>
      <w:tr w:rsidR="003F1AB7" w:rsidRPr="0057111B" w:rsidTr="003C684A">
        <w:trPr>
          <w:jc w:val="center"/>
        </w:trPr>
        <w:tc>
          <w:tcPr>
            <w:tcW w:w="2802" w:type="dxa"/>
            <w:vAlign w:val="center"/>
          </w:tcPr>
          <w:p w:rsidR="003F1AB7" w:rsidRPr="0057111B" w:rsidRDefault="003F1AB7" w:rsidP="0057111B">
            <w:pPr>
              <w:jc w:val="center"/>
              <w:rPr>
                <w:rFonts w:ascii="標楷體" w:eastAsia="標楷體" w:hAnsi="標楷體"/>
                <w:szCs w:val="24"/>
              </w:rPr>
            </w:pPr>
            <w:r w:rsidRPr="0057111B">
              <w:rPr>
                <w:rFonts w:ascii="標楷體" w:eastAsia="標楷體" w:hAnsi="標楷體" w:hint="eastAsia"/>
                <w:szCs w:val="24"/>
              </w:rPr>
              <w:t>計畫名稱</w:t>
            </w:r>
          </w:p>
        </w:tc>
        <w:tc>
          <w:tcPr>
            <w:tcW w:w="1559" w:type="dxa"/>
            <w:vAlign w:val="center"/>
          </w:tcPr>
          <w:p w:rsidR="003F1AB7" w:rsidRPr="0057111B" w:rsidRDefault="003F1AB7" w:rsidP="0057111B">
            <w:pPr>
              <w:jc w:val="center"/>
              <w:rPr>
                <w:rFonts w:ascii="標楷體" w:eastAsia="標楷體" w:hAnsi="標楷體"/>
                <w:szCs w:val="24"/>
              </w:rPr>
            </w:pPr>
            <w:r w:rsidRPr="0057111B">
              <w:rPr>
                <w:rFonts w:ascii="標楷體" w:eastAsia="標楷體" w:hAnsi="標楷體" w:hint="eastAsia"/>
                <w:szCs w:val="24"/>
              </w:rPr>
              <w:t>預算額度</w:t>
            </w:r>
          </w:p>
        </w:tc>
        <w:tc>
          <w:tcPr>
            <w:tcW w:w="1559" w:type="dxa"/>
            <w:vAlign w:val="center"/>
          </w:tcPr>
          <w:p w:rsidR="003F1AB7" w:rsidRPr="0057111B" w:rsidRDefault="003F1AB7" w:rsidP="0057111B">
            <w:pPr>
              <w:jc w:val="center"/>
              <w:rPr>
                <w:rFonts w:ascii="標楷體" w:eastAsia="標楷體" w:hAnsi="標楷體"/>
                <w:szCs w:val="24"/>
              </w:rPr>
            </w:pPr>
            <w:r w:rsidRPr="0057111B">
              <w:rPr>
                <w:rFonts w:ascii="標楷體" w:eastAsia="標楷體" w:hAnsi="標楷體" w:hint="eastAsia"/>
                <w:szCs w:val="24"/>
              </w:rPr>
              <w:t>執行金額</w:t>
            </w:r>
          </w:p>
        </w:tc>
        <w:tc>
          <w:tcPr>
            <w:tcW w:w="1276" w:type="dxa"/>
            <w:vAlign w:val="center"/>
          </w:tcPr>
          <w:p w:rsidR="003F1AB7" w:rsidRPr="0057111B" w:rsidRDefault="003F1AB7" w:rsidP="0057111B">
            <w:pPr>
              <w:jc w:val="center"/>
              <w:rPr>
                <w:rFonts w:ascii="標楷體" w:eastAsia="標楷體" w:hAnsi="標楷體"/>
                <w:szCs w:val="24"/>
              </w:rPr>
            </w:pPr>
            <w:r w:rsidRPr="0057111B">
              <w:rPr>
                <w:rFonts w:ascii="標楷體" w:eastAsia="標楷體" w:hAnsi="標楷體" w:hint="eastAsia"/>
                <w:szCs w:val="24"/>
              </w:rPr>
              <w:t>剩餘金額</w:t>
            </w:r>
          </w:p>
        </w:tc>
        <w:tc>
          <w:tcPr>
            <w:tcW w:w="2268" w:type="dxa"/>
            <w:vAlign w:val="center"/>
          </w:tcPr>
          <w:p w:rsidR="003F1AB7" w:rsidRPr="0057111B" w:rsidRDefault="003F1AB7" w:rsidP="0057111B">
            <w:pPr>
              <w:jc w:val="center"/>
              <w:rPr>
                <w:rFonts w:ascii="標楷體" w:eastAsia="標楷體" w:hAnsi="標楷體"/>
                <w:szCs w:val="24"/>
              </w:rPr>
            </w:pPr>
            <w:r w:rsidRPr="0057111B">
              <w:rPr>
                <w:rFonts w:ascii="標楷體" w:eastAsia="標楷體" w:hAnsi="標楷體" w:hint="eastAsia"/>
                <w:szCs w:val="24"/>
              </w:rPr>
              <w:t>執行日期</w:t>
            </w:r>
          </w:p>
        </w:tc>
        <w:tc>
          <w:tcPr>
            <w:tcW w:w="6150" w:type="dxa"/>
            <w:vAlign w:val="center"/>
          </w:tcPr>
          <w:p w:rsidR="003F1AB7" w:rsidRPr="0057111B" w:rsidRDefault="003F1AB7" w:rsidP="0057111B">
            <w:pPr>
              <w:jc w:val="center"/>
              <w:rPr>
                <w:rFonts w:ascii="標楷體" w:eastAsia="標楷體" w:hAnsi="標楷體"/>
                <w:szCs w:val="24"/>
              </w:rPr>
            </w:pPr>
            <w:r w:rsidRPr="0057111B">
              <w:rPr>
                <w:rFonts w:ascii="標楷體" w:eastAsia="標楷體" w:hAnsi="標楷體" w:hint="eastAsia"/>
                <w:szCs w:val="24"/>
              </w:rPr>
              <w:t>執行項目概述</w:t>
            </w:r>
          </w:p>
        </w:tc>
      </w:tr>
      <w:tr w:rsidR="0061572C" w:rsidRPr="0057111B" w:rsidTr="003C684A">
        <w:trPr>
          <w:jc w:val="center"/>
        </w:trPr>
        <w:tc>
          <w:tcPr>
            <w:tcW w:w="2802" w:type="dxa"/>
            <w:vAlign w:val="center"/>
          </w:tcPr>
          <w:p w:rsidR="0061572C" w:rsidRPr="0057111B" w:rsidRDefault="0061572C" w:rsidP="0057111B">
            <w:pPr>
              <w:jc w:val="center"/>
              <w:rPr>
                <w:rFonts w:ascii="標楷體" w:eastAsia="標楷體" w:hAnsi="標楷體"/>
                <w:szCs w:val="24"/>
              </w:rPr>
            </w:pPr>
            <w:r w:rsidRPr="0057111B">
              <w:rPr>
                <w:rFonts w:ascii="標楷體" w:eastAsia="標楷體" w:hAnsi="標楷體" w:hint="eastAsia"/>
                <w:szCs w:val="24"/>
              </w:rPr>
              <w:t>產業道路及部落道路改善工程</w:t>
            </w:r>
          </w:p>
        </w:tc>
        <w:tc>
          <w:tcPr>
            <w:tcW w:w="1559" w:type="dxa"/>
            <w:vAlign w:val="center"/>
          </w:tcPr>
          <w:p w:rsidR="0061572C" w:rsidRPr="0057111B" w:rsidRDefault="0061572C" w:rsidP="0057111B">
            <w:pPr>
              <w:jc w:val="center"/>
              <w:rPr>
                <w:rFonts w:ascii="標楷體" w:eastAsia="標楷體" w:hAnsi="標楷體"/>
                <w:szCs w:val="24"/>
              </w:rPr>
            </w:pPr>
            <w:r w:rsidRPr="0057111B">
              <w:rPr>
                <w:rFonts w:ascii="標楷體" w:eastAsia="標楷體" w:hAnsi="標楷體" w:hint="eastAsia"/>
                <w:szCs w:val="24"/>
              </w:rPr>
              <w:t>7,038,000</w:t>
            </w:r>
          </w:p>
        </w:tc>
        <w:tc>
          <w:tcPr>
            <w:tcW w:w="1559" w:type="dxa"/>
            <w:vAlign w:val="center"/>
          </w:tcPr>
          <w:p w:rsidR="0061572C" w:rsidRPr="0057111B" w:rsidRDefault="0061572C" w:rsidP="0057111B">
            <w:pPr>
              <w:jc w:val="center"/>
              <w:rPr>
                <w:rFonts w:ascii="標楷體" w:eastAsia="標楷體" w:hAnsi="標楷體" w:cs="Times New Roman"/>
                <w:szCs w:val="24"/>
              </w:rPr>
            </w:pPr>
            <w:r w:rsidRPr="0057111B">
              <w:rPr>
                <w:rFonts w:ascii="標楷體" w:eastAsia="標楷體" w:hAnsi="標楷體" w:hint="eastAsia"/>
                <w:szCs w:val="24"/>
              </w:rPr>
              <w:t>7,038,000</w:t>
            </w:r>
          </w:p>
        </w:tc>
        <w:tc>
          <w:tcPr>
            <w:tcW w:w="1276" w:type="dxa"/>
            <w:vAlign w:val="center"/>
          </w:tcPr>
          <w:p w:rsidR="0061572C" w:rsidRPr="0057111B" w:rsidRDefault="0057111B" w:rsidP="0057111B">
            <w:pPr>
              <w:jc w:val="center"/>
              <w:rPr>
                <w:rFonts w:ascii="標楷體" w:eastAsia="標楷體" w:hAnsi="標楷體" w:cs="Times New Roman"/>
                <w:szCs w:val="24"/>
                <w:highlight w:val="yellow"/>
              </w:rPr>
            </w:pPr>
            <w:r w:rsidRPr="0057111B">
              <w:rPr>
                <w:rFonts w:ascii="標楷體" w:eastAsia="標楷體" w:hAnsi="標楷體" w:cs="Times New Roman" w:hint="eastAsia"/>
                <w:szCs w:val="24"/>
              </w:rPr>
              <w:t>0</w:t>
            </w:r>
          </w:p>
        </w:tc>
        <w:tc>
          <w:tcPr>
            <w:tcW w:w="2268" w:type="dxa"/>
            <w:vAlign w:val="center"/>
          </w:tcPr>
          <w:p w:rsidR="0061572C" w:rsidRPr="0057111B" w:rsidRDefault="0061572C" w:rsidP="0057111B">
            <w:pPr>
              <w:jc w:val="center"/>
              <w:rPr>
                <w:rFonts w:ascii="標楷體" w:eastAsia="標楷體" w:hAnsi="標楷體"/>
                <w:szCs w:val="24"/>
              </w:rPr>
            </w:pPr>
            <w:r w:rsidRPr="0057111B">
              <w:rPr>
                <w:rFonts w:ascii="標楷體" w:eastAsia="標楷體" w:hAnsi="標楷體" w:hint="eastAsia"/>
                <w:szCs w:val="24"/>
              </w:rPr>
              <w:t>108.3.1-108.9.30</w:t>
            </w:r>
          </w:p>
        </w:tc>
        <w:tc>
          <w:tcPr>
            <w:tcW w:w="6150" w:type="dxa"/>
            <w:vAlign w:val="center"/>
          </w:tcPr>
          <w:p w:rsidR="0061572C" w:rsidRPr="0057111B" w:rsidRDefault="0061572C" w:rsidP="0057111B">
            <w:pPr>
              <w:jc w:val="center"/>
              <w:rPr>
                <w:rFonts w:ascii="標楷體" w:eastAsia="標楷體" w:hAnsi="標楷體"/>
                <w:szCs w:val="24"/>
              </w:rPr>
            </w:pPr>
            <w:r w:rsidRPr="0057111B">
              <w:rPr>
                <w:rFonts w:ascii="標楷體" w:eastAsia="標楷體" w:hAnsi="標楷體" w:hint="eastAsia"/>
                <w:szCs w:val="24"/>
              </w:rPr>
              <w:t>辦理道路、農路及部落道路改善</w:t>
            </w:r>
          </w:p>
          <w:p w:rsidR="0061572C" w:rsidRPr="0057111B" w:rsidRDefault="0061572C" w:rsidP="0057111B">
            <w:pPr>
              <w:jc w:val="center"/>
              <w:rPr>
                <w:rFonts w:ascii="標楷體" w:eastAsia="標楷體" w:hAnsi="標楷體"/>
                <w:szCs w:val="24"/>
              </w:rPr>
            </w:pPr>
            <w:r w:rsidRPr="0057111B">
              <w:rPr>
                <w:rFonts w:ascii="標楷體" w:eastAsia="標楷體" w:hAnsi="標楷體" w:hint="eastAsia"/>
                <w:szCs w:val="24"/>
              </w:rPr>
              <w:t>青山里：226m、高原里：842m、東原里：865、</w:t>
            </w:r>
          </w:p>
          <w:p w:rsidR="0061572C" w:rsidRPr="0057111B" w:rsidRDefault="0061572C" w:rsidP="0057111B">
            <w:pPr>
              <w:jc w:val="center"/>
              <w:rPr>
                <w:rFonts w:ascii="標楷體" w:eastAsia="標楷體" w:hAnsi="標楷體"/>
                <w:szCs w:val="24"/>
              </w:rPr>
            </w:pPr>
            <w:r w:rsidRPr="0057111B">
              <w:rPr>
                <w:rFonts w:ascii="標楷體" w:eastAsia="標楷體" w:hAnsi="標楷體" w:hint="eastAsia"/>
                <w:szCs w:val="24"/>
              </w:rPr>
              <w:t>南勢里：432、科里里：273m、</w:t>
            </w:r>
            <w:proofErr w:type="gramStart"/>
            <w:r w:rsidRPr="0057111B">
              <w:rPr>
                <w:rFonts w:ascii="標楷體" w:eastAsia="標楷體" w:hAnsi="標楷體" w:hint="eastAsia"/>
                <w:szCs w:val="24"/>
              </w:rPr>
              <w:t>大客里</w:t>
            </w:r>
            <w:proofErr w:type="gramEnd"/>
            <w:r w:rsidRPr="0057111B">
              <w:rPr>
                <w:rFonts w:ascii="標楷體" w:eastAsia="標楷體" w:hAnsi="標楷體" w:hint="eastAsia"/>
                <w:szCs w:val="24"/>
              </w:rPr>
              <w:t>：4</w:t>
            </w:r>
            <w:r w:rsidRPr="0057111B">
              <w:rPr>
                <w:rFonts w:ascii="標楷體" w:eastAsia="標楷體" w:hAnsi="標楷體" w:cs="Arial" w:hint="eastAsia"/>
                <w:color w:val="000000" w:themeColor="text1"/>
                <w:kern w:val="24"/>
                <w:szCs w:val="24"/>
              </w:rPr>
              <w:t>92m</w:t>
            </w:r>
            <w:r w:rsidRPr="0057111B">
              <w:rPr>
                <w:rFonts w:ascii="標楷體" w:eastAsia="標楷體" w:hAnsi="標楷體" w:hint="eastAsia"/>
                <w:szCs w:val="24"/>
              </w:rPr>
              <w:t>、</w:t>
            </w:r>
          </w:p>
          <w:p w:rsidR="0061572C" w:rsidRPr="0057111B" w:rsidRDefault="0061572C" w:rsidP="0057111B">
            <w:pPr>
              <w:jc w:val="center"/>
              <w:rPr>
                <w:rFonts w:ascii="標楷體" w:eastAsia="標楷體" w:hAnsi="標楷體"/>
                <w:szCs w:val="24"/>
                <w:highlight w:val="yellow"/>
              </w:rPr>
            </w:pPr>
            <w:proofErr w:type="gramStart"/>
            <w:r w:rsidRPr="0057111B">
              <w:rPr>
                <w:rFonts w:ascii="標楷體" w:eastAsia="標楷體" w:hAnsi="標楷體" w:hint="eastAsia"/>
                <w:szCs w:val="24"/>
              </w:rPr>
              <w:t>東中里</w:t>
            </w:r>
            <w:proofErr w:type="gramEnd"/>
            <w:r w:rsidRPr="0057111B">
              <w:rPr>
                <w:rFonts w:ascii="標楷體" w:eastAsia="標楷體" w:hAnsi="標楷體" w:hint="eastAsia"/>
                <w:szCs w:val="24"/>
              </w:rPr>
              <w:t>：172m、</w:t>
            </w:r>
            <w:proofErr w:type="gramStart"/>
            <w:r w:rsidRPr="0057111B">
              <w:rPr>
                <w:rFonts w:ascii="標楷體" w:eastAsia="標楷體" w:hAnsi="標楷體" w:hint="eastAsia"/>
                <w:szCs w:val="24"/>
              </w:rPr>
              <w:t>東正里</w:t>
            </w:r>
            <w:proofErr w:type="gramEnd"/>
            <w:r w:rsidRPr="0057111B">
              <w:rPr>
                <w:rFonts w:ascii="標楷體" w:eastAsia="標楷體" w:hAnsi="標楷體" w:hint="eastAsia"/>
                <w:szCs w:val="24"/>
              </w:rPr>
              <w:t>：36.5m、聖賢里：913m</w:t>
            </w:r>
          </w:p>
        </w:tc>
      </w:tr>
      <w:tr w:rsidR="0057111B" w:rsidRPr="0057111B" w:rsidTr="003C684A">
        <w:trPr>
          <w:jc w:val="center"/>
        </w:trPr>
        <w:tc>
          <w:tcPr>
            <w:tcW w:w="2802"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里辦公室及活動中心修繕暨設備增設</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555,000</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555,000</w:t>
            </w:r>
          </w:p>
        </w:tc>
        <w:tc>
          <w:tcPr>
            <w:tcW w:w="1276"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0</w:t>
            </w:r>
          </w:p>
        </w:tc>
        <w:tc>
          <w:tcPr>
            <w:tcW w:w="2268"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108.3.1-108.4.30</w:t>
            </w:r>
          </w:p>
        </w:tc>
        <w:tc>
          <w:tcPr>
            <w:tcW w:w="6150" w:type="dxa"/>
            <w:vAlign w:val="center"/>
          </w:tcPr>
          <w:p w:rsidR="0057111B" w:rsidRPr="0057111B" w:rsidRDefault="0057111B" w:rsidP="0057111B">
            <w:pPr>
              <w:jc w:val="center"/>
              <w:rPr>
                <w:rFonts w:ascii="標楷體" w:eastAsia="標楷體" w:hAnsi="標楷體"/>
                <w:szCs w:val="24"/>
                <w:highlight w:val="yellow"/>
              </w:rPr>
            </w:pPr>
            <w:r w:rsidRPr="0057111B">
              <w:rPr>
                <w:rFonts w:ascii="標楷體" w:eastAsia="標楷體" w:hAnsi="標楷體" w:hint="eastAsia"/>
                <w:szCs w:val="24"/>
              </w:rPr>
              <w:t>南溪里辦公處冷氣裝設、水雲里辦公處冷氣裝設、田尾社區活動中心冷氣裝設、青山社區活動中心冷氣裝設、青山社區活動中心電視機裝設、東山區多功能活動中心LED字幕機設置計畫、嶺南社區活動中心</w:t>
            </w:r>
            <w:proofErr w:type="gramStart"/>
            <w:r w:rsidRPr="0057111B">
              <w:rPr>
                <w:rFonts w:ascii="標楷體" w:eastAsia="標楷體" w:hAnsi="標楷體" w:hint="eastAsia"/>
                <w:szCs w:val="24"/>
              </w:rPr>
              <w:t>門口遮雨棚增</w:t>
            </w:r>
            <w:proofErr w:type="gramEnd"/>
            <w:r w:rsidRPr="0057111B">
              <w:rPr>
                <w:rFonts w:ascii="標楷體" w:eastAsia="標楷體" w:hAnsi="標楷體" w:hint="eastAsia"/>
                <w:szCs w:val="24"/>
              </w:rPr>
              <w:t>設</w:t>
            </w:r>
          </w:p>
        </w:tc>
      </w:tr>
      <w:tr w:rsidR="0057111B" w:rsidRPr="0057111B" w:rsidTr="003C684A">
        <w:trPr>
          <w:jc w:val="center"/>
        </w:trPr>
        <w:tc>
          <w:tcPr>
            <w:tcW w:w="2802"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運動公園設備增設</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98,000</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98,000</w:t>
            </w:r>
          </w:p>
        </w:tc>
        <w:tc>
          <w:tcPr>
            <w:tcW w:w="1276"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0</w:t>
            </w:r>
          </w:p>
        </w:tc>
        <w:tc>
          <w:tcPr>
            <w:tcW w:w="2268"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108.3.1-108.4.30</w:t>
            </w:r>
          </w:p>
        </w:tc>
        <w:tc>
          <w:tcPr>
            <w:tcW w:w="6150"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東山運動公園健康器材設置</w:t>
            </w:r>
          </w:p>
        </w:tc>
      </w:tr>
      <w:tr w:rsidR="0057111B" w:rsidRPr="0057111B" w:rsidTr="003C684A">
        <w:trPr>
          <w:jc w:val="center"/>
        </w:trPr>
        <w:tc>
          <w:tcPr>
            <w:tcW w:w="2802"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環境綠美化計畫</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119,000</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119,000</w:t>
            </w:r>
          </w:p>
        </w:tc>
        <w:tc>
          <w:tcPr>
            <w:tcW w:w="1276"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0</w:t>
            </w:r>
          </w:p>
        </w:tc>
        <w:tc>
          <w:tcPr>
            <w:tcW w:w="2268"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108.3.1-108.4.30</w:t>
            </w:r>
          </w:p>
        </w:tc>
        <w:tc>
          <w:tcPr>
            <w:tcW w:w="6150"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增加運動公園的綠色植物，將有利於提升空氣的氧氣</w:t>
            </w:r>
          </w:p>
          <w:p w:rsidR="0057111B" w:rsidRPr="0057111B" w:rsidRDefault="0057111B" w:rsidP="0057111B">
            <w:pPr>
              <w:jc w:val="center"/>
              <w:rPr>
                <w:rFonts w:ascii="標楷體" w:eastAsia="標楷體" w:hAnsi="標楷體"/>
                <w:szCs w:val="24"/>
                <w:highlight w:val="yellow"/>
              </w:rPr>
            </w:pPr>
            <w:r w:rsidRPr="0057111B">
              <w:rPr>
                <w:rFonts w:ascii="標楷體" w:eastAsia="標楷體" w:hAnsi="標楷體" w:hint="eastAsia"/>
                <w:szCs w:val="24"/>
              </w:rPr>
              <w:t>量、減少空氣污染、降低過敏原，調節周遭環境的空氣濕度，</w:t>
            </w:r>
            <w:proofErr w:type="gramStart"/>
            <w:r w:rsidRPr="0057111B">
              <w:rPr>
                <w:rFonts w:ascii="標楷體" w:eastAsia="標楷體" w:hAnsi="標楷體" w:hint="eastAsia"/>
                <w:szCs w:val="24"/>
              </w:rPr>
              <w:t>俾</w:t>
            </w:r>
            <w:proofErr w:type="gramEnd"/>
            <w:r>
              <w:rPr>
                <w:rFonts w:ascii="標楷體" w:eastAsia="標楷體" w:hAnsi="標楷體" w:hint="eastAsia"/>
                <w:szCs w:val="24"/>
              </w:rPr>
              <w:t>利民眾得以於較舒適的環境下運動，將更能提升運動公園的綠美化程度</w:t>
            </w:r>
          </w:p>
        </w:tc>
      </w:tr>
      <w:tr w:rsidR="0057111B" w:rsidRPr="0057111B" w:rsidTr="003C684A">
        <w:trPr>
          <w:jc w:val="center"/>
        </w:trPr>
        <w:tc>
          <w:tcPr>
            <w:tcW w:w="2802"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21單位環境清掃活動</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630,000</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630,000</w:t>
            </w:r>
          </w:p>
        </w:tc>
        <w:tc>
          <w:tcPr>
            <w:tcW w:w="1276"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0</w:t>
            </w:r>
          </w:p>
        </w:tc>
        <w:tc>
          <w:tcPr>
            <w:tcW w:w="2268"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108.3.1-108.9.30</w:t>
            </w:r>
          </w:p>
        </w:tc>
        <w:tc>
          <w:tcPr>
            <w:tcW w:w="6150"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各里、社區及團體辦理環境清掃活動，</w:t>
            </w:r>
          </w:p>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共21單位每單位補助各3萬元</w:t>
            </w:r>
          </w:p>
        </w:tc>
      </w:tr>
      <w:tr w:rsidR="00C21DBA" w:rsidRPr="0057111B" w:rsidTr="003C684A">
        <w:trPr>
          <w:jc w:val="center"/>
        </w:trPr>
        <w:tc>
          <w:tcPr>
            <w:tcW w:w="2802" w:type="dxa"/>
            <w:vAlign w:val="center"/>
          </w:tcPr>
          <w:p w:rsidR="00C21DBA" w:rsidRPr="0057111B" w:rsidRDefault="00C21DBA" w:rsidP="0057111B">
            <w:pPr>
              <w:jc w:val="center"/>
              <w:rPr>
                <w:rFonts w:ascii="標楷體" w:eastAsia="標楷體" w:hAnsi="標楷體"/>
                <w:szCs w:val="24"/>
              </w:rPr>
            </w:pPr>
            <w:proofErr w:type="gramStart"/>
            <w:r w:rsidRPr="0057111B">
              <w:rPr>
                <w:rFonts w:ascii="標楷體" w:eastAsia="標楷體" w:hAnsi="標楷體" w:hint="eastAsia"/>
                <w:szCs w:val="24"/>
              </w:rPr>
              <w:t>臺</w:t>
            </w:r>
            <w:proofErr w:type="gramEnd"/>
            <w:r w:rsidRPr="0057111B">
              <w:rPr>
                <w:rFonts w:ascii="標楷體" w:eastAsia="標楷體" w:hAnsi="標楷體" w:hint="eastAsia"/>
                <w:szCs w:val="24"/>
              </w:rPr>
              <w:t>南市東山區2019年東山區社區聯合運動會</w:t>
            </w:r>
          </w:p>
        </w:tc>
        <w:tc>
          <w:tcPr>
            <w:tcW w:w="1559" w:type="dxa"/>
            <w:vAlign w:val="center"/>
          </w:tcPr>
          <w:p w:rsidR="00C21DBA" w:rsidRPr="0057111B" w:rsidRDefault="00C21DBA" w:rsidP="0057111B">
            <w:pPr>
              <w:jc w:val="center"/>
              <w:rPr>
                <w:rFonts w:ascii="標楷體" w:eastAsia="標楷體" w:hAnsi="標楷體"/>
                <w:szCs w:val="24"/>
              </w:rPr>
            </w:pPr>
            <w:r w:rsidRPr="0057111B">
              <w:rPr>
                <w:rFonts w:ascii="標楷體" w:eastAsia="標楷體" w:hAnsi="標楷體" w:hint="eastAsia"/>
                <w:szCs w:val="24"/>
              </w:rPr>
              <w:t>110,000</w:t>
            </w:r>
          </w:p>
        </w:tc>
        <w:tc>
          <w:tcPr>
            <w:tcW w:w="1559" w:type="dxa"/>
            <w:vAlign w:val="center"/>
          </w:tcPr>
          <w:p w:rsidR="00C21DBA" w:rsidRPr="0057111B" w:rsidRDefault="00C21DBA" w:rsidP="0057111B">
            <w:pPr>
              <w:jc w:val="center"/>
              <w:rPr>
                <w:rFonts w:ascii="標楷體" w:eastAsia="標楷體" w:hAnsi="標楷體"/>
                <w:szCs w:val="24"/>
              </w:rPr>
            </w:pPr>
            <w:r w:rsidRPr="0057111B">
              <w:rPr>
                <w:rFonts w:ascii="標楷體" w:eastAsia="標楷體" w:hAnsi="標楷體" w:hint="eastAsia"/>
                <w:szCs w:val="24"/>
              </w:rPr>
              <w:t>110,000</w:t>
            </w:r>
          </w:p>
        </w:tc>
        <w:tc>
          <w:tcPr>
            <w:tcW w:w="1276" w:type="dxa"/>
            <w:vAlign w:val="center"/>
          </w:tcPr>
          <w:p w:rsidR="00C21DBA" w:rsidRPr="0057111B" w:rsidRDefault="00864F81" w:rsidP="0057111B">
            <w:pPr>
              <w:jc w:val="center"/>
              <w:rPr>
                <w:rFonts w:ascii="標楷體" w:eastAsia="標楷體" w:hAnsi="標楷體"/>
                <w:szCs w:val="24"/>
              </w:rPr>
            </w:pPr>
            <w:r w:rsidRPr="0057111B">
              <w:rPr>
                <w:rFonts w:ascii="標楷體" w:eastAsia="標楷體" w:hAnsi="標楷體" w:hint="eastAsia"/>
                <w:szCs w:val="24"/>
              </w:rPr>
              <w:t>0</w:t>
            </w:r>
          </w:p>
        </w:tc>
        <w:tc>
          <w:tcPr>
            <w:tcW w:w="2268" w:type="dxa"/>
            <w:vAlign w:val="center"/>
          </w:tcPr>
          <w:p w:rsidR="00C21DBA" w:rsidRPr="0057111B" w:rsidRDefault="00C21DBA" w:rsidP="0057111B">
            <w:pPr>
              <w:jc w:val="center"/>
              <w:rPr>
                <w:rFonts w:ascii="標楷體" w:eastAsia="標楷體" w:hAnsi="標楷體"/>
                <w:szCs w:val="24"/>
              </w:rPr>
            </w:pPr>
            <w:r w:rsidRPr="0057111B">
              <w:rPr>
                <w:rFonts w:ascii="標楷體" w:eastAsia="標楷體" w:hAnsi="標楷體" w:hint="eastAsia"/>
                <w:szCs w:val="24"/>
              </w:rPr>
              <w:t>10</w:t>
            </w:r>
            <w:r w:rsidR="00864F81" w:rsidRPr="0057111B">
              <w:rPr>
                <w:rFonts w:ascii="標楷體" w:eastAsia="標楷體" w:hAnsi="標楷體" w:hint="eastAsia"/>
                <w:szCs w:val="24"/>
              </w:rPr>
              <w:t>8</w:t>
            </w:r>
            <w:r w:rsidRPr="0057111B">
              <w:rPr>
                <w:rFonts w:ascii="標楷體" w:eastAsia="標楷體" w:hAnsi="標楷體" w:hint="eastAsia"/>
                <w:szCs w:val="24"/>
              </w:rPr>
              <w:t>.</w:t>
            </w:r>
            <w:r w:rsidR="00864F81" w:rsidRPr="0057111B">
              <w:rPr>
                <w:rFonts w:ascii="標楷體" w:eastAsia="標楷體" w:hAnsi="標楷體" w:hint="eastAsia"/>
                <w:szCs w:val="24"/>
              </w:rPr>
              <w:t>3</w:t>
            </w:r>
            <w:r w:rsidRPr="0057111B">
              <w:rPr>
                <w:rFonts w:ascii="標楷體" w:eastAsia="標楷體" w:hAnsi="標楷體" w:hint="eastAsia"/>
                <w:szCs w:val="24"/>
              </w:rPr>
              <w:t>.1-10</w:t>
            </w:r>
            <w:r w:rsidR="00864F81" w:rsidRPr="0057111B">
              <w:rPr>
                <w:rFonts w:ascii="標楷體" w:eastAsia="標楷體" w:hAnsi="標楷體" w:hint="eastAsia"/>
                <w:szCs w:val="24"/>
              </w:rPr>
              <w:t>8.4</w:t>
            </w:r>
            <w:r w:rsidRPr="0057111B">
              <w:rPr>
                <w:rFonts w:ascii="標楷體" w:eastAsia="標楷體" w:hAnsi="標楷體" w:hint="eastAsia"/>
                <w:szCs w:val="24"/>
              </w:rPr>
              <w:t>.</w:t>
            </w:r>
            <w:r w:rsidR="00864F81" w:rsidRPr="0057111B">
              <w:rPr>
                <w:rFonts w:ascii="標楷體" w:eastAsia="標楷體" w:hAnsi="標楷體" w:hint="eastAsia"/>
                <w:szCs w:val="24"/>
              </w:rPr>
              <w:t>30</w:t>
            </w:r>
          </w:p>
        </w:tc>
        <w:tc>
          <w:tcPr>
            <w:tcW w:w="6150" w:type="dxa"/>
            <w:vAlign w:val="center"/>
          </w:tcPr>
          <w:p w:rsidR="00C21DBA" w:rsidRPr="0057111B" w:rsidRDefault="002733CF" w:rsidP="0057111B">
            <w:pPr>
              <w:spacing w:line="460" w:lineRule="exact"/>
              <w:jc w:val="center"/>
              <w:rPr>
                <w:rFonts w:ascii="標楷體" w:eastAsia="標楷體" w:hAnsi="標楷體"/>
                <w:szCs w:val="24"/>
              </w:rPr>
            </w:pPr>
            <w:r w:rsidRPr="0057111B">
              <w:rPr>
                <w:rFonts w:ascii="標楷體" w:eastAsia="標楷體" w:hAnsi="標楷體" w:hint="eastAsia"/>
                <w:szCs w:val="24"/>
              </w:rPr>
              <w:t>強化學生及地區民眾體育技能與運動習慣，培養身心健康國民，透過活動的規劃設計促進學生體育交流、人際互動，培養學生及地區民眾正向社會關係建立，提昇未來社會生活適應能力</w:t>
            </w:r>
          </w:p>
        </w:tc>
      </w:tr>
      <w:tr w:rsidR="00864F81" w:rsidRPr="0057111B" w:rsidTr="003C684A">
        <w:trPr>
          <w:jc w:val="center"/>
        </w:trPr>
        <w:tc>
          <w:tcPr>
            <w:tcW w:w="2802" w:type="dxa"/>
            <w:vAlign w:val="center"/>
          </w:tcPr>
          <w:p w:rsidR="00864F81" w:rsidRPr="0057111B" w:rsidRDefault="00864F81" w:rsidP="0057111B">
            <w:pPr>
              <w:jc w:val="center"/>
              <w:rPr>
                <w:rFonts w:ascii="標楷體" w:eastAsia="標楷體" w:hAnsi="標楷體"/>
                <w:szCs w:val="24"/>
              </w:rPr>
            </w:pPr>
            <w:proofErr w:type="gramStart"/>
            <w:r w:rsidRPr="0057111B">
              <w:rPr>
                <w:rFonts w:ascii="標楷體" w:eastAsia="標楷體" w:hAnsi="標楷體" w:hint="eastAsia"/>
                <w:szCs w:val="24"/>
              </w:rPr>
              <w:t>臺</w:t>
            </w:r>
            <w:proofErr w:type="gramEnd"/>
            <w:r w:rsidRPr="0057111B">
              <w:rPr>
                <w:rFonts w:ascii="標楷體" w:eastAsia="標楷體" w:hAnsi="標楷體" w:hint="eastAsia"/>
                <w:szCs w:val="24"/>
              </w:rPr>
              <w:t>南市東山區2019年健康滿分健走活動</w:t>
            </w:r>
          </w:p>
        </w:tc>
        <w:tc>
          <w:tcPr>
            <w:tcW w:w="1559" w:type="dxa"/>
            <w:vAlign w:val="center"/>
          </w:tcPr>
          <w:p w:rsidR="00864F81" w:rsidRPr="0057111B" w:rsidRDefault="00864F81" w:rsidP="0057111B">
            <w:pPr>
              <w:jc w:val="center"/>
              <w:rPr>
                <w:rFonts w:ascii="標楷體" w:eastAsia="標楷體" w:hAnsi="標楷體"/>
                <w:szCs w:val="24"/>
              </w:rPr>
            </w:pPr>
            <w:r w:rsidRPr="0057111B">
              <w:rPr>
                <w:rFonts w:ascii="標楷體" w:eastAsia="標楷體" w:hAnsi="標楷體" w:hint="eastAsia"/>
                <w:szCs w:val="24"/>
              </w:rPr>
              <w:t>80,000</w:t>
            </w:r>
          </w:p>
        </w:tc>
        <w:tc>
          <w:tcPr>
            <w:tcW w:w="1559" w:type="dxa"/>
            <w:vAlign w:val="center"/>
          </w:tcPr>
          <w:p w:rsidR="00864F81" w:rsidRPr="0057111B" w:rsidRDefault="00864F81" w:rsidP="0057111B">
            <w:pPr>
              <w:jc w:val="center"/>
              <w:rPr>
                <w:rFonts w:ascii="標楷體" w:eastAsia="標楷體" w:hAnsi="標楷體"/>
                <w:szCs w:val="24"/>
              </w:rPr>
            </w:pPr>
            <w:r w:rsidRPr="0057111B">
              <w:rPr>
                <w:rFonts w:ascii="標楷體" w:eastAsia="標楷體" w:hAnsi="標楷體" w:hint="eastAsia"/>
                <w:szCs w:val="24"/>
              </w:rPr>
              <w:t>80,000</w:t>
            </w:r>
          </w:p>
        </w:tc>
        <w:tc>
          <w:tcPr>
            <w:tcW w:w="1276" w:type="dxa"/>
            <w:vAlign w:val="center"/>
          </w:tcPr>
          <w:p w:rsidR="00864F81" w:rsidRPr="0057111B" w:rsidRDefault="00864F81" w:rsidP="0057111B">
            <w:pPr>
              <w:jc w:val="center"/>
              <w:rPr>
                <w:rFonts w:ascii="標楷體" w:eastAsia="標楷體" w:hAnsi="標楷體"/>
                <w:szCs w:val="24"/>
              </w:rPr>
            </w:pPr>
            <w:r w:rsidRPr="0057111B">
              <w:rPr>
                <w:rFonts w:ascii="標楷體" w:eastAsia="標楷體" w:hAnsi="標楷體" w:hint="eastAsia"/>
                <w:szCs w:val="24"/>
              </w:rPr>
              <w:t>0</w:t>
            </w:r>
          </w:p>
        </w:tc>
        <w:tc>
          <w:tcPr>
            <w:tcW w:w="2268" w:type="dxa"/>
            <w:vAlign w:val="center"/>
          </w:tcPr>
          <w:p w:rsidR="00864F81" w:rsidRPr="0057111B" w:rsidRDefault="00864F81" w:rsidP="0057111B">
            <w:pPr>
              <w:jc w:val="center"/>
              <w:rPr>
                <w:rFonts w:ascii="標楷體" w:eastAsia="標楷體" w:hAnsi="標楷體"/>
                <w:szCs w:val="24"/>
              </w:rPr>
            </w:pPr>
            <w:r w:rsidRPr="0057111B">
              <w:rPr>
                <w:rFonts w:ascii="標楷體" w:eastAsia="標楷體" w:hAnsi="標楷體" w:hint="eastAsia"/>
                <w:szCs w:val="24"/>
              </w:rPr>
              <w:t>108.3.1-108.4.30</w:t>
            </w:r>
          </w:p>
        </w:tc>
        <w:tc>
          <w:tcPr>
            <w:tcW w:w="6150" w:type="dxa"/>
            <w:vAlign w:val="center"/>
          </w:tcPr>
          <w:p w:rsidR="00864F81" w:rsidRPr="0057111B" w:rsidRDefault="00864F81" w:rsidP="0057111B">
            <w:pPr>
              <w:jc w:val="center"/>
              <w:rPr>
                <w:rFonts w:ascii="標楷體" w:eastAsia="標楷體" w:hAnsi="標楷體"/>
                <w:szCs w:val="24"/>
              </w:rPr>
            </w:pPr>
            <w:r w:rsidRPr="0057111B">
              <w:rPr>
                <w:rFonts w:ascii="標楷體" w:eastAsia="標楷體" w:hAnsi="標楷體" w:hint="eastAsia"/>
                <w:szCs w:val="24"/>
              </w:rPr>
              <w:t>藉由健行強健身心健行活動的舉辦，鼓勵民眾攜老扶幼一同參與，此時將可提升家強健體魄庭功能，亦可讓民眾認識東山區生態環境，親近大自然</w:t>
            </w:r>
          </w:p>
        </w:tc>
      </w:tr>
      <w:tr w:rsidR="0057111B" w:rsidRPr="0057111B" w:rsidTr="003C684A">
        <w:trPr>
          <w:jc w:val="center"/>
        </w:trPr>
        <w:tc>
          <w:tcPr>
            <w:tcW w:w="2802" w:type="dxa"/>
            <w:vAlign w:val="center"/>
          </w:tcPr>
          <w:p w:rsidR="0057111B" w:rsidRPr="0057111B" w:rsidRDefault="0057111B" w:rsidP="0057111B">
            <w:pPr>
              <w:jc w:val="center"/>
              <w:rPr>
                <w:rFonts w:ascii="標楷體" w:eastAsia="標楷體" w:hAnsi="標楷體"/>
                <w:szCs w:val="24"/>
              </w:rPr>
            </w:pPr>
            <w:proofErr w:type="gramStart"/>
            <w:r w:rsidRPr="0057111B">
              <w:rPr>
                <w:rFonts w:ascii="標楷體" w:eastAsia="標楷體" w:hAnsi="標楷體" w:hint="eastAsia"/>
                <w:szCs w:val="24"/>
              </w:rPr>
              <w:t>臺</w:t>
            </w:r>
            <w:proofErr w:type="gramEnd"/>
            <w:r w:rsidRPr="0057111B">
              <w:rPr>
                <w:rFonts w:ascii="標楷體" w:eastAsia="標楷體" w:hAnsi="標楷體" w:hint="eastAsia"/>
                <w:szCs w:val="24"/>
              </w:rPr>
              <w:t>南市東山區2019年環境保育</w:t>
            </w:r>
            <w:proofErr w:type="gramStart"/>
            <w:r w:rsidRPr="0057111B">
              <w:rPr>
                <w:rFonts w:ascii="標楷體" w:eastAsia="標楷體" w:hAnsi="標楷體" w:hint="eastAsia"/>
                <w:szCs w:val="24"/>
              </w:rPr>
              <w:t>踩街暨表演</w:t>
            </w:r>
            <w:proofErr w:type="gramEnd"/>
            <w:r w:rsidRPr="0057111B">
              <w:rPr>
                <w:rFonts w:ascii="標楷體" w:eastAsia="標楷體" w:hAnsi="標楷體" w:hint="eastAsia"/>
                <w:szCs w:val="24"/>
              </w:rPr>
              <w:t>活動</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510,000</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505,061</w:t>
            </w:r>
          </w:p>
        </w:tc>
        <w:tc>
          <w:tcPr>
            <w:tcW w:w="1276"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4,939</w:t>
            </w:r>
          </w:p>
        </w:tc>
        <w:tc>
          <w:tcPr>
            <w:tcW w:w="2268"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108.10.1-108.10.31</w:t>
            </w:r>
          </w:p>
        </w:tc>
        <w:tc>
          <w:tcPr>
            <w:tcW w:w="6150"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為有效表達將環境保育及永續發展理念落實於日常生活中，廣</w:t>
            </w:r>
            <w:proofErr w:type="gramStart"/>
            <w:r w:rsidRPr="0057111B">
              <w:rPr>
                <w:rFonts w:ascii="標楷體" w:eastAsia="標楷體" w:hAnsi="標楷體" w:hint="eastAsia"/>
                <w:szCs w:val="24"/>
              </w:rPr>
              <w:t>邀本區轄</w:t>
            </w:r>
            <w:proofErr w:type="gramEnd"/>
            <w:r w:rsidRPr="0057111B">
              <w:rPr>
                <w:rFonts w:ascii="標楷體" w:eastAsia="標楷體" w:hAnsi="標楷體" w:hint="eastAsia"/>
                <w:szCs w:val="24"/>
              </w:rPr>
              <w:t>內</w:t>
            </w:r>
            <w:proofErr w:type="gramStart"/>
            <w:r w:rsidRPr="0057111B">
              <w:rPr>
                <w:rFonts w:ascii="標楷體" w:eastAsia="標楷體" w:hAnsi="標楷體" w:hint="eastAsia"/>
                <w:szCs w:val="24"/>
              </w:rPr>
              <w:t>各里辦</w:t>
            </w:r>
            <w:proofErr w:type="gramEnd"/>
            <w:r w:rsidRPr="0057111B">
              <w:rPr>
                <w:rFonts w:ascii="標楷體" w:eastAsia="標楷體" w:hAnsi="標楷體" w:hint="eastAsia"/>
                <w:szCs w:val="24"/>
              </w:rPr>
              <w:t>、社區、學校及機關單位團體一</w:t>
            </w:r>
            <w:r w:rsidRPr="0057111B">
              <w:rPr>
                <w:rFonts w:ascii="標楷體" w:eastAsia="標楷體" w:hAnsi="標楷體" w:hint="eastAsia"/>
                <w:szCs w:val="24"/>
              </w:rPr>
              <w:lastRenderedPageBreak/>
              <w:t>同踩街，希望民眾將回收物資再製加工成為環保回收衣物，</w:t>
            </w:r>
            <w:proofErr w:type="gramStart"/>
            <w:r w:rsidRPr="0057111B">
              <w:rPr>
                <w:rFonts w:ascii="標楷體" w:eastAsia="標楷體" w:hAnsi="標楷體" w:hint="eastAsia"/>
                <w:szCs w:val="24"/>
              </w:rPr>
              <w:t>藉由踩街</w:t>
            </w:r>
            <w:proofErr w:type="gramEnd"/>
            <w:r w:rsidRPr="0057111B">
              <w:rPr>
                <w:rFonts w:ascii="標楷體" w:eastAsia="標楷體" w:hAnsi="標楷體" w:hint="eastAsia"/>
                <w:szCs w:val="24"/>
              </w:rPr>
              <w:t>活動的同時展現其創意，更希望藉此讓彼此交流、促進彼此的互動</w:t>
            </w:r>
          </w:p>
        </w:tc>
      </w:tr>
      <w:tr w:rsidR="0057111B" w:rsidRPr="0057111B" w:rsidTr="003C684A">
        <w:trPr>
          <w:jc w:val="center"/>
        </w:trPr>
        <w:tc>
          <w:tcPr>
            <w:tcW w:w="2802" w:type="dxa"/>
            <w:vAlign w:val="center"/>
          </w:tcPr>
          <w:p w:rsidR="0057111B" w:rsidRPr="0057111B" w:rsidRDefault="0057111B" w:rsidP="0057111B">
            <w:pPr>
              <w:jc w:val="center"/>
              <w:rPr>
                <w:rFonts w:ascii="標楷體" w:eastAsia="標楷體" w:hAnsi="標楷體"/>
                <w:szCs w:val="24"/>
              </w:rPr>
            </w:pPr>
            <w:proofErr w:type="gramStart"/>
            <w:r w:rsidRPr="0057111B">
              <w:rPr>
                <w:rFonts w:ascii="標楷體" w:eastAsia="標楷體" w:hAnsi="標楷體" w:hint="eastAsia"/>
                <w:szCs w:val="24"/>
              </w:rPr>
              <w:lastRenderedPageBreak/>
              <w:t>臺</w:t>
            </w:r>
            <w:proofErr w:type="gramEnd"/>
            <w:r w:rsidRPr="0057111B">
              <w:rPr>
                <w:rFonts w:ascii="標楷體" w:eastAsia="標楷體" w:hAnsi="標楷體" w:hint="eastAsia"/>
                <w:szCs w:val="24"/>
              </w:rPr>
              <w:t>南市東山區2019年促進身心健康運動競賽活動</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100,000</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100,000</w:t>
            </w:r>
          </w:p>
        </w:tc>
        <w:tc>
          <w:tcPr>
            <w:tcW w:w="1276"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0</w:t>
            </w:r>
          </w:p>
        </w:tc>
        <w:tc>
          <w:tcPr>
            <w:tcW w:w="2268"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108.10.1-108.10.31</w:t>
            </w:r>
          </w:p>
        </w:tc>
        <w:tc>
          <w:tcPr>
            <w:tcW w:w="6150"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各參加單位在籃球競賽之中增進隊友之間感情與合作默契，隊伍相互之間的同場競技有助與單位榮譽心的培養。籃球鬥牛賽對於提升東山運動風氣與社會青少年的情感交流也能達到一定的影響。在突出的名</w:t>
            </w:r>
            <w:r>
              <w:rPr>
                <w:rFonts w:ascii="標楷體" w:eastAsia="標楷體" w:hAnsi="標楷體" w:hint="eastAsia"/>
                <w:szCs w:val="24"/>
              </w:rPr>
              <w:t>次下也有邀請市內強隊來東山共襄盛舉，以達觀光及學術交流目的</w:t>
            </w:r>
          </w:p>
        </w:tc>
      </w:tr>
      <w:tr w:rsidR="0057111B" w:rsidRPr="0057111B" w:rsidTr="003C684A">
        <w:trPr>
          <w:jc w:val="center"/>
        </w:trPr>
        <w:tc>
          <w:tcPr>
            <w:tcW w:w="2802"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環保低碳預防登革熱政令宣導</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350,000</w:t>
            </w:r>
          </w:p>
        </w:tc>
        <w:tc>
          <w:tcPr>
            <w:tcW w:w="1559" w:type="dxa"/>
            <w:vAlign w:val="center"/>
          </w:tcPr>
          <w:p w:rsidR="0057111B" w:rsidRPr="0057111B" w:rsidRDefault="00593F48" w:rsidP="00593F48">
            <w:pPr>
              <w:jc w:val="center"/>
              <w:rPr>
                <w:rFonts w:ascii="標楷體" w:eastAsia="標楷體" w:hAnsi="標楷體"/>
                <w:szCs w:val="24"/>
              </w:rPr>
            </w:pPr>
            <w:r>
              <w:rPr>
                <w:rFonts w:ascii="標楷體" w:eastAsia="標楷體" w:hAnsi="標楷體" w:hint="eastAsia"/>
                <w:szCs w:val="24"/>
              </w:rPr>
              <w:t>348</w:t>
            </w:r>
            <w:r w:rsidR="0057111B" w:rsidRPr="0057111B">
              <w:rPr>
                <w:rFonts w:ascii="標楷體" w:eastAsia="標楷體" w:hAnsi="標楷體" w:hint="eastAsia"/>
                <w:szCs w:val="24"/>
              </w:rPr>
              <w:t>,</w:t>
            </w:r>
            <w:r>
              <w:rPr>
                <w:rFonts w:ascii="標楷體" w:eastAsia="標楷體" w:hAnsi="標楷體" w:hint="eastAsia"/>
                <w:szCs w:val="24"/>
              </w:rPr>
              <w:t>539</w:t>
            </w:r>
            <w:bookmarkStart w:id="0" w:name="_GoBack"/>
            <w:bookmarkEnd w:id="0"/>
          </w:p>
        </w:tc>
        <w:tc>
          <w:tcPr>
            <w:tcW w:w="1276"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1,461</w:t>
            </w:r>
          </w:p>
        </w:tc>
        <w:tc>
          <w:tcPr>
            <w:tcW w:w="2268"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108.3.1-108.10.31</w:t>
            </w:r>
          </w:p>
        </w:tc>
        <w:tc>
          <w:tcPr>
            <w:tcW w:w="6150"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於</w:t>
            </w:r>
            <w:proofErr w:type="gramStart"/>
            <w:r w:rsidRPr="0057111B">
              <w:rPr>
                <w:rFonts w:ascii="標楷體" w:eastAsia="標楷體" w:hAnsi="標楷體" w:hint="eastAsia"/>
                <w:szCs w:val="24"/>
              </w:rPr>
              <w:t>東山區轄內</w:t>
            </w:r>
            <w:proofErr w:type="gramEnd"/>
            <w:r w:rsidRPr="0057111B">
              <w:rPr>
                <w:rFonts w:ascii="標楷體" w:eastAsia="標楷體" w:hAnsi="標楷體" w:hint="eastAsia"/>
                <w:szCs w:val="24"/>
              </w:rPr>
              <w:t>舉辦20場次，提供參加民眾餐點、礦泉水及宣導品等</w:t>
            </w:r>
          </w:p>
        </w:tc>
      </w:tr>
      <w:tr w:rsidR="0057111B" w:rsidRPr="0057111B" w:rsidTr="003C684A">
        <w:trPr>
          <w:jc w:val="center"/>
        </w:trPr>
        <w:tc>
          <w:tcPr>
            <w:tcW w:w="2802" w:type="dxa"/>
            <w:vAlign w:val="center"/>
          </w:tcPr>
          <w:p w:rsidR="0057111B" w:rsidRPr="0057111B" w:rsidRDefault="0057111B" w:rsidP="0057111B">
            <w:pPr>
              <w:jc w:val="center"/>
              <w:rPr>
                <w:rFonts w:ascii="標楷體" w:eastAsia="標楷體" w:hAnsi="標楷體"/>
                <w:szCs w:val="24"/>
              </w:rPr>
            </w:pPr>
            <w:proofErr w:type="gramStart"/>
            <w:r w:rsidRPr="0057111B">
              <w:rPr>
                <w:rFonts w:ascii="標楷體" w:eastAsia="標楷體" w:hAnsi="標楷體" w:hint="eastAsia"/>
                <w:szCs w:val="24"/>
              </w:rPr>
              <w:t>108</w:t>
            </w:r>
            <w:proofErr w:type="gramEnd"/>
            <w:r w:rsidRPr="0057111B">
              <w:rPr>
                <w:rFonts w:ascii="標楷體" w:eastAsia="標楷體" w:hAnsi="標楷體" w:hint="eastAsia"/>
                <w:szCs w:val="24"/>
              </w:rPr>
              <w:t>年度</w:t>
            </w:r>
            <w:proofErr w:type="gramStart"/>
            <w:r w:rsidRPr="0057111B">
              <w:rPr>
                <w:rFonts w:ascii="標楷體" w:eastAsia="標楷體" w:hAnsi="標楷體" w:hint="eastAsia"/>
                <w:szCs w:val="24"/>
              </w:rPr>
              <w:t>臺</w:t>
            </w:r>
            <w:proofErr w:type="gramEnd"/>
            <w:r w:rsidRPr="0057111B">
              <w:rPr>
                <w:rFonts w:ascii="標楷體" w:eastAsia="標楷體" w:hAnsi="標楷體" w:hint="eastAsia"/>
                <w:szCs w:val="24"/>
              </w:rPr>
              <w:t>南市東山區老人健康照顧促進活動</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410,000</w:t>
            </w:r>
          </w:p>
        </w:tc>
        <w:tc>
          <w:tcPr>
            <w:tcW w:w="1559"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410,000</w:t>
            </w:r>
          </w:p>
        </w:tc>
        <w:tc>
          <w:tcPr>
            <w:tcW w:w="1276"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0</w:t>
            </w:r>
          </w:p>
        </w:tc>
        <w:tc>
          <w:tcPr>
            <w:tcW w:w="2268"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108.3.1-108.10.31</w:t>
            </w:r>
          </w:p>
        </w:tc>
        <w:tc>
          <w:tcPr>
            <w:tcW w:w="6150" w:type="dxa"/>
            <w:vAlign w:val="center"/>
          </w:tcPr>
          <w:p w:rsidR="0057111B" w:rsidRPr="0057111B" w:rsidRDefault="0057111B" w:rsidP="0057111B">
            <w:pPr>
              <w:jc w:val="center"/>
              <w:rPr>
                <w:rFonts w:ascii="標楷體" w:eastAsia="標楷體" w:hAnsi="標楷體"/>
                <w:szCs w:val="24"/>
              </w:rPr>
            </w:pPr>
            <w:r w:rsidRPr="0057111B">
              <w:rPr>
                <w:rFonts w:ascii="標楷體" w:eastAsia="標楷體" w:hAnsi="標楷體" w:hint="eastAsia"/>
                <w:szCs w:val="24"/>
              </w:rPr>
              <w:t>基於預防性健康照顧的理念，維護長者健康，透過健康講習促進飲食達到公益性質之在地社區照顧</w:t>
            </w:r>
          </w:p>
        </w:tc>
      </w:tr>
    </w:tbl>
    <w:p w:rsidR="003F1AB7" w:rsidRDefault="003F1AB7" w:rsidP="003F1AB7"/>
    <w:p w:rsidR="003F1AB7" w:rsidRDefault="003F1AB7" w:rsidP="003F1AB7">
      <w:pPr>
        <w:widowControl/>
      </w:pPr>
    </w:p>
    <w:sectPr w:rsidR="003F1AB7" w:rsidSect="0036690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74" w:rsidRDefault="00437174" w:rsidP="00D07247">
      <w:r>
        <w:separator/>
      </w:r>
    </w:p>
  </w:endnote>
  <w:endnote w:type="continuationSeparator" w:id="0">
    <w:p w:rsidR="00437174" w:rsidRDefault="00437174" w:rsidP="00D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74" w:rsidRDefault="00437174" w:rsidP="00D07247">
      <w:r>
        <w:separator/>
      </w:r>
    </w:p>
  </w:footnote>
  <w:footnote w:type="continuationSeparator" w:id="0">
    <w:p w:rsidR="00437174" w:rsidRDefault="00437174" w:rsidP="00D07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1C"/>
    <w:rsid w:val="00180D1E"/>
    <w:rsid w:val="002733CF"/>
    <w:rsid w:val="00380982"/>
    <w:rsid w:val="003C684A"/>
    <w:rsid w:val="003F1AB7"/>
    <w:rsid w:val="00437174"/>
    <w:rsid w:val="00534C72"/>
    <w:rsid w:val="0057111B"/>
    <w:rsid w:val="00593F48"/>
    <w:rsid w:val="0061572C"/>
    <w:rsid w:val="0070581C"/>
    <w:rsid w:val="007B6656"/>
    <w:rsid w:val="007D1172"/>
    <w:rsid w:val="008106D6"/>
    <w:rsid w:val="00864F81"/>
    <w:rsid w:val="00A11548"/>
    <w:rsid w:val="00B55279"/>
    <w:rsid w:val="00C21DBA"/>
    <w:rsid w:val="00D07247"/>
    <w:rsid w:val="00F37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247"/>
    <w:pPr>
      <w:tabs>
        <w:tab w:val="center" w:pos="4153"/>
        <w:tab w:val="right" w:pos="8306"/>
      </w:tabs>
      <w:snapToGrid w:val="0"/>
    </w:pPr>
    <w:rPr>
      <w:sz w:val="20"/>
      <w:szCs w:val="20"/>
    </w:rPr>
  </w:style>
  <w:style w:type="character" w:customStyle="1" w:styleId="a5">
    <w:name w:val="頁首 字元"/>
    <w:basedOn w:val="a0"/>
    <w:link w:val="a4"/>
    <w:uiPriority w:val="99"/>
    <w:rsid w:val="00D07247"/>
    <w:rPr>
      <w:sz w:val="20"/>
      <w:szCs w:val="20"/>
    </w:rPr>
  </w:style>
  <w:style w:type="paragraph" w:styleId="a6">
    <w:name w:val="footer"/>
    <w:basedOn w:val="a"/>
    <w:link w:val="a7"/>
    <w:uiPriority w:val="99"/>
    <w:unhideWhenUsed/>
    <w:rsid w:val="00D07247"/>
    <w:pPr>
      <w:tabs>
        <w:tab w:val="center" w:pos="4153"/>
        <w:tab w:val="right" w:pos="8306"/>
      </w:tabs>
      <w:snapToGrid w:val="0"/>
    </w:pPr>
    <w:rPr>
      <w:sz w:val="20"/>
      <w:szCs w:val="20"/>
    </w:rPr>
  </w:style>
  <w:style w:type="character" w:customStyle="1" w:styleId="a7">
    <w:name w:val="頁尾 字元"/>
    <w:basedOn w:val="a0"/>
    <w:link w:val="a6"/>
    <w:uiPriority w:val="99"/>
    <w:rsid w:val="00D0724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A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247"/>
    <w:pPr>
      <w:tabs>
        <w:tab w:val="center" w:pos="4153"/>
        <w:tab w:val="right" w:pos="8306"/>
      </w:tabs>
      <w:snapToGrid w:val="0"/>
    </w:pPr>
    <w:rPr>
      <w:sz w:val="20"/>
      <w:szCs w:val="20"/>
    </w:rPr>
  </w:style>
  <w:style w:type="character" w:customStyle="1" w:styleId="a5">
    <w:name w:val="頁首 字元"/>
    <w:basedOn w:val="a0"/>
    <w:link w:val="a4"/>
    <w:uiPriority w:val="99"/>
    <w:rsid w:val="00D07247"/>
    <w:rPr>
      <w:sz w:val="20"/>
      <w:szCs w:val="20"/>
    </w:rPr>
  </w:style>
  <w:style w:type="paragraph" w:styleId="a6">
    <w:name w:val="footer"/>
    <w:basedOn w:val="a"/>
    <w:link w:val="a7"/>
    <w:uiPriority w:val="99"/>
    <w:unhideWhenUsed/>
    <w:rsid w:val="00D07247"/>
    <w:pPr>
      <w:tabs>
        <w:tab w:val="center" w:pos="4153"/>
        <w:tab w:val="right" w:pos="8306"/>
      </w:tabs>
      <w:snapToGrid w:val="0"/>
    </w:pPr>
    <w:rPr>
      <w:sz w:val="20"/>
      <w:szCs w:val="20"/>
    </w:rPr>
  </w:style>
  <w:style w:type="character" w:customStyle="1" w:styleId="a7">
    <w:name w:val="頁尾 字元"/>
    <w:basedOn w:val="a0"/>
    <w:link w:val="a6"/>
    <w:uiPriority w:val="99"/>
    <w:rsid w:val="00D072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214</Words>
  <Characters>1220</Characters>
  <Application>Microsoft Office Word</Application>
  <DocSecurity>0</DocSecurity>
  <Lines>10</Lines>
  <Paragraphs>2</Paragraphs>
  <ScaleCrop>false</ScaleCrop>
  <Company>Hewlett-Packard Company</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HP008</dc:creator>
  <cp:lastModifiedBy>HP008</cp:lastModifiedBy>
  <cp:revision>15</cp:revision>
  <dcterms:created xsi:type="dcterms:W3CDTF">2020-04-07T08:54:00Z</dcterms:created>
  <dcterms:modified xsi:type="dcterms:W3CDTF">2020-04-08T06:29:00Z</dcterms:modified>
</cp:coreProperties>
</file>