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4B" w:rsidRDefault="001D165F">
      <w:pPr>
        <w:snapToGrid w:val="0"/>
        <w:jc w:val="both"/>
      </w:pPr>
      <w:r>
        <w:rPr>
          <w:rFonts w:eastAsia="標楷體"/>
          <w:color w:val="000000"/>
          <w:sz w:val="40"/>
          <w:szCs w:val="40"/>
        </w:rPr>
        <w:t>公職人員財產申報資料審核及查閱辦法第十三條修正條文</w:t>
      </w:r>
    </w:p>
    <w:p w:rsidR="0046734B" w:rsidRDefault="001D16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619" w:hanging="1619"/>
        <w:jc w:val="both"/>
      </w:pPr>
      <w:r>
        <w:rPr>
          <w:rFonts w:eastAsia="標楷體"/>
          <w:kern w:val="0"/>
          <w:sz w:val="32"/>
          <w:szCs w:val="32"/>
        </w:rPr>
        <w:t>第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十三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條</w:t>
      </w:r>
      <w:r>
        <w:rPr>
          <w:rFonts w:eastAsia="標楷體"/>
          <w:kern w:val="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查閱申報人申報之財產資料者，應填具申請書向受理申報機關（構）申請，受理申報機關（構）非有正當理由，不得拒絕。</w:t>
      </w:r>
    </w:p>
    <w:p w:rsidR="0046734B" w:rsidRDefault="001D16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619" w:hanging="1619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</w:t>
      </w:r>
      <w:r>
        <w:rPr>
          <w:rFonts w:eastAsia="標楷體"/>
          <w:color w:val="000000"/>
          <w:sz w:val="32"/>
          <w:szCs w:val="32"/>
        </w:rPr>
        <w:t>前項申請查閱之人，以已成年之中華民國國民為限。</w:t>
      </w:r>
    </w:p>
    <w:p w:rsidR="0046734B" w:rsidRDefault="001D16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left="1619" w:hanging="1619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             </w:t>
      </w:r>
      <w:r>
        <w:rPr>
          <w:rFonts w:eastAsia="標楷體"/>
          <w:color w:val="000000"/>
          <w:sz w:val="32"/>
          <w:szCs w:val="32"/>
        </w:rPr>
        <w:t>第一項之申請書應記載下列事項，經申請人簽名具結後，交受理申報機關（構）保存：</w:t>
      </w:r>
    </w:p>
    <w:p w:rsidR="0046734B" w:rsidRDefault="001D165F">
      <w:pPr>
        <w:numPr>
          <w:ilvl w:val="0"/>
          <w:numId w:val="1"/>
        </w:num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申請人之姓名、住所及國民身分證統一編號。</w:t>
      </w:r>
    </w:p>
    <w:p w:rsidR="0046734B" w:rsidRDefault="001D165F">
      <w:pPr>
        <w:numPr>
          <w:ilvl w:val="0"/>
          <w:numId w:val="1"/>
        </w:numPr>
        <w:spacing w:line="5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查閱申報資料之目的。</w:t>
      </w:r>
    </w:p>
    <w:p w:rsidR="0046734B" w:rsidRPr="00537007" w:rsidRDefault="001D165F" w:rsidP="00537007">
      <w:pPr>
        <w:numPr>
          <w:ilvl w:val="0"/>
          <w:numId w:val="1"/>
        </w:numPr>
        <w:spacing w:line="500" w:lineRule="exact"/>
        <w:rPr>
          <w:rFonts w:eastAsia="標楷體"/>
          <w:sz w:val="32"/>
          <w:szCs w:val="32"/>
        </w:rPr>
      </w:pPr>
      <w:bookmarkStart w:id="0" w:name="_GoBack"/>
      <w:bookmarkEnd w:id="0"/>
      <w:r w:rsidRPr="00537007">
        <w:rPr>
          <w:rFonts w:eastAsia="標楷體"/>
          <w:sz w:val="32"/>
          <w:szCs w:val="32"/>
        </w:rPr>
        <w:t>申請人表明對於查閱之資料絕不供為營利、徵信、募款或其他不正當目的之使用。</w:t>
      </w:r>
    </w:p>
    <w:sectPr w:rsidR="0046734B" w:rsidRPr="00537007">
      <w:footerReference w:type="default" r:id="rId7"/>
      <w:pgSz w:w="11906" w:h="16838"/>
      <w:pgMar w:top="1701" w:right="1700" w:bottom="1440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5F" w:rsidRDefault="001D165F">
      <w:r>
        <w:separator/>
      </w:r>
    </w:p>
  </w:endnote>
  <w:endnote w:type="continuationSeparator" w:id="0">
    <w:p w:rsidR="001D165F" w:rsidRDefault="001D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70" w:rsidRDefault="001D16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7770" w:rsidRDefault="001D165F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37007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97770" w:rsidRDefault="001D165F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37007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5F" w:rsidRDefault="001D165F">
      <w:r>
        <w:rPr>
          <w:color w:val="000000"/>
        </w:rPr>
        <w:separator/>
      </w:r>
    </w:p>
  </w:footnote>
  <w:footnote w:type="continuationSeparator" w:id="0">
    <w:p w:rsidR="001D165F" w:rsidRDefault="001D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EE6"/>
    <w:multiLevelType w:val="multilevel"/>
    <w:tmpl w:val="07D28270"/>
    <w:lvl w:ilvl="0">
      <w:start w:val="1"/>
      <w:numFmt w:val="taiwaneseCountingThousand"/>
      <w:lvlText w:val="%1、"/>
      <w:lvlJc w:val="left"/>
      <w:pPr>
        <w:ind w:left="2970" w:hanging="720"/>
      </w:pPr>
    </w:lvl>
    <w:lvl w:ilvl="1">
      <w:start w:val="1"/>
      <w:numFmt w:val="ideographTraditional"/>
      <w:lvlText w:val="%2、"/>
      <w:lvlJc w:val="left"/>
      <w:pPr>
        <w:ind w:left="3210" w:hanging="480"/>
      </w:pPr>
    </w:lvl>
    <w:lvl w:ilvl="2">
      <w:start w:val="1"/>
      <w:numFmt w:val="lowerRoman"/>
      <w:lvlText w:val="%3."/>
      <w:lvlJc w:val="right"/>
      <w:pPr>
        <w:ind w:left="3690" w:hanging="480"/>
      </w:pPr>
    </w:lvl>
    <w:lvl w:ilvl="3">
      <w:start w:val="1"/>
      <w:numFmt w:val="decimal"/>
      <w:lvlText w:val="%4."/>
      <w:lvlJc w:val="left"/>
      <w:pPr>
        <w:ind w:left="4170" w:hanging="480"/>
      </w:pPr>
    </w:lvl>
    <w:lvl w:ilvl="4">
      <w:start w:val="1"/>
      <w:numFmt w:val="ideographTraditional"/>
      <w:lvlText w:val="%5、"/>
      <w:lvlJc w:val="left"/>
      <w:pPr>
        <w:ind w:left="4650" w:hanging="480"/>
      </w:pPr>
    </w:lvl>
    <w:lvl w:ilvl="5">
      <w:start w:val="1"/>
      <w:numFmt w:val="lowerRoman"/>
      <w:lvlText w:val="%6."/>
      <w:lvlJc w:val="right"/>
      <w:pPr>
        <w:ind w:left="5130" w:hanging="480"/>
      </w:pPr>
    </w:lvl>
    <w:lvl w:ilvl="6">
      <w:start w:val="1"/>
      <w:numFmt w:val="decimal"/>
      <w:lvlText w:val="%7."/>
      <w:lvlJc w:val="left"/>
      <w:pPr>
        <w:ind w:left="5610" w:hanging="480"/>
      </w:pPr>
    </w:lvl>
    <w:lvl w:ilvl="7">
      <w:start w:val="1"/>
      <w:numFmt w:val="ideographTraditional"/>
      <w:lvlText w:val="%8、"/>
      <w:lvlJc w:val="left"/>
      <w:pPr>
        <w:ind w:left="6090" w:hanging="480"/>
      </w:pPr>
    </w:lvl>
    <w:lvl w:ilvl="8">
      <w:start w:val="1"/>
      <w:numFmt w:val="lowerRoman"/>
      <w:lvlText w:val="%9."/>
      <w:lvlJc w:val="right"/>
      <w:pPr>
        <w:ind w:left="65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734B"/>
    <w:rsid w:val="001D165F"/>
    <w:rsid w:val="0046734B"/>
    <w:rsid w:val="005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8E7A"/>
  <w15:docId w15:val="{5D4A0E84-DDD9-4218-B108-1A29F022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「地方立法機關組織準則」第二十九條修正條文（核定本）</dc:title>
  <dc:subject/>
  <dc:creator>張文豪</dc:creator>
  <dc:description/>
  <cp:lastModifiedBy>陳淑桂</cp:lastModifiedBy>
  <cp:revision>2</cp:revision>
  <cp:lastPrinted>2014-01-16T08:38:00Z</cp:lastPrinted>
  <dcterms:created xsi:type="dcterms:W3CDTF">2022-10-21T06:22:00Z</dcterms:created>
  <dcterms:modified xsi:type="dcterms:W3CDTF">2022-10-21T06:22:00Z</dcterms:modified>
</cp:coreProperties>
</file>