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B2" w:rsidRDefault="003930B2" w:rsidP="003930B2">
      <w:pPr>
        <w:autoSpaceDE w:val="0"/>
        <w:autoSpaceDN w:val="0"/>
        <w:adjustRightInd w:val="0"/>
        <w:jc w:val="center"/>
        <w:rPr>
          <w:rFonts w:ascii="MS Gothic" w:eastAsia="MS Gothic" w:hAnsi="MS Gothic" w:cs="華康行楷體W5(P)"/>
          <w:b/>
          <w:color w:val="800000"/>
          <w:sz w:val="90"/>
          <w:szCs w:val="90"/>
        </w:rPr>
      </w:pPr>
      <w:r w:rsidRPr="003930B2">
        <w:rPr>
          <w:rFonts w:ascii="MS Gothic" w:eastAsia="MS Gothic" w:hAnsi="MS Gothic" w:cs="華康行楷體W5(P)" w:hint="eastAsia"/>
          <w:b/>
          <w:color w:val="800000"/>
          <w:sz w:val="90"/>
          <w:szCs w:val="90"/>
        </w:rPr>
        <w:t>後壁區公所111年</w:t>
      </w:r>
    </w:p>
    <w:p w:rsidR="003930B2" w:rsidRDefault="003930B2" w:rsidP="003930B2">
      <w:pPr>
        <w:autoSpaceDE w:val="0"/>
        <w:autoSpaceDN w:val="0"/>
        <w:adjustRightInd w:val="0"/>
        <w:jc w:val="center"/>
        <w:rPr>
          <w:rFonts w:ascii="微軟正黑體" w:eastAsia="微軟正黑體" w:hAnsi="微軟正黑體" w:cs="微軟正黑體"/>
          <w:b/>
          <w:color w:val="800000"/>
          <w:sz w:val="90"/>
          <w:szCs w:val="90"/>
        </w:rPr>
      </w:pPr>
      <w:r w:rsidRPr="003930B2">
        <w:rPr>
          <w:rFonts w:ascii="MS Gothic" w:eastAsia="MS Gothic" w:hAnsi="MS Gothic" w:cs="華康行楷體W5(P)" w:hint="eastAsia"/>
          <w:b/>
          <w:color w:val="800000"/>
          <w:sz w:val="90"/>
          <w:szCs w:val="90"/>
        </w:rPr>
        <w:t>廉政防貪指引</w:t>
      </w:r>
      <w:r>
        <w:rPr>
          <w:rFonts w:ascii="微軟正黑體" w:eastAsia="微軟正黑體" w:hAnsi="微軟正黑體" w:cs="微軟正黑體" w:hint="eastAsia"/>
          <w:b/>
          <w:color w:val="800000"/>
          <w:sz w:val="90"/>
          <w:szCs w:val="90"/>
        </w:rPr>
        <w:t>手冊</w:t>
      </w:r>
    </w:p>
    <w:p w:rsidR="003930B2" w:rsidRDefault="00E92D2D" w:rsidP="003930B2">
      <w:pPr>
        <w:autoSpaceDE w:val="0"/>
        <w:autoSpaceDN w:val="0"/>
        <w:adjustRightInd w:val="0"/>
        <w:jc w:val="center"/>
        <w:rPr>
          <w:rFonts w:ascii="微軟正黑體" w:eastAsia="微軟正黑體" w:hAnsi="微軟正黑體" w:cs="微軟正黑體"/>
          <w:b/>
          <w:color w:val="800000"/>
          <w:sz w:val="90"/>
          <w:szCs w:val="90"/>
        </w:rPr>
      </w:pPr>
      <w:r w:rsidRPr="00E92D2D">
        <w:rPr>
          <w:rFonts w:ascii="微軟正黑體" w:eastAsia="微軟正黑體" w:hAnsi="微軟正黑體" w:cs="微軟正黑體"/>
          <w:b/>
          <w:noProof/>
          <w:color w:val="800000"/>
          <w:sz w:val="90"/>
          <w:szCs w:val="90"/>
        </w:rPr>
        <w:drawing>
          <wp:inline distT="0" distB="0" distL="0" distR="0">
            <wp:extent cx="5274310" cy="4626960"/>
            <wp:effectExtent l="0" t="0" r="0" b="0"/>
            <wp:docPr id="1" name="圖片 1" descr="\\servernas\9.行政課\區徽\區徽\Houbi-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as\9.行政課\區徽\區徽\Houbi-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626960"/>
                    </a:xfrm>
                    <a:prstGeom prst="rect">
                      <a:avLst/>
                    </a:prstGeom>
                    <a:noFill/>
                    <a:ln>
                      <a:noFill/>
                    </a:ln>
                  </pic:spPr>
                </pic:pic>
              </a:graphicData>
            </a:graphic>
          </wp:inline>
        </w:drawing>
      </w:r>
    </w:p>
    <w:p w:rsidR="00B86321" w:rsidRDefault="00B86321" w:rsidP="003930B2">
      <w:pPr>
        <w:autoSpaceDE w:val="0"/>
        <w:autoSpaceDN w:val="0"/>
        <w:adjustRightInd w:val="0"/>
        <w:jc w:val="center"/>
        <w:rPr>
          <w:rFonts w:ascii="微軟正黑體" w:eastAsia="微軟正黑體" w:hAnsi="微軟正黑體" w:cs="微軟正黑體"/>
          <w:b/>
          <w:color w:val="800000"/>
          <w:sz w:val="90"/>
          <w:szCs w:val="90"/>
        </w:rPr>
      </w:pPr>
    </w:p>
    <w:p w:rsidR="00D864E8" w:rsidRDefault="00D864E8" w:rsidP="00D864E8">
      <w:pPr>
        <w:jc w:val="center"/>
        <w:rPr>
          <w:rFonts w:ascii="標楷體" w:eastAsia="標楷體" w:hAnsi="標楷體" w:cs="Times New Roman"/>
          <w:b/>
          <w:sz w:val="60"/>
          <w:szCs w:val="60"/>
        </w:rPr>
      </w:pPr>
    </w:p>
    <w:p w:rsidR="00D864E8" w:rsidRPr="00D864E8" w:rsidRDefault="00D864E8" w:rsidP="00D864E8">
      <w:pPr>
        <w:jc w:val="center"/>
        <w:rPr>
          <w:rFonts w:ascii="標楷體" w:eastAsia="標楷體" w:hAnsi="標楷體" w:cs="Times New Roman" w:hint="eastAsia"/>
          <w:b/>
          <w:sz w:val="60"/>
          <w:szCs w:val="60"/>
        </w:rPr>
      </w:pPr>
      <w:r w:rsidRPr="00D864E8">
        <w:rPr>
          <w:rFonts w:ascii="標楷體" w:eastAsia="標楷體" w:hAnsi="標楷體" w:cs="Times New Roman" w:hint="eastAsia"/>
          <w:b/>
          <w:sz w:val="60"/>
          <w:szCs w:val="60"/>
        </w:rPr>
        <w:lastRenderedPageBreak/>
        <w:t>目  錄</w:t>
      </w:r>
    </w:p>
    <w:p w:rsidR="00D864E8" w:rsidRPr="00D864E8" w:rsidRDefault="00D864E8" w:rsidP="00D864E8">
      <w:pPr>
        <w:numPr>
          <w:ilvl w:val="0"/>
          <w:numId w:val="1"/>
        </w:numPr>
        <w:spacing w:beforeLines="100" w:before="360" w:line="360" w:lineRule="auto"/>
        <w:ind w:left="1080" w:rightChars="-120" w:right="-288"/>
        <w:rPr>
          <w:rFonts w:ascii="標楷體" w:eastAsia="標楷體" w:hAnsi="標楷體" w:cs="Times New Roman" w:hint="eastAsia"/>
          <w:b/>
          <w:sz w:val="50"/>
          <w:szCs w:val="50"/>
        </w:rPr>
      </w:pPr>
      <w:r w:rsidRPr="00D864E8">
        <w:rPr>
          <w:rFonts w:ascii="標楷體" w:eastAsia="標楷體" w:hAnsi="標楷體" w:cs="Times New Roman" w:hint="eastAsia"/>
          <w:b/>
          <w:sz w:val="50"/>
          <w:szCs w:val="50"/>
        </w:rPr>
        <w:t>前言</w:t>
      </w:r>
      <w:r w:rsidR="00026725">
        <w:rPr>
          <w:rFonts w:ascii="標楷體" w:eastAsia="標楷體" w:hAnsi="標楷體" w:cs="Times New Roman" w:hint="eastAsia"/>
          <w:b/>
          <w:sz w:val="50"/>
          <w:szCs w:val="50"/>
        </w:rPr>
        <w:t>-----------------------2</w:t>
      </w:r>
      <w:r w:rsidRPr="00D864E8">
        <w:rPr>
          <w:rFonts w:ascii="標楷體" w:eastAsia="標楷體" w:hAnsi="標楷體" w:cs="Times New Roman" w:hint="eastAsia"/>
          <w:b/>
          <w:sz w:val="40"/>
          <w:szCs w:val="40"/>
        </w:rPr>
        <w:t xml:space="preserve"> </w:t>
      </w:r>
    </w:p>
    <w:p w:rsidR="00D864E8" w:rsidRPr="00D864E8" w:rsidRDefault="00D864E8" w:rsidP="00D864E8">
      <w:pPr>
        <w:numPr>
          <w:ilvl w:val="0"/>
          <w:numId w:val="1"/>
        </w:numPr>
        <w:spacing w:beforeLines="100" w:before="360" w:line="360" w:lineRule="auto"/>
        <w:ind w:left="1080" w:rightChars="-120" w:right="-288"/>
        <w:rPr>
          <w:rFonts w:ascii="標楷體" w:eastAsia="標楷體" w:hAnsi="標楷體" w:cs="Times New Roman" w:hint="eastAsia"/>
          <w:b/>
          <w:sz w:val="50"/>
          <w:szCs w:val="50"/>
        </w:rPr>
      </w:pPr>
      <w:r w:rsidRPr="00D864E8">
        <w:rPr>
          <w:rFonts w:ascii="標楷體" w:eastAsia="標楷體" w:hAnsi="標楷體" w:cs="Times New Roman" w:hint="eastAsia"/>
          <w:b/>
          <w:sz w:val="50"/>
          <w:szCs w:val="50"/>
        </w:rPr>
        <w:t>案例類型：</w:t>
      </w:r>
      <w:r w:rsidRPr="00D864E8">
        <w:rPr>
          <w:rFonts w:ascii="標楷體" w:eastAsia="標楷體" w:hAnsi="標楷體" w:cs="Times New Roman" w:hint="eastAsia"/>
          <w:b/>
          <w:sz w:val="36"/>
          <w:szCs w:val="36"/>
        </w:rPr>
        <w:t xml:space="preserve"> </w:t>
      </w:r>
      <w:r w:rsidRPr="00D864E8">
        <w:rPr>
          <w:rFonts w:ascii="標楷體" w:eastAsia="標楷體" w:hAnsi="標楷體" w:cs="Times New Roman" w:hint="eastAsia"/>
          <w:b/>
          <w:sz w:val="50"/>
          <w:szCs w:val="50"/>
        </w:rPr>
        <w:t xml:space="preserve">   </w:t>
      </w:r>
      <w:r w:rsidRPr="00D864E8">
        <w:rPr>
          <w:rFonts w:ascii="標楷體" w:eastAsia="標楷體" w:hAnsi="標楷體" w:cs="Times New Roman" w:hint="eastAsia"/>
          <w:b/>
          <w:sz w:val="8"/>
          <w:szCs w:val="8"/>
        </w:rPr>
        <w:t xml:space="preserve"> </w:t>
      </w:r>
    </w:p>
    <w:p w:rsidR="00D864E8" w:rsidRPr="00D864E8" w:rsidRDefault="00026725" w:rsidP="00D864E8">
      <w:pPr>
        <w:numPr>
          <w:ilvl w:val="1"/>
          <w:numId w:val="1"/>
        </w:numPr>
        <w:spacing w:beforeLines="100" w:before="360" w:line="360" w:lineRule="auto"/>
        <w:ind w:left="1134" w:rightChars="-120" w:right="-288" w:hanging="1134"/>
        <w:rPr>
          <w:rFonts w:ascii="標楷體" w:eastAsia="標楷體" w:hAnsi="標楷體" w:cs="Times New Roman" w:hint="eastAsia"/>
          <w:b/>
          <w:sz w:val="40"/>
          <w:szCs w:val="40"/>
        </w:rPr>
      </w:pPr>
      <w:r w:rsidRPr="00026725">
        <w:rPr>
          <w:rFonts w:ascii="標楷體" w:eastAsia="標楷體" w:hAnsi="Times New Roman" w:cs="標楷體" w:hint="eastAsia"/>
          <w:b/>
          <w:bCs/>
          <w:sz w:val="40"/>
          <w:szCs w:val="40"/>
        </w:rPr>
        <w:t>某公所社會課辦理外界捐贈物資業務涉有違失</w:t>
      </w:r>
      <w:r w:rsidR="00D864E8" w:rsidRPr="00D864E8">
        <w:rPr>
          <w:rFonts w:ascii="標楷體" w:eastAsia="標楷體" w:hAnsi="標楷體" w:cs="Times New Roman" w:hint="eastAsia"/>
          <w:b/>
          <w:sz w:val="40"/>
          <w:szCs w:val="40"/>
        </w:rPr>
        <w:t>-----</w:t>
      </w:r>
      <w:r>
        <w:rPr>
          <w:rFonts w:ascii="標楷體" w:eastAsia="標楷體" w:hAnsi="標楷體" w:cs="Times New Roman" w:hint="eastAsia"/>
          <w:b/>
          <w:sz w:val="40"/>
          <w:szCs w:val="40"/>
        </w:rPr>
        <w:t>-------------------------</w:t>
      </w:r>
      <w:r w:rsidR="00DC1DB9">
        <w:rPr>
          <w:rFonts w:ascii="標楷體" w:eastAsia="標楷體" w:hAnsi="標楷體" w:cs="Times New Roman" w:hint="eastAsia"/>
          <w:b/>
          <w:sz w:val="40"/>
          <w:szCs w:val="40"/>
        </w:rPr>
        <w:t>4</w:t>
      </w:r>
    </w:p>
    <w:p w:rsidR="00D864E8" w:rsidRPr="00D864E8" w:rsidRDefault="00DC1DB9" w:rsidP="00D864E8">
      <w:pPr>
        <w:numPr>
          <w:ilvl w:val="1"/>
          <w:numId w:val="1"/>
        </w:numPr>
        <w:spacing w:beforeLines="100" w:before="360" w:line="360" w:lineRule="auto"/>
        <w:ind w:left="1134" w:rightChars="-120" w:right="-288" w:hanging="1134"/>
        <w:rPr>
          <w:rFonts w:ascii="標楷體" w:eastAsia="標楷體" w:hAnsi="標楷體" w:cs="Times New Roman" w:hint="eastAsia"/>
          <w:b/>
          <w:sz w:val="40"/>
          <w:szCs w:val="40"/>
        </w:rPr>
      </w:pPr>
      <w:r>
        <w:rPr>
          <w:rFonts w:ascii="標楷體" w:eastAsia="標楷體" w:hAnsi="標楷體" w:cs="Times New Roman" w:hint="eastAsia"/>
          <w:b/>
          <w:sz w:val="40"/>
          <w:szCs w:val="40"/>
        </w:rPr>
        <w:t>某公所農業用地作農業使用認定及核發證明業務</w:t>
      </w:r>
      <w:r w:rsidR="00026725" w:rsidRPr="00026725">
        <w:rPr>
          <w:rFonts w:ascii="標楷體" w:eastAsia="標楷體" w:hAnsi="標楷體" w:cs="Times New Roman" w:hint="eastAsia"/>
          <w:b/>
          <w:sz w:val="40"/>
          <w:szCs w:val="40"/>
        </w:rPr>
        <w:t>承辦人，</w:t>
      </w:r>
      <w:r>
        <w:rPr>
          <w:rFonts w:ascii="標楷體" w:eastAsia="標楷體" w:hAnsi="標楷體" w:cs="Times New Roman" w:hint="eastAsia"/>
          <w:b/>
          <w:sz w:val="40"/>
          <w:szCs w:val="40"/>
        </w:rPr>
        <w:t>涉</w:t>
      </w:r>
      <w:r w:rsidR="00026725" w:rsidRPr="00026725">
        <w:rPr>
          <w:rFonts w:ascii="標楷體" w:eastAsia="標楷體" w:hAnsi="標楷體" w:cs="Times New Roman" w:hint="eastAsia"/>
          <w:b/>
          <w:sz w:val="40"/>
          <w:szCs w:val="40"/>
        </w:rPr>
        <w:t>犯侵占公有財物罪</w:t>
      </w:r>
      <w:r>
        <w:rPr>
          <w:rFonts w:ascii="標楷體" w:eastAsia="標楷體" w:hAnsi="標楷體" w:cs="Times New Roman" w:hint="eastAsia"/>
          <w:b/>
          <w:sz w:val="40"/>
          <w:szCs w:val="40"/>
        </w:rPr>
        <w:t>-</w:t>
      </w:r>
      <w:bookmarkStart w:id="0" w:name="_GoBack"/>
      <w:bookmarkEnd w:id="0"/>
      <w:r w:rsidR="00D864E8" w:rsidRPr="00D864E8">
        <w:rPr>
          <w:rFonts w:ascii="標楷體" w:eastAsia="標楷體" w:hAnsi="標楷體" w:cs="Times New Roman" w:hint="eastAsia"/>
          <w:b/>
          <w:sz w:val="40"/>
          <w:szCs w:val="40"/>
        </w:rPr>
        <w:t>-</w:t>
      </w:r>
      <w:r w:rsidR="00026725">
        <w:rPr>
          <w:rFonts w:ascii="標楷體" w:eastAsia="標楷體" w:hAnsi="標楷體" w:cs="Times New Roman" w:hint="eastAsia"/>
          <w:b/>
          <w:sz w:val="40"/>
          <w:szCs w:val="40"/>
        </w:rPr>
        <w:t>8</w:t>
      </w:r>
    </w:p>
    <w:p w:rsidR="003930B2" w:rsidRDefault="003930B2" w:rsidP="003930B2">
      <w:pPr>
        <w:autoSpaceDE w:val="0"/>
        <w:autoSpaceDN w:val="0"/>
        <w:adjustRightInd w:val="0"/>
        <w:jc w:val="center"/>
        <w:rPr>
          <w:rFonts w:ascii="微軟正黑體" w:eastAsia="微軟正黑體" w:hAnsi="微軟正黑體" w:cs="微軟正黑體"/>
          <w:b/>
          <w:color w:val="800000"/>
          <w:sz w:val="90"/>
          <w:szCs w:val="90"/>
        </w:rPr>
      </w:pPr>
    </w:p>
    <w:p w:rsidR="00B61884" w:rsidRDefault="00B61884" w:rsidP="003930B2">
      <w:pPr>
        <w:autoSpaceDE w:val="0"/>
        <w:autoSpaceDN w:val="0"/>
        <w:adjustRightInd w:val="0"/>
        <w:jc w:val="center"/>
        <w:rPr>
          <w:rFonts w:ascii="微軟正黑體" w:eastAsia="微軟正黑體" w:hAnsi="微軟正黑體" w:cs="微軟正黑體"/>
          <w:b/>
          <w:color w:val="800000"/>
          <w:sz w:val="90"/>
          <w:szCs w:val="90"/>
        </w:rPr>
      </w:pPr>
    </w:p>
    <w:p w:rsidR="00026725" w:rsidRPr="00026725" w:rsidRDefault="00026725" w:rsidP="003930B2">
      <w:pPr>
        <w:autoSpaceDE w:val="0"/>
        <w:autoSpaceDN w:val="0"/>
        <w:adjustRightInd w:val="0"/>
        <w:jc w:val="center"/>
        <w:rPr>
          <w:rFonts w:ascii="微軟正黑體" w:eastAsia="微軟正黑體" w:hAnsi="微軟正黑體" w:cs="微軟正黑體" w:hint="eastAsia"/>
          <w:b/>
          <w:color w:val="800000"/>
          <w:sz w:val="32"/>
          <w:szCs w:val="32"/>
        </w:rPr>
      </w:pPr>
    </w:p>
    <w:p w:rsidR="00B61884" w:rsidRDefault="00B61884" w:rsidP="003930B2">
      <w:pPr>
        <w:autoSpaceDE w:val="0"/>
        <w:autoSpaceDN w:val="0"/>
        <w:adjustRightInd w:val="0"/>
        <w:jc w:val="center"/>
        <w:rPr>
          <w:rFonts w:ascii="微軟正黑體" w:eastAsia="微軟正黑體" w:hAnsi="微軟正黑體" w:cs="微軟正黑體"/>
          <w:b/>
          <w:color w:val="800000"/>
          <w:sz w:val="90"/>
          <w:szCs w:val="90"/>
        </w:rPr>
      </w:pPr>
    </w:p>
    <w:p w:rsidR="00026725" w:rsidRPr="00026725" w:rsidRDefault="00026725" w:rsidP="003930B2">
      <w:pPr>
        <w:autoSpaceDE w:val="0"/>
        <w:autoSpaceDN w:val="0"/>
        <w:adjustRightInd w:val="0"/>
        <w:jc w:val="center"/>
        <w:rPr>
          <w:rFonts w:ascii="微軟正黑體" w:eastAsia="微軟正黑體" w:hAnsi="微軟正黑體" w:cs="微軟正黑體" w:hint="eastAsia"/>
          <w:b/>
          <w:color w:val="800000"/>
          <w:sz w:val="32"/>
          <w:szCs w:val="32"/>
        </w:rPr>
      </w:pPr>
    </w:p>
    <w:p w:rsidR="00B61884" w:rsidRPr="00B61884" w:rsidRDefault="00B61884" w:rsidP="00B61884">
      <w:pPr>
        <w:jc w:val="center"/>
        <w:rPr>
          <w:rFonts w:ascii="標楷體" w:eastAsia="標楷體" w:hAnsi="標楷體" w:cs="Times New Roman"/>
          <w:b/>
          <w:sz w:val="60"/>
          <w:szCs w:val="60"/>
        </w:rPr>
      </w:pPr>
      <w:r w:rsidRPr="00B61884">
        <w:rPr>
          <w:rFonts w:ascii="標楷體" w:eastAsia="標楷體" w:hAnsi="標楷體" w:cs="Times New Roman" w:hint="eastAsia"/>
          <w:b/>
          <w:sz w:val="60"/>
          <w:szCs w:val="60"/>
        </w:rPr>
        <w:lastRenderedPageBreak/>
        <w:t>前言</w:t>
      </w:r>
    </w:p>
    <w:p w:rsidR="00B61884" w:rsidRPr="00B61884" w:rsidRDefault="00B61884" w:rsidP="00B61884">
      <w:pPr>
        <w:spacing w:line="480" w:lineRule="exact"/>
        <w:ind w:leftChars="59" w:left="142"/>
        <w:jc w:val="both"/>
        <w:rPr>
          <w:rFonts w:ascii="標楷體" w:eastAsia="標楷體" w:hAnsi="標楷體" w:cs="Times New Roman"/>
          <w:sz w:val="32"/>
          <w:szCs w:val="32"/>
        </w:rPr>
      </w:pPr>
      <w:r w:rsidRPr="00B61884">
        <w:rPr>
          <w:rFonts w:ascii="標楷體" w:eastAsia="標楷體" w:hAnsi="標楷體" w:cs="Times New Roman" w:hint="eastAsia"/>
          <w:sz w:val="32"/>
          <w:szCs w:val="32"/>
        </w:rPr>
        <w:t>2015年9月25日的釋字732號解釋，是林錫堯、池啟明、蔡清遊及李震山四位前大法官作成的最後一號解釋。李震山大法官在這號解釋出具了一份協同意見書，最後一個標題是：曲終－「任性者」的獨白。抒發了他八年來的感觸(略以)：「本件解釋是本席忝列釋憲成員八年任期內，所參與作成的最後一號解釋（自釋字第六三四號解釋以降），爾後自可揮別與自己的言語、文字、理念艱辛搏鬥的歲月。此時此刻，願借旅居紐西蘭已故的華語詩人顧城 (1956-1993) 所寫『我是一個任性的孩子』詩中的幾句，表達本席參與違憲審查一直以來所抱持的心境：</w:t>
      </w:r>
      <w:r w:rsidRPr="00B61884">
        <w:rPr>
          <w:rFonts w:ascii="MS Gothic" w:eastAsia="MS Gothic" w:hAnsi="MS Gothic" w:cs="MS Gothic" w:hint="eastAsia"/>
          <w:sz w:val="32"/>
          <w:szCs w:val="32"/>
        </w:rPr>
        <w:t xml:space="preserve"> ​​</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『我是一個任性的孩子</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我想塗去一切不幸</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我想在大地上</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畫滿窗子</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讓所有習慣黑暗的眼睛</w:t>
      </w:r>
    </w:p>
    <w:p w:rsidR="00B61884" w:rsidRDefault="00B61884" w:rsidP="00B61884">
      <w:pPr>
        <w:spacing w:line="480" w:lineRule="exact"/>
        <w:ind w:leftChars="59" w:left="142"/>
        <w:rPr>
          <w:rFonts w:ascii="新細明體" w:eastAsia="新細明體" w:hAnsi="新細明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都習慣光明』。</w:t>
      </w:r>
      <w:r>
        <w:rPr>
          <w:rFonts w:ascii="新細明體" w:eastAsia="新細明體" w:hAnsi="新細明體" w:cs="Times New Roman" w:hint="eastAsia"/>
          <w:sz w:val="32"/>
          <w:szCs w:val="32"/>
        </w:rPr>
        <w:t>」</w:t>
      </w:r>
      <w:r>
        <w:rPr>
          <w:rStyle w:val="a9"/>
          <w:rFonts w:ascii="新細明體" w:eastAsia="新細明體" w:hAnsi="新細明體" w:cs="Times New Roman"/>
          <w:sz w:val="32"/>
          <w:szCs w:val="32"/>
        </w:rPr>
        <w:footnoteReference w:id="1"/>
      </w:r>
    </w:p>
    <w:p w:rsidR="006F28CD" w:rsidRDefault="006F28CD" w:rsidP="00B61884">
      <w:pPr>
        <w:spacing w:line="480" w:lineRule="exact"/>
        <w:ind w:leftChars="59" w:left="142"/>
        <w:rPr>
          <w:rFonts w:ascii="標楷體" w:eastAsia="標楷體" w:hAnsi="標楷體" w:cs="Times New Roman" w:hint="eastAsia"/>
          <w:sz w:val="32"/>
          <w:szCs w:val="32"/>
        </w:rPr>
      </w:pPr>
    </w:p>
    <w:p w:rsidR="00B61884" w:rsidRDefault="00B61884" w:rsidP="006F28CD">
      <w:pPr>
        <w:autoSpaceDE w:val="0"/>
        <w:autoSpaceDN w:val="0"/>
        <w:adjustRightInd w:val="0"/>
        <w:spacing w:line="480" w:lineRule="exact"/>
        <w:jc w:val="both"/>
        <w:rPr>
          <w:rFonts w:ascii="標楷體" w:eastAsia="標楷體" w:hAnsi="標楷體" w:cs="Times New Roman"/>
          <w:sz w:val="32"/>
          <w:szCs w:val="32"/>
        </w:rPr>
      </w:pPr>
      <w:r w:rsidRPr="00B61884">
        <w:rPr>
          <w:rFonts w:ascii="標楷體" w:eastAsia="標楷體" w:hAnsi="標楷體" w:cs="Times New Roman" w:hint="eastAsia"/>
          <w:sz w:val="32"/>
          <w:szCs w:val="32"/>
        </w:rPr>
        <w:t>而「讓所有習慣黑暗的眼睛都習慣光明」或許</w:t>
      </w:r>
      <w:r w:rsidR="00B33011">
        <w:rPr>
          <w:rFonts w:ascii="標楷體" w:eastAsia="標楷體" w:hAnsi="標楷體" w:cs="Times New Roman" w:hint="eastAsia"/>
          <w:sz w:val="32"/>
          <w:szCs w:val="32"/>
        </w:rPr>
        <w:t>也</w:t>
      </w:r>
      <w:r w:rsidRPr="00B61884">
        <w:rPr>
          <w:rFonts w:ascii="標楷體" w:eastAsia="標楷體" w:hAnsi="標楷體" w:cs="Times New Roman" w:hint="eastAsia"/>
          <w:sz w:val="32"/>
          <w:szCs w:val="32"/>
        </w:rPr>
        <w:t>是</w:t>
      </w:r>
      <w:r w:rsidRPr="00B61884">
        <w:rPr>
          <w:rFonts w:ascii="標楷體" w:eastAsia="標楷體" w:hAnsi="標楷體" w:cs="Times New Roman" w:hint="eastAsia"/>
          <w:sz w:val="32"/>
          <w:szCs w:val="32"/>
        </w:rPr>
        <w:t>廉政防貪指引的初衷。</w:t>
      </w:r>
      <w:r>
        <w:rPr>
          <w:rFonts w:ascii="標楷體" w:eastAsia="標楷體" w:hAnsi="標楷體" w:cs="Times New Roman" w:hint="eastAsia"/>
          <w:sz w:val="32"/>
          <w:szCs w:val="32"/>
        </w:rPr>
        <w:t>希望藉由</w:t>
      </w:r>
      <w:r w:rsidRPr="00B61884">
        <w:rPr>
          <w:rFonts w:ascii="標楷體" w:eastAsia="標楷體" w:hAnsi="標楷體" w:cs="Times New Roman" w:hint="eastAsia"/>
          <w:sz w:val="32"/>
          <w:szCs w:val="32"/>
        </w:rPr>
        <w:t>召開廉政防貪指引座談會</w:t>
      </w:r>
      <w:r>
        <w:rPr>
          <w:rFonts w:ascii="標楷體" w:eastAsia="標楷體" w:hAnsi="標楷體" w:cs="Times New Roman" w:hint="eastAsia"/>
          <w:sz w:val="32"/>
          <w:szCs w:val="32"/>
        </w:rPr>
        <w:t>提案討論，</w:t>
      </w:r>
      <w:r w:rsidRPr="00B61884">
        <w:rPr>
          <w:rFonts w:ascii="標楷體" w:eastAsia="標楷體" w:hAnsi="標楷體" w:cs="Times New Roman" w:hint="eastAsia"/>
          <w:sz w:val="32"/>
          <w:szCs w:val="32"/>
        </w:rPr>
        <w:t>與會人員深度參與，彼此腦力激盪，</w:t>
      </w:r>
      <w:r w:rsidRPr="00B61884">
        <w:rPr>
          <w:rFonts w:ascii="標楷體" w:eastAsia="標楷體" w:hAnsi="標楷體" w:cs="Times New Roman" w:hint="eastAsia"/>
          <w:sz w:val="32"/>
          <w:szCs w:val="32"/>
        </w:rPr>
        <w:t>掌握機關廉政風險</w:t>
      </w:r>
      <w:r>
        <w:rPr>
          <w:rFonts w:ascii="標楷體" w:eastAsia="標楷體" w:hAnsi="標楷體" w:cs="Times New Roman" w:hint="eastAsia"/>
          <w:sz w:val="32"/>
          <w:szCs w:val="32"/>
        </w:rPr>
        <w:t>，</w:t>
      </w:r>
      <w:r w:rsidRPr="00B61884">
        <w:rPr>
          <w:rFonts w:ascii="標楷體" w:eastAsia="標楷體" w:hAnsi="標楷體" w:cs="Times New Roman" w:hint="eastAsia"/>
          <w:sz w:val="32"/>
          <w:szCs w:val="32"/>
        </w:rPr>
        <w:t>針對風險業務或問題找出更有</w:t>
      </w:r>
      <w:r>
        <w:rPr>
          <w:rFonts w:ascii="標楷體" w:eastAsia="標楷體" w:hAnsi="標楷體" w:cs="Times New Roman" w:hint="eastAsia"/>
          <w:sz w:val="32"/>
          <w:szCs w:val="32"/>
        </w:rPr>
        <w:t>效的抑制方法</w:t>
      </w:r>
      <w:r w:rsidRPr="00B61884">
        <w:rPr>
          <w:rFonts w:ascii="標楷體" w:eastAsia="標楷體" w:hAnsi="標楷體" w:cs="Times New Roman" w:hint="eastAsia"/>
          <w:sz w:val="32"/>
          <w:szCs w:val="32"/>
        </w:rPr>
        <w:t>，提出有效因應策略，並導入內、外部興革建議，協助完備機關各項行政措施和防弊機制。</w:t>
      </w:r>
      <w:r>
        <w:rPr>
          <w:rFonts w:ascii="標楷體" w:eastAsia="標楷體" w:hAnsi="標楷體" w:cs="Times New Roman" w:hint="eastAsia"/>
          <w:sz w:val="32"/>
          <w:szCs w:val="32"/>
        </w:rPr>
        <w:t>其後更</w:t>
      </w:r>
      <w:r w:rsidRPr="00B61884">
        <w:rPr>
          <w:rFonts w:ascii="標楷體" w:eastAsia="標楷體" w:hAnsi="標楷體" w:cs="Times New Roman" w:hint="eastAsia"/>
          <w:sz w:val="32"/>
          <w:szCs w:val="32"/>
        </w:rPr>
        <w:t>彙整座談會討論內容，編輯廉政防貪指引，供各機關執行業務有所遵循。</w:t>
      </w:r>
    </w:p>
    <w:p w:rsidR="006F28CD" w:rsidRPr="00B61884" w:rsidRDefault="006F28CD" w:rsidP="006F28CD">
      <w:pPr>
        <w:autoSpaceDE w:val="0"/>
        <w:autoSpaceDN w:val="0"/>
        <w:adjustRightInd w:val="0"/>
        <w:spacing w:line="480" w:lineRule="exact"/>
        <w:jc w:val="both"/>
        <w:rPr>
          <w:rFonts w:ascii="微軟正黑體" w:eastAsia="微軟正黑體" w:hAnsi="微軟正黑體" w:cs="微軟正黑體" w:hint="eastAsia"/>
          <w:b/>
          <w:color w:val="800000"/>
          <w:sz w:val="32"/>
          <w:szCs w:val="32"/>
        </w:rPr>
      </w:pPr>
    </w:p>
    <w:p w:rsidR="00B61884" w:rsidRDefault="00B61884" w:rsidP="003930B2">
      <w:pPr>
        <w:autoSpaceDE w:val="0"/>
        <w:autoSpaceDN w:val="0"/>
        <w:adjustRightInd w:val="0"/>
        <w:jc w:val="center"/>
        <w:rPr>
          <w:rFonts w:ascii="標楷體" w:eastAsia="標楷體" w:hAnsi="標楷體" w:cs="Times New Roman"/>
          <w:b/>
          <w:sz w:val="36"/>
          <w:szCs w:val="36"/>
        </w:rPr>
      </w:pPr>
      <w:r w:rsidRPr="006F28CD">
        <w:rPr>
          <w:rFonts w:ascii="標楷體" w:eastAsia="標楷體" w:hAnsi="標楷體" w:cs="Times New Roman" w:hint="eastAsia"/>
          <w:b/>
          <w:sz w:val="36"/>
          <w:szCs w:val="36"/>
        </w:rPr>
        <w:lastRenderedPageBreak/>
        <w:t>臺南市</w:t>
      </w:r>
      <w:r w:rsidR="006F28CD" w:rsidRPr="006F28CD">
        <w:rPr>
          <w:rFonts w:ascii="標楷體" w:eastAsia="標楷體" w:hAnsi="標楷體" w:cs="Times New Roman" w:hint="eastAsia"/>
          <w:b/>
          <w:sz w:val="36"/>
          <w:szCs w:val="36"/>
        </w:rPr>
        <w:t>後壁</w:t>
      </w:r>
      <w:r w:rsidRPr="006F28CD">
        <w:rPr>
          <w:rFonts w:ascii="標楷體" w:eastAsia="標楷體" w:hAnsi="標楷體" w:cs="Times New Roman" w:hint="eastAsia"/>
          <w:b/>
          <w:sz w:val="36"/>
          <w:szCs w:val="36"/>
        </w:rPr>
        <w:t>區公所111年度廉政防貪指引弊端態樣</w:t>
      </w:r>
    </w:p>
    <w:p w:rsidR="006F28CD" w:rsidRPr="006F28CD" w:rsidRDefault="006F28CD" w:rsidP="006F28CD">
      <w:pPr>
        <w:pStyle w:val="aa"/>
        <w:numPr>
          <w:ilvl w:val="0"/>
          <w:numId w:val="4"/>
        </w:numPr>
        <w:spacing w:line="480" w:lineRule="exact"/>
        <w:ind w:leftChars="0"/>
        <w:rPr>
          <w:rFonts w:ascii="標楷體" w:eastAsia="標楷體" w:hAnsi="標楷體" w:cs="標楷體"/>
          <w:color w:val="000000"/>
          <w:sz w:val="32"/>
          <w:szCs w:val="32"/>
        </w:rPr>
      </w:pPr>
      <w:r w:rsidRPr="006F28CD">
        <w:rPr>
          <w:rFonts w:ascii="標楷體" w:eastAsia="標楷體" w:hAnsi="標楷體" w:cs="標楷體" w:hint="eastAsia"/>
          <w:color w:val="000000"/>
          <w:sz w:val="32"/>
          <w:szCs w:val="32"/>
        </w:rPr>
        <w:t>案例類型</w:t>
      </w:r>
    </w:p>
    <w:p w:rsidR="006F28CD" w:rsidRPr="00B33011" w:rsidRDefault="006F28CD" w:rsidP="006F28CD">
      <w:pPr>
        <w:spacing w:line="480" w:lineRule="exact"/>
        <w:rPr>
          <w:rFonts w:ascii="標楷體" w:eastAsia="標楷體" w:hAnsi="標楷體" w:cs="標楷體"/>
          <w:b/>
          <w:color w:val="000000"/>
          <w:sz w:val="32"/>
          <w:szCs w:val="32"/>
        </w:rPr>
      </w:pPr>
      <w:r w:rsidRPr="00B33011">
        <w:rPr>
          <w:rFonts w:ascii="標楷體" w:eastAsia="標楷體" w:hAnsi="標楷體" w:cs="標楷體" w:hint="eastAsia"/>
          <w:b/>
          <w:color w:val="000000"/>
          <w:sz w:val="32"/>
          <w:szCs w:val="32"/>
        </w:rPr>
        <w:t>一、某公所社會課辦理外界捐贈物資業務涉有違失</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7448"/>
      </w:tblGrid>
      <w:tr w:rsidR="00B33011" w:rsidRPr="00B33011" w:rsidTr="00B33011">
        <w:trPr>
          <w:trHeight w:val="1110"/>
          <w:jc w:val="center"/>
        </w:trPr>
        <w:tc>
          <w:tcPr>
            <w:tcW w:w="1016"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類型</w:t>
            </w:r>
          </w:p>
        </w:tc>
        <w:tc>
          <w:tcPr>
            <w:tcW w:w="7448" w:type="dxa"/>
            <w:vAlign w:val="center"/>
          </w:tcPr>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某公所社會課辦理外界捐贈物資業務涉有違失之檢討策進作為</w:t>
            </w:r>
            <w:r w:rsidRPr="00B33011">
              <w:rPr>
                <w:rFonts w:ascii="新細明體" w:eastAsia="新細明體" w:hAnsi="新細明體" w:cs="標楷體" w:hint="eastAsia"/>
                <w:sz w:val="32"/>
                <w:szCs w:val="32"/>
              </w:rPr>
              <w:t>。</w:t>
            </w:r>
          </w:p>
        </w:tc>
      </w:tr>
      <w:tr w:rsidR="00B33011" w:rsidRPr="00B33011" w:rsidTr="00B33011">
        <w:trPr>
          <w:trHeight w:val="1110"/>
          <w:jc w:val="center"/>
        </w:trPr>
        <w:tc>
          <w:tcPr>
            <w:tcW w:w="1016"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相關實務見解</w:t>
            </w:r>
          </w:p>
        </w:tc>
        <w:tc>
          <w:tcPr>
            <w:tcW w:w="7448" w:type="dxa"/>
            <w:vAlign w:val="center"/>
          </w:tcPr>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最高法院 103 年度台上字第 840 號民事判決</w:t>
            </w:r>
          </w:p>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最高行政法院 109 年度上字第 608 號判決</w:t>
            </w:r>
          </w:p>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懲戒法院懲戒法庭 109 年度清字第 13445 號懲戒判決</w:t>
            </w:r>
          </w:p>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臺灣高等法院 105 年度上訴字第 1649 號刑事判決</w:t>
            </w:r>
          </w:p>
        </w:tc>
      </w:tr>
      <w:tr w:rsidR="00B33011" w:rsidRPr="00B33011" w:rsidTr="00B33011">
        <w:trPr>
          <w:trHeight w:val="703"/>
          <w:jc w:val="center"/>
        </w:trPr>
        <w:tc>
          <w:tcPr>
            <w:tcW w:w="1016"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案例說</w:t>
            </w:r>
          </w:p>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明</w:t>
            </w:r>
          </w:p>
        </w:tc>
        <w:tc>
          <w:tcPr>
            <w:tcW w:w="7448" w:type="dxa"/>
          </w:tcPr>
          <w:p w:rsidR="00B33011" w:rsidRPr="00B33011" w:rsidRDefault="00B33011" w:rsidP="00B33011">
            <w:pPr>
              <w:adjustRightInd w:val="0"/>
              <w:snapToGrid w:val="0"/>
              <w:spacing w:line="500" w:lineRule="exact"/>
              <w:jc w:val="both"/>
              <w:rPr>
                <w:rFonts w:ascii="標楷體" w:eastAsia="標楷體" w:hAnsi="標楷體" w:cs="Times New Roman"/>
                <w:sz w:val="32"/>
                <w:szCs w:val="32"/>
              </w:rPr>
            </w:pPr>
            <w:r w:rsidRPr="00B33011">
              <w:rPr>
                <w:rFonts w:ascii="標楷體" w:eastAsia="標楷體" w:hAnsi="標楷體" w:cs="Times New Roman" w:hint="eastAsia"/>
                <w:sz w:val="32"/>
                <w:szCs w:val="32"/>
              </w:rPr>
              <w:t>0縣市OO公所社會課辦理外界物資捐贈業務，經審計處查核發現有未如實建立受贈物資明細資料、部分轉發送對象不符捐贈目的及物資管理不當等多項違反「公益勸募條例」規定之行政違失情事。</w:t>
            </w:r>
          </w:p>
        </w:tc>
      </w:tr>
      <w:tr w:rsidR="00B33011" w:rsidRPr="00B33011" w:rsidTr="00B33011">
        <w:trPr>
          <w:trHeight w:val="1781"/>
          <w:jc w:val="center"/>
        </w:trPr>
        <w:tc>
          <w:tcPr>
            <w:tcW w:w="1016"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風險評估</w:t>
            </w:r>
          </w:p>
        </w:tc>
        <w:tc>
          <w:tcPr>
            <w:tcW w:w="7448" w:type="dxa"/>
            <w:vAlign w:val="center"/>
          </w:tcPr>
          <w:p w:rsidR="00B33011" w:rsidRPr="00B33011" w:rsidRDefault="00B33011" w:rsidP="00B33011">
            <w:pPr>
              <w:numPr>
                <w:ilvl w:val="0"/>
                <w:numId w:val="2"/>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外界捐贈物資之品項、數量明細表與受贈者簽領名冊，部分案件並未製作或多有疏漏：</w:t>
            </w:r>
          </w:p>
          <w:p w:rsidR="00B33011" w:rsidRPr="00B33011" w:rsidRDefault="00B33011" w:rsidP="00B33011">
            <w:pPr>
              <w:spacing w:line="520" w:lineRule="exact"/>
              <w:ind w:leftChars="276" w:left="662"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審計處查核發現，該公所於000年中至000年00月間，先後兩位承辦人對於多件受理外界捐贈物資之案件，其品項、數量明細表與受贈者簽領清冊等資料建檔工作，並未建立或有所疏漏不實；以致後續依法應辦理之公開徵信及函報上級機關備查等作業均無法核實辦理。</w:t>
            </w:r>
          </w:p>
          <w:p w:rsidR="00B33011" w:rsidRPr="00B33011" w:rsidRDefault="00B33011" w:rsidP="00B33011">
            <w:pPr>
              <w:numPr>
                <w:ilvl w:val="0"/>
                <w:numId w:val="2"/>
              </w:numPr>
              <w:spacing w:line="520" w:lineRule="exact"/>
              <w:ind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未依「公益勸募條例」規定開立收據予捐贈者：</w:t>
            </w:r>
          </w:p>
          <w:p w:rsidR="00B33011" w:rsidRPr="00B33011" w:rsidRDefault="00B33011" w:rsidP="00B33011">
            <w:pPr>
              <w:spacing w:line="520" w:lineRule="exact"/>
              <w:ind w:leftChars="301" w:left="722"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按依衛福部函釋規定，各級政府機關不論主動勸募或被動接受捐贈，均應依同條例第6條第1項規定開立收據予捐贈人。惟OO公所於前揭</w:t>
            </w:r>
            <w:r w:rsidRPr="00B33011">
              <w:rPr>
                <w:rFonts w:ascii="標楷體" w:eastAsia="標楷體" w:hAnsi="標楷體" w:cs="標楷體" w:hint="eastAsia"/>
                <w:color w:val="000000"/>
                <w:sz w:val="32"/>
                <w:szCs w:val="32"/>
              </w:rPr>
              <w:lastRenderedPageBreak/>
              <w:t>期間，部分受理捐贈案件並未開立收據予捐贈人。</w:t>
            </w:r>
          </w:p>
          <w:p w:rsidR="00B33011" w:rsidRPr="00B33011" w:rsidRDefault="00B33011" w:rsidP="00B33011">
            <w:pPr>
              <w:numPr>
                <w:ilvl w:val="0"/>
                <w:numId w:val="2"/>
              </w:numPr>
              <w:spacing w:line="520" w:lineRule="exact"/>
              <w:ind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部分捐贈物資發送對象不符原捐贈指定用途使用：</w:t>
            </w:r>
          </w:p>
          <w:p w:rsidR="00B33011" w:rsidRPr="00B33011" w:rsidRDefault="00B33011" w:rsidP="00B33011">
            <w:pPr>
              <w:spacing w:line="520" w:lineRule="exact"/>
              <w:ind w:left="976" w:rightChars="50" w:right="120" w:hangingChars="305" w:hanging="976"/>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  (一)經抽查上揭物資捐贈案件之領受清冊，發現有部分領取者並非捐贈人所明示之中、低收入戶等社福補助對象或其他邊緣戶，而與捐贈人指定使用用途不符，而與上述法規不符。又部分捐贈物係由里長、里幹事或個人代為領取多份，但並無確實轉交之簽收文件或其他佐證資料可資證明。 </w:t>
            </w:r>
          </w:p>
          <w:p w:rsidR="00B33011" w:rsidRPr="00B33011" w:rsidRDefault="00B33011" w:rsidP="00B33011">
            <w:pPr>
              <w:spacing w:line="520" w:lineRule="exact"/>
              <w:ind w:left="976" w:rightChars="50" w:right="120" w:hangingChars="305" w:hanging="976"/>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  (二)另外，有某寺廟捐贈之白米120包，係全數轉送予公所轄下6處「社區發展協會」作為關懷據點老人共餐使用，亦不符該寺廟於公所開立之捐贈收據上已指定捐贈弱勢民眾之用途。</w:t>
            </w:r>
          </w:p>
          <w:p w:rsidR="00B33011" w:rsidRPr="00B33011" w:rsidRDefault="00B33011" w:rsidP="00B33011">
            <w:pPr>
              <w:numPr>
                <w:ilvl w:val="0"/>
                <w:numId w:val="2"/>
              </w:numPr>
              <w:spacing w:line="520" w:lineRule="exact"/>
              <w:ind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現存捐贈物資之數量與簽領清冊統計後剩餘數量差異甚多：</w:t>
            </w:r>
          </w:p>
          <w:p w:rsidR="00B33011" w:rsidRPr="00B33011" w:rsidRDefault="00B33011" w:rsidP="00B33011">
            <w:pPr>
              <w:spacing w:line="520" w:lineRule="exact"/>
              <w:ind w:leftChars="301" w:left="722"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審計處經抽查及清點其中2個慈善團體共計4次捐贈物資之發送資料及現存狀況；發現其捐贈物之剩餘數量與公所倉庫現存之數量差異甚多。對此，承辦人均無法提出書面資料及口頭方式說明該差異之原因，亦無法說明多發送之物資是否有妥適運用。</w:t>
            </w:r>
          </w:p>
          <w:p w:rsidR="00B33011" w:rsidRPr="00B33011" w:rsidRDefault="00B33011" w:rsidP="00B33011">
            <w:pPr>
              <w:numPr>
                <w:ilvl w:val="0"/>
                <w:numId w:val="2"/>
              </w:numPr>
              <w:spacing w:line="520" w:lineRule="exact"/>
              <w:ind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未定期清點捐贈物資存放狀況，部分物資逾一年仍未發放或有食品變質而丟棄：</w:t>
            </w:r>
          </w:p>
          <w:p w:rsidR="00B33011" w:rsidRPr="00B33011" w:rsidRDefault="00B33011" w:rsidP="00B33011">
            <w:pPr>
              <w:numPr>
                <w:ilvl w:val="0"/>
                <w:numId w:val="3"/>
              </w:numPr>
              <w:spacing w:line="520" w:lineRule="exact"/>
              <w:ind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lastRenderedPageBreak/>
              <w:t>經查核社會課就捐贈物資之存放管理資料發現，承辦單位並未辦理定期清點作業，因此承辦人及課長對於現存物資之品項及數量為何均不瞭解。此情為先前未如實建立物資捐贈及發放明細資料，且承辦人員異動交接不確實所致。</w:t>
            </w:r>
          </w:p>
          <w:p w:rsidR="00B33011" w:rsidRPr="00B33011" w:rsidRDefault="00B33011" w:rsidP="00B33011">
            <w:pPr>
              <w:numPr>
                <w:ilvl w:val="0"/>
                <w:numId w:val="3"/>
              </w:numPr>
              <w:spacing w:line="520" w:lineRule="exact"/>
              <w:ind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另外，部分捐贈之白米、泡麵及餅乾等食用物資，因存放空間不佳或未即時發放等因素，致食品過期或變質不能食用，而必須予以丟棄或充作廚餘回收等不當浪費情事發生。</w:t>
            </w:r>
          </w:p>
          <w:p w:rsidR="00B33011" w:rsidRPr="00B33011" w:rsidRDefault="00B33011" w:rsidP="00B33011">
            <w:pPr>
              <w:numPr>
                <w:ilvl w:val="0"/>
                <w:numId w:val="2"/>
              </w:numPr>
              <w:spacing w:line="520" w:lineRule="exact"/>
              <w:ind w:rightChars="50" w:right="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未定期辦理公開徵信及函報社會局備查：</w:t>
            </w:r>
          </w:p>
          <w:p w:rsidR="00B33011" w:rsidRPr="00B33011" w:rsidRDefault="00B33011" w:rsidP="00B33011">
            <w:pPr>
              <w:spacing w:line="520" w:lineRule="exact"/>
              <w:ind w:leftChars="10" w:left="808" w:rightChars="50" w:right="120" w:hangingChars="245" w:hanging="784"/>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 (一)依上述同條例規定，各級政府機關接受外界捐贈應定期辦理公開徵信，且應於年度終了後二個月內將辦理情形函報上級機關備查。經查該公所自000年00月起，僅有將現金捐贈辦理情形依規定每季公告於公所網站；至於物資捐贈辦理部分，則不僅未公告於網站，亦未簽陳首長知悉。 </w:t>
            </w:r>
          </w:p>
          <w:p w:rsidR="00B33011" w:rsidRPr="00B33011" w:rsidRDefault="00B33011" w:rsidP="00B33011">
            <w:pPr>
              <w:spacing w:line="520" w:lineRule="exact"/>
              <w:ind w:left="806" w:rightChars="50" w:right="120" w:hangingChars="252" w:hanging="806"/>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 (二)另外有關接受捐贈辦理情形應於每年度結束後函報上級機關社會局備查一事，經查自00年底後，該公所均未辦理。</w:t>
            </w:r>
          </w:p>
        </w:tc>
      </w:tr>
      <w:tr w:rsidR="00B33011" w:rsidRPr="00B33011" w:rsidTr="00B33011">
        <w:trPr>
          <w:trHeight w:val="1637"/>
          <w:jc w:val="center"/>
        </w:trPr>
        <w:tc>
          <w:tcPr>
            <w:tcW w:w="1016"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lastRenderedPageBreak/>
              <w:t>防治措施</w:t>
            </w:r>
          </w:p>
        </w:tc>
        <w:tc>
          <w:tcPr>
            <w:tcW w:w="7448" w:type="dxa"/>
            <w:vAlign w:val="center"/>
          </w:tcPr>
          <w:p w:rsidR="00B33011" w:rsidRPr="00B33011" w:rsidRDefault="00B33011" w:rsidP="00B33011">
            <w:pPr>
              <w:tabs>
                <w:tab w:val="center" w:pos="4153"/>
                <w:tab w:val="right" w:pos="8306"/>
              </w:tabs>
              <w:snapToGrid w:val="0"/>
              <w:spacing w:after="120"/>
              <w:ind w:left="634" w:hangingChars="198" w:hanging="634"/>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一、公務機關辦理外界捐贈物資業務之重要法令規定： </w:t>
            </w:r>
          </w:p>
          <w:p w:rsidR="00B33011" w:rsidRPr="00B33011" w:rsidRDefault="00B33011" w:rsidP="00B33011">
            <w:pPr>
              <w:tabs>
                <w:tab w:val="center" w:pos="4153"/>
                <w:tab w:val="right" w:pos="8306"/>
              </w:tabs>
              <w:snapToGrid w:val="0"/>
              <w:spacing w:after="120"/>
              <w:ind w:leftChars="266" w:left="638"/>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按「公益勸募條例」(以下稱同條例)第5條第2項規定：「各級政府機關 (構) 得基於公益目的接受所屬人員或外界主動捐贈，不得發起勸募。但遇重大災害或國際救援時，不在此限。」同條</w:t>
            </w:r>
            <w:r w:rsidRPr="00B33011">
              <w:rPr>
                <w:rFonts w:ascii="標楷體" w:eastAsia="標楷體" w:hAnsi="標楷體" w:cs="標楷體" w:hint="eastAsia"/>
                <w:color w:val="000000"/>
                <w:sz w:val="32"/>
                <w:szCs w:val="32"/>
              </w:rPr>
              <w:lastRenderedPageBreak/>
              <w:t>例第6條第1項規定：「各級政府機關 (構) 應依下列規定辦理前條第2項之勸募：一、開立收據。二、定期辦理公開徵信。三、依指定之用途使用。」；第2項規定：「前項政府機關 (構)有上級機關者，應於年度終了後二個月內，將辦理情形函報上級機關備查。」。</w:t>
            </w:r>
          </w:p>
          <w:p w:rsidR="00B33011" w:rsidRPr="00B33011" w:rsidRDefault="00B33011" w:rsidP="00B33011">
            <w:pPr>
              <w:tabs>
                <w:tab w:val="center" w:pos="4153"/>
                <w:tab w:val="right" w:pos="8306"/>
              </w:tabs>
              <w:snapToGrid w:val="0"/>
              <w:spacing w:after="120"/>
              <w:ind w:left="582" w:hangingChars="182" w:hanging="582"/>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二、機關受理民眾捐贈物資時，捐贈者應填寫「指定用途聲明書」，載明捐贈品名、單位、數量、時價及指定捐贈對象。承辦單位應覈實清點物資品項、數量，確認與聲明書內容是否相符；俟經機關首長簽核後，始得辦理發放作業。</w:t>
            </w:r>
          </w:p>
          <w:p w:rsidR="00B33011" w:rsidRPr="00B33011" w:rsidRDefault="00B33011" w:rsidP="00B33011">
            <w:pPr>
              <w:tabs>
                <w:tab w:val="center" w:pos="4153"/>
                <w:tab w:val="right" w:pos="8306"/>
              </w:tabs>
              <w:snapToGrid w:val="0"/>
              <w:spacing w:after="120"/>
              <w:ind w:left="582" w:hangingChars="182" w:hanging="582"/>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三、承辦單位應依「臺南市政府規費罰鍰暨歲入管理系統」製作「捐贈收據」交予捐贈者收執；其收據應載明捐贈品項、數量、時價及指定用途等資訊。</w:t>
            </w:r>
          </w:p>
          <w:p w:rsidR="00B33011" w:rsidRPr="00B33011" w:rsidRDefault="00B33011" w:rsidP="00B33011">
            <w:pPr>
              <w:tabs>
                <w:tab w:val="center" w:pos="4153"/>
                <w:tab w:val="right" w:pos="8306"/>
              </w:tabs>
              <w:snapToGrid w:val="0"/>
              <w:spacing w:after="120"/>
              <w:ind w:leftChars="-5" w:left="570" w:hangingChars="182" w:hanging="582"/>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四、承辦單位對於民眾所捐贈之物資，除建置捐贈物資收入資料外，並應在保存期限內依指定對象儘速辦理發放；且應製作印(簽)</w:t>
            </w:r>
            <w:r w:rsidRPr="00B33011">
              <w:rPr>
                <w:rFonts w:ascii="Times New Roman" w:eastAsia="新細明體" w:hAnsi="Times New Roman" w:cs="Times New Roman" w:hint="eastAsia"/>
                <w:sz w:val="20"/>
                <w:szCs w:val="20"/>
              </w:rPr>
              <w:t xml:space="preserve"> </w:t>
            </w:r>
            <w:r w:rsidRPr="00B33011">
              <w:rPr>
                <w:rFonts w:ascii="標楷體" w:eastAsia="標楷體" w:hAnsi="標楷體" w:cs="標楷體" w:hint="eastAsia"/>
                <w:color w:val="000000"/>
                <w:sz w:val="32"/>
                <w:szCs w:val="32"/>
              </w:rPr>
              <w:t>領清冊，由民眾於領取捐贈物資時簽章確認，據以製作支出明細資料，以確實控管收支盤存明細。</w:t>
            </w:r>
          </w:p>
          <w:p w:rsidR="00B33011" w:rsidRPr="00B33011" w:rsidRDefault="00B33011" w:rsidP="00B33011">
            <w:pPr>
              <w:tabs>
                <w:tab w:val="center" w:pos="4153"/>
                <w:tab w:val="right" w:pos="8306"/>
              </w:tabs>
              <w:snapToGrid w:val="0"/>
              <w:spacing w:after="120"/>
              <w:ind w:left="662" w:hangingChars="207" w:hanging="662"/>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五、經通知符合資格之民眾前來領取而未取領之剩餘捐贈物資，將由承辦單位逐一送至符合之列冊民眾家簽收，或委請本所里幹事親送至所轄符合之列冊民眾家並簽收。若再有剩餘物資者，亦將依捐贈者之意向，轉發予其他社會福利對象(弱勢戶或邊緣戶等)或社福機構。</w:t>
            </w:r>
          </w:p>
          <w:p w:rsidR="00B33011" w:rsidRPr="00B33011" w:rsidRDefault="00B33011" w:rsidP="00B33011">
            <w:pPr>
              <w:tabs>
                <w:tab w:val="center" w:pos="4153"/>
                <w:tab w:val="right" w:pos="8306"/>
              </w:tabs>
              <w:snapToGrid w:val="0"/>
              <w:spacing w:after="120"/>
              <w:ind w:left="582" w:hangingChars="182" w:hanging="582"/>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六、機關經盤點檢討辦公廳舍，明確劃定物資存放之庫房，並由專人妥善管理以確保物資安全性。且將定期及不定期抽查物資發放及盤存物資保存狀況，以避免食用物資過期浪費之情事發生。</w:t>
            </w:r>
          </w:p>
          <w:p w:rsidR="00B33011" w:rsidRPr="00B33011" w:rsidRDefault="00B33011" w:rsidP="00B33011">
            <w:pPr>
              <w:tabs>
                <w:tab w:val="center" w:pos="4153"/>
                <w:tab w:val="right" w:pos="8306"/>
              </w:tabs>
              <w:snapToGrid w:val="0"/>
              <w:spacing w:after="120"/>
              <w:ind w:left="582" w:hangingChars="182" w:hanging="582"/>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七、承辦單位應依規定按季於公所網站公開徵信，刊</w:t>
            </w:r>
            <w:r w:rsidRPr="00B33011">
              <w:rPr>
                <w:rFonts w:ascii="標楷體" w:eastAsia="標楷體" w:hAnsi="標楷體" w:cs="標楷體" w:hint="eastAsia"/>
                <w:color w:val="000000"/>
                <w:sz w:val="32"/>
                <w:szCs w:val="32"/>
              </w:rPr>
              <w:lastRenderedPageBreak/>
              <w:t>登捐贈人之基本資料及辦理情形。前項基本資料，包括捐贈者名稱或姓名、捐贈財物、捐贈年月及捐贈用途等，並將全年度捐贈資料簽經首長核可後函報市府社會局備查。</w:t>
            </w:r>
          </w:p>
        </w:tc>
      </w:tr>
    </w:tbl>
    <w:p w:rsidR="00B33011" w:rsidRDefault="00B33011" w:rsidP="00B33011">
      <w:pPr>
        <w:spacing w:line="480" w:lineRule="exact"/>
        <w:ind w:leftChars="-6" w:left="710" w:hangingChars="226" w:hanging="724"/>
        <w:rPr>
          <w:rFonts w:ascii="標楷體" w:eastAsia="標楷體" w:hAnsi="標楷體" w:cs="Times New Roman"/>
          <w:b/>
          <w:color w:val="000000"/>
          <w:sz w:val="32"/>
          <w:szCs w:val="32"/>
        </w:rPr>
      </w:pPr>
    </w:p>
    <w:p w:rsidR="006F28CD" w:rsidRDefault="00B33011" w:rsidP="00B33011">
      <w:pPr>
        <w:spacing w:line="480" w:lineRule="exact"/>
        <w:ind w:leftChars="-6" w:left="710" w:hangingChars="226" w:hanging="724"/>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二、</w:t>
      </w:r>
      <w:r w:rsidRPr="00B33011">
        <w:rPr>
          <w:rFonts w:ascii="標楷體" w:eastAsia="標楷體" w:hAnsi="標楷體" w:cs="Times New Roman" w:hint="eastAsia"/>
          <w:b/>
          <w:color w:val="000000"/>
          <w:sz w:val="32"/>
          <w:szCs w:val="32"/>
        </w:rPr>
        <w:t>某公所農業用地作農業使用認定及核發證明業務之承辦人，觸犯侵占公有財物罪。</w:t>
      </w:r>
    </w:p>
    <w:p w:rsidR="00B33011" w:rsidRDefault="00B33011" w:rsidP="00B33011">
      <w:pPr>
        <w:spacing w:line="480" w:lineRule="exact"/>
        <w:ind w:leftChars="-6" w:left="710" w:hangingChars="226" w:hanging="724"/>
        <w:rPr>
          <w:rFonts w:ascii="標楷體" w:eastAsia="標楷體" w:hAnsi="標楷體" w:cs="Times New Roman" w:hint="eastAsia"/>
          <w:b/>
          <w:color w:val="000000"/>
          <w:sz w:val="32"/>
          <w:szCs w:val="32"/>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7548"/>
      </w:tblGrid>
      <w:tr w:rsidR="00B33011" w:rsidRPr="00B33011" w:rsidTr="00B33011">
        <w:trPr>
          <w:trHeight w:val="1205"/>
          <w:jc w:val="center"/>
        </w:trPr>
        <w:tc>
          <w:tcPr>
            <w:tcW w:w="895"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類型</w:t>
            </w:r>
          </w:p>
        </w:tc>
        <w:tc>
          <w:tcPr>
            <w:tcW w:w="7669" w:type="dxa"/>
            <w:vAlign w:val="center"/>
          </w:tcPr>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某公所農業用地作農業使用認定及核發證明業務之承辦人，觸犯侵占公有財物罪</w:t>
            </w:r>
            <w:r w:rsidRPr="00B33011">
              <w:rPr>
                <w:rFonts w:ascii="新細明體" w:eastAsia="新細明體" w:hAnsi="新細明體" w:cs="標楷體" w:hint="eastAsia"/>
                <w:sz w:val="32"/>
                <w:szCs w:val="32"/>
              </w:rPr>
              <w:t>。</w:t>
            </w:r>
          </w:p>
        </w:tc>
      </w:tr>
      <w:tr w:rsidR="00B33011" w:rsidRPr="00B33011" w:rsidTr="00B33011">
        <w:trPr>
          <w:trHeight w:val="1205"/>
          <w:jc w:val="center"/>
        </w:trPr>
        <w:tc>
          <w:tcPr>
            <w:tcW w:w="895"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相關實務見解</w:t>
            </w:r>
          </w:p>
        </w:tc>
        <w:tc>
          <w:tcPr>
            <w:tcW w:w="7669" w:type="dxa"/>
            <w:vAlign w:val="center"/>
          </w:tcPr>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最高法院 98 年度台上字第 2564 號刑事判決</w:t>
            </w:r>
          </w:p>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臺灣高等法院 96 年度上訴字第 1394 號刑事判決</w:t>
            </w:r>
          </w:p>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公務員懲戒委員會 108 年度再字第 2134 號公懲判決</w:t>
            </w:r>
          </w:p>
          <w:p w:rsidR="00B33011" w:rsidRPr="00B33011" w:rsidRDefault="00B33011" w:rsidP="00B33011">
            <w:pPr>
              <w:tabs>
                <w:tab w:val="center" w:pos="4153"/>
                <w:tab w:val="right" w:pos="8306"/>
              </w:tabs>
              <w:snapToGrid w:val="0"/>
              <w:spacing w:after="120"/>
              <w:jc w:val="both"/>
              <w:rPr>
                <w:rFonts w:ascii="標楷體" w:eastAsia="標楷體" w:hAnsi="標楷體" w:cs="標楷體"/>
                <w:sz w:val="32"/>
                <w:szCs w:val="32"/>
              </w:rPr>
            </w:pPr>
            <w:r w:rsidRPr="00B33011">
              <w:rPr>
                <w:rFonts w:ascii="標楷體" w:eastAsia="標楷體" w:hAnsi="標楷體" w:cs="標楷體" w:hint="eastAsia"/>
                <w:sz w:val="32"/>
                <w:szCs w:val="32"/>
              </w:rPr>
              <w:t>臺灣臺南地方法院 107 年訴字第 37 號刑事判決</w:t>
            </w:r>
          </w:p>
        </w:tc>
      </w:tr>
      <w:tr w:rsidR="00B33011" w:rsidRPr="00B33011" w:rsidTr="00B33011">
        <w:trPr>
          <w:trHeight w:val="703"/>
          <w:jc w:val="center"/>
        </w:trPr>
        <w:tc>
          <w:tcPr>
            <w:tcW w:w="895"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案例說</w:t>
            </w:r>
          </w:p>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明</w:t>
            </w:r>
          </w:p>
        </w:tc>
        <w:tc>
          <w:tcPr>
            <w:tcW w:w="7669" w:type="dxa"/>
          </w:tcPr>
          <w:p w:rsidR="00B33011" w:rsidRPr="00B33011" w:rsidRDefault="00B33011" w:rsidP="00B33011">
            <w:pPr>
              <w:snapToGrid w:val="0"/>
              <w:spacing w:line="500" w:lineRule="exact"/>
              <w:jc w:val="both"/>
              <w:rPr>
                <w:rFonts w:ascii="標楷體" w:eastAsia="標楷體" w:hAnsi="標楷體" w:cs="Times New Roman"/>
                <w:sz w:val="32"/>
                <w:szCs w:val="32"/>
              </w:rPr>
            </w:pPr>
            <w:r w:rsidRPr="00B33011">
              <w:rPr>
                <w:rFonts w:ascii="標楷體" w:eastAsia="標楷體" w:hAnsi="標楷體" w:cs="Times New Roman" w:hint="eastAsia"/>
                <w:sz w:val="32"/>
                <w:szCs w:val="32"/>
              </w:rPr>
              <w:t>某公所同仁辦理「農業用地作農業使用證明」及「農業用地作農業設施容許使用審查」等業務，係依法令服務於地方自治團體所屬機關而具有法定職務權限之公務員。該同仁圖謀侵占其經手之規費收入款項，以變造收據及登入規費系統取號後銷號等方法，利用出納、會計單位及業務單位在相關申請業務中對規費收取入公庫與否，未有即時進行連線或上傳互相檢核之機會，侵占公有財物</w:t>
            </w:r>
            <w:r w:rsidRPr="00B33011">
              <w:rPr>
                <w:rFonts w:ascii="新細明體" w:eastAsia="新細明體" w:hAnsi="新細明體" w:cs="Times New Roman" w:hint="eastAsia"/>
                <w:sz w:val="32"/>
                <w:szCs w:val="32"/>
              </w:rPr>
              <w:t>。</w:t>
            </w:r>
          </w:p>
        </w:tc>
      </w:tr>
      <w:tr w:rsidR="00B33011" w:rsidRPr="00B33011" w:rsidTr="00B33011">
        <w:trPr>
          <w:trHeight w:val="1125"/>
          <w:jc w:val="center"/>
        </w:trPr>
        <w:tc>
          <w:tcPr>
            <w:tcW w:w="895"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風險評估</w:t>
            </w:r>
          </w:p>
        </w:tc>
        <w:tc>
          <w:tcPr>
            <w:tcW w:w="7669" w:type="dxa"/>
            <w:vAlign w:val="center"/>
          </w:tcPr>
          <w:p w:rsidR="00B33011" w:rsidRPr="00B33011" w:rsidRDefault="00B33011" w:rsidP="00B33011">
            <w:pPr>
              <w:numPr>
                <w:ilvl w:val="0"/>
                <w:numId w:val="5"/>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承辦人未依現行作業流程辦理規費收取與繳納：</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規費管理系統中查詢申請案無相對應之收費紀錄。</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lastRenderedPageBreak/>
              <w:t>已核發農業用地作農業使用證明書案件，承辦人卻未收取規費(查明後辦理補繳事宜)</w:t>
            </w:r>
            <w:r w:rsidRPr="00B33011">
              <w:rPr>
                <w:rFonts w:ascii="新細明體" w:eastAsia="新細明體" w:hAnsi="新細明體" w:cs="標楷體" w:hint="eastAsia"/>
                <w:color w:val="000000"/>
                <w:sz w:val="32"/>
                <w:szCs w:val="32"/>
              </w:rPr>
              <w:t>。</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規費解繳公庫時間已逾(收費日)5日。</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漏未核蓋收費章戳或章戳日期有誤，另收據上同時蓋有不同日期收費章戳。</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收件日或繳費日在實地勘查日期後。</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有規費繳納紀錄，但查無申請書。</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規費項目名稱(農業用地作農業使用證明審查費)誤植為其他規費項目名稱。</w:t>
            </w:r>
          </w:p>
          <w:p w:rsidR="00B33011" w:rsidRPr="00B33011" w:rsidRDefault="00B33011" w:rsidP="00B33011">
            <w:pPr>
              <w:numPr>
                <w:ilvl w:val="0"/>
                <w:numId w:val="6"/>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申請書原有多筆申請地號，但其中數筆遭劃線刪除，卻未有申請民眾之核章。</w:t>
            </w:r>
          </w:p>
          <w:p w:rsidR="00B33011" w:rsidRPr="00B33011" w:rsidRDefault="00B33011" w:rsidP="00B33011">
            <w:pPr>
              <w:numPr>
                <w:ilvl w:val="0"/>
                <w:numId w:val="5"/>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承辦人未依收費標準覈實收取規費</w:t>
            </w:r>
          </w:p>
          <w:p w:rsidR="00B33011" w:rsidRPr="00B33011" w:rsidRDefault="00B33011" w:rsidP="00B33011">
            <w:pPr>
              <w:numPr>
                <w:ilvl w:val="0"/>
                <w:numId w:val="7"/>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規費計算錯誤，超收或短收規費。</w:t>
            </w:r>
          </w:p>
          <w:p w:rsidR="00B33011" w:rsidRPr="00B33011" w:rsidRDefault="00B33011" w:rsidP="00B33011">
            <w:pPr>
              <w:numPr>
                <w:ilvl w:val="0"/>
                <w:numId w:val="7"/>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受理案件之收文取號日與民眾申請日不同，另有申請書日期誤植或未填寫情形，易衍生規費收取標準之爭議</w:t>
            </w:r>
            <w:r w:rsidRPr="00B33011">
              <w:rPr>
                <w:rFonts w:ascii="新細明體" w:eastAsia="新細明體" w:hAnsi="新細明體" w:cs="標楷體" w:hint="eastAsia"/>
                <w:color w:val="000000"/>
                <w:sz w:val="32"/>
                <w:szCs w:val="32"/>
              </w:rPr>
              <w:t>。</w:t>
            </w:r>
          </w:p>
          <w:p w:rsidR="00B33011" w:rsidRPr="00B33011" w:rsidRDefault="00B33011" w:rsidP="00B33011">
            <w:pPr>
              <w:numPr>
                <w:ilvl w:val="0"/>
                <w:numId w:val="5"/>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規費退還機制未臻完善</w:t>
            </w:r>
          </w:p>
          <w:p w:rsidR="00B33011" w:rsidRPr="00B33011" w:rsidRDefault="00B33011" w:rsidP="00B33011">
            <w:pPr>
              <w:spacing w:line="520" w:lineRule="exact"/>
              <w:ind w:leftChars="295" w:left="708"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申請人撤回申請，承辦人辦理收據作廢並簽收退款單後，並未即時返還該筆規費。</w:t>
            </w:r>
          </w:p>
          <w:p w:rsidR="00B33011" w:rsidRPr="00B33011" w:rsidRDefault="00B33011" w:rsidP="00B33011">
            <w:pPr>
              <w:numPr>
                <w:ilvl w:val="0"/>
                <w:numId w:val="5"/>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審查單位作業瑕疵</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申請文件不完備(申請書無同時檢附切結書及委託書、未見身分證影本、土地登記謄本及地籍圖謄本等、委託書空白、無系統繼承表等資料)。</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申請文件或勘查紀錄表內容所載資料有誤，未及時發現。</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lastRenderedPageBreak/>
              <w:t>共有分管文件與法規要件不符。</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審查表部分項目漏未審查或漏未註記。</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審查表綜合審查意見欄位勾選有誤。</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審查表內有審查人員未審查核章情形。</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勘查日期與實際拍照日不同。 </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現勘照片地號誤植。 </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委託書委託人與受託人誤植。 </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勘查紀錄表塗改後未核章。 </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 xml:space="preserve">有關駁回申請案件之勘查表內並未註記現場狀況及照片。 </w:t>
            </w:r>
          </w:p>
          <w:p w:rsidR="00B33011" w:rsidRPr="00B33011" w:rsidRDefault="00B33011" w:rsidP="00B33011">
            <w:pPr>
              <w:numPr>
                <w:ilvl w:val="0"/>
                <w:numId w:val="8"/>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未函請當事人進行補正作業，係於會勘時口頭告知申請人或其代理人，倘當事人未予補正，始函發駁回申請。</w:t>
            </w:r>
          </w:p>
          <w:p w:rsidR="00B33011" w:rsidRPr="00B33011" w:rsidRDefault="00B33011" w:rsidP="00B33011">
            <w:pPr>
              <w:numPr>
                <w:ilvl w:val="0"/>
                <w:numId w:val="5"/>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實地勘查認定作業瑕疵</w:t>
            </w:r>
          </w:p>
          <w:p w:rsidR="00B33011" w:rsidRPr="00B33011" w:rsidRDefault="00B33011" w:rsidP="00B33011">
            <w:pPr>
              <w:numPr>
                <w:ilvl w:val="0"/>
                <w:numId w:val="9"/>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發現民眾農地使用疑似與農業經營無關情事。</w:t>
            </w:r>
          </w:p>
          <w:p w:rsidR="00B33011" w:rsidRPr="00B33011" w:rsidRDefault="00B33011" w:rsidP="00B33011">
            <w:pPr>
              <w:numPr>
                <w:ilvl w:val="0"/>
                <w:numId w:val="9"/>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發現有停放車輛擺放工業物品、棧板及雜物等非農用之情形。</w:t>
            </w:r>
          </w:p>
          <w:p w:rsidR="00B33011" w:rsidRPr="00B33011" w:rsidRDefault="00B33011" w:rsidP="00B33011">
            <w:pPr>
              <w:numPr>
                <w:ilvl w:val="0"/>
                <w:numId w:val="9"/>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農地上有水泥蓄水池與水泥空地，會勘紀錄只記載資材室無固定基礎。</w:t>
            </w:r>
          </w:p>
          <w:p w:rsidR="00B33011" w:rsidRPr="00B33011" w:rsidRDefault="00B33011" w:rsidP="00B33011">
            <w:pPr>
              <w:numPr>
                <w:ilvl w:val="0"/>
                <w:numId w:val="9"/>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農地上有廢棄貨櫃屋，會勘記錄只記載休耕雜草。</w:t>
            </w:r>
          </w:p>
          <w:p w:rsidR="00B33011" w:rsidRPr="00B33011" w:rsidRDefault="00B33011" w:rsidP="00B33011">
            <w:pPr>
              <w:numPr>
                <w:ilvl w:val="0"/>
                <w:numId w:val="9"/>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農地上建有鴿舍，會勘記錄只記載果樹。</w:t>
            </w:r>
          </w:p>
          <w:p w:rsidR="00B33011" w:rsidRPr="00B33011" w:rsidRDefault="00B33011" w:rsidP="00B33011">
            <w:pPr>
              <w:numPr>
                <w:ilvl w:val="0"/>
                <w:numId w:val="9"/>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違規面積大於違規使用共有人之應有部分面積。</w:t>
            </w:r>
          </w:p>
          <w:p w:rsidR="00B33011" w:rsidRPr="00B33011" w:rsidRDefault="00B33011" w:rsidP="00B33011">
            <w:pPr>
              <w:numPr>
                <w:ilvl w:val="0"/>
                <w:numId w:val="5"/>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證明書核發程序瑕疵</w:t>
            </w:r>
          </w:p>
          <w:p w:rsidR="00B33011" w:rsidRPr="00B33011" w:rsidRDefault="00B33011" w:rsidP="00B33011">
            <w:pPr>
              <w:numPr>
                <w:ilvl w:val="0"/>
                <w:numId w:val="10"/>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lastRenderedPageBreak/>
              <w:t>核發農業用地作農業使用證明書審查表未經上級長官核可蓋章。</w:t>
            </w:r>
          </w:p>
          <w:p w:rsidR="00B33011" w:rsidRPr="00B33011" w:rsidRDefault="00B33011" w:rsidP="00B33011">
            <w:pPr>
              <w:numPr>
                <w:ilvl w:val="0"/>
                <w:numId w:val="10"/>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核發農業用地作農業使用證明書，准駁紀錄與證明書記載內容有間。</w:t>
            </w:r>
          </w:p>
          <w:p w:rsidR="00B33011" w:rsidRPr="00B33011" w:rsidRDefault="00B33011" w:rsidP="00B33011">
            <w:pPr>
              <w:numPr>
                <w:ilvl w:val="0"/>
                <w:numId w:val="10"/>
              </w:numPr>
              <w:spacing w:line="520" w:lineRule="exact"/>
              <w:ind w:rightChars="50" w:right="120"/>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核發農業用地作農業使用證明書、公文、收據有人名、地號誤繕情形。</w:t>
            </w:r>
          </w:p>
        </w:tc>
      </w:tr>
      <w:tr w:rsidR="00B33011" w:rsidRPr="00B33011" w:rsidTr="00B33011">
        <w:trPr>
          <w:trHeight w:val="843"/>
          <w:jc w:val="center"/>
        </w:trPr>
        <w:tc>
          <w:tcPr>
            <w:tcW w:w="895" w:type="dxa"/>
            <w:vAlign w:val="center"/>
          </w:tcPr>
          <w:p w:rsidR="00B33011" w:rsidRPr="00B33011" w:rsidRDefault="00B33011" w:rsidP="00B33011">
            <w:pPr>
              <w:tabs>
                <w:tab w:val="center" w:pos="4153"/>
                <w:tab w:val="right" w:pos="8306"/>
              </w:tabs>
              <w:snapToGrid w:val="0"/>
              <w:spacing w:after="120"/>
              <w:ind w:left="480"/>
              <w:jc w:val="center"/>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lastRenderedPageBreak/>
              <w:t>防治措施</w:t>
            </w:r>
          </w:p>
        </w:tc>
        <w:tc>
          <w:tcPr>
            <w:tcW w:w="7669" w:type="dxa"/>
            <w:vAlign w:val="center"/>
          </w:tcPr>
          <w:p w:rsidR="00B33011" w:rsidRPr="00B33011" w:rsidRDefault="00B33011" w:rsidP="00B33011">
            <w:pPr>
              <w:numPr>
                <w:ilvl w:val="0"/>
                <w:numId w:val="11"/>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設置農用證明審查文件自主檢核表，優化行政作業流程:</w:t>
            </w:r>
          </w:p>
          <w:p w:rsidR="00B33011" w:rsidRPr="00B33011" w:rsidRDefault="00B33011" w:rsidP="00B33011">
            <w:pPr>
              <w:tabs>
                <w:tab w:val="center" w:pos="4153"/>
                <w:tab w:val="right" w:pos="8306"/>
              </w:tabs>
              <w:snapToGrid w:val="0"/>
              <w:spacing w:after="120"/>
              <w:ind w:left="7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查農業用地作農業使用認定及核發證明辦法第 7條規定略以，申請核發農業用地作農業使用證明書時，應填具申請書並檢具最近一個月內核發之土地登記謄本及地籍圖謄本、申請人國民身分證影本或戶口名簿影本、如屬都市土地者，應另檢附都市計畫土地使用分區證明等資料；次查「農業用地作農業使用證明申請書」附註「八、土地所有權人亡故時，應檢附除籍證明及系統繼承表、所有繼承人身分證影本或戶籍謄本。」，以及附註「九、土地所有權人不克前往會勘指界時，須檢附會勘委託書」，惟書面抽查結果發現有未檢附委託書或系統繼承表等申請文件不完備情事，故建議設置農用證明審查文件自主檢核表，優化行政作業流程，輔助申請人於送件時利用核對，避免應附文件缺漏，並優化行政作業流程。</w:t>
            </w:r>
          </w:p>
          <w:p w:rsidR="00B33011" w:rsidRPr="00B33011" w:rsidRDefault="00B33011" w:rsidP="00B33011">
            <w:pPr>
              <w:numPr>
                <w:ilvl w:val="0"/>
                <w:numId w:val="11"/>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修正「農業用地作農業使用證明書申請作業流程」規費收取標準或增訂補繳流程說明︰</w:t>
            </w:r>
          </w:p>
          <w:p w:rsidR="00B33011" w:rsidRPr="00B33011" w:rsidRDefault="00B33011" w:rsidP="00B33011">
            <w:pPr>
              <w:numPr>
                <w:ilvl w:val="0"/>
                <w:numId w:val="12"/>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依本府農業局 109 年 7 月 6 日南市農務字第1090813658 號函轉行政院農業委員會修正「農業主管機關受理申請許可案件及核發證明文件收費標準」第四條第四款略以︰「…土地為單獨所有或公同共有者，依申請之土地筆數</w:t>
            </w:r>
            <w:r w:rsidRPr="00B33011">
              <w:rPr>
                <w:rFonts w:ascii="標楷體" w:eastAsia="標楷體" w:hAnsi="標楷體" w:cs="標楷體" w:hint="eastAsia"/>
                <w:color w:val="000000"/>
                <w:sz w:val="32"/>
                <w:szCs w:val="32"/>
              </w:rPr>
              <w:lastRenderedPageBreak/>
              <w:t>計收，第一筆收取新臺幣 500 元；每增加一筆加收新臺幣 300 元…。」。</w:t>
            </w:r>
          </w:p>
          <w:p w:rsidR="00B33011" w:rsidRPr="00B33011" w:rsidRDefault="00B33011" w:rsidP="00B33011">
            <w:pPr>
              <w:numPr>
                <w:ilvl w:val="0"/>
                <w:numId w:val="12"/>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經查收費方式自 109 年 7 月 6 日起已隨之調整為第二筆起每筆新臺幣 300 元;惟部分機關網站所列「農業用地作農業使用證明書申請作業流程」公告之收費標準仍為「…第二筆起每筆新臺幣 200元…」，與前揭中央訂定之收費標準不符，建議同步修正以避免爭議。另對於補繳情形尚無規範，可能讓民眾致生爭（疑）義，建議修(訂)定補繳規費流程或說明。</w:t>
            </w:r>
          </w:p>
          <w:p w:rsidR="00B33011" w:rsidRPr="00B33011" w:rsidRDefault="00B33011" w:rsidP="00B33011">
            <w:pPr>
              <w:numPr>
                <w:ilvl w:val="0"/>
                <w:numId w:val="11"/>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規費申請退還應建立標準作業程序，降低詐取、侵占規費風險:</w:t>
            </w:r>
          </w:p>
          <w:p w:rsidR="00B33011" w:rsidRPr="00B33011" w:rsidRDefault="00B33011" w:rsidP="00B33011">
            <w:pPr>
              <w:tabs>
                <w:tab w:val="center" w:pos="4153"/>
                <w:tab w:val="right" w:pos="8306"/>
              </w:tabs>
              <w:snapToGrid w:val="0"/>
              <w:spacing w:after="120"/>
              <w:ind w:left="7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規費申請退費，應制定標準作業程序及作業流程，遇有退還規費(現金)予民眾之個案時，可請民眾親至或偕同民眾至出納單位領取退款並辦理簽收作業，儘量減少由承辦人轉交之情事，避免遺忘或延宕返還時效，導致民怨或誤解，甚至可能衍生侵占退款之不法情事，日後亦難以掌握退款流向；藉由公開透明化的流程，避免作業疏失，並降低詐取、侵占規費風險。</w:t>
            </w:r>
          </w:p>
          <w:p w:rsidR="00B33011" w:rsidRPr="00B33011" w:rsidRDefault="00B33011" w:rsidP="00B33011">
            <w:pPr>
              <w:numPr>
                <w:ilvl w:val="0"/>
                <w:numId w:val="11"/>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職能分工，避免規費遭挪用、侵占、詐取等不法情事</w:t>
            </w:r>
          </w:p>
          <w:p w:rsidR="00B33011" w:rsidRPr="00B33011" w:rsidRDefault="00B33011" w:rsidP="00B33011">
            <w:pPr>
              <w:tabs>
                <w:tab w:val="center" w:pos="4153"/>
                <w:tab w:val="right" w:pos="8306"/>
              </w:tabs>
              <w:snapToGrid w:val="0"/>
              <w:spacing w:after="120"/>
              <w:ind w:left="7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現行部分公所承辦人受理申請案件後，於規費系統登打資料即可列印收據交予申請人，承辦人再持所收取之規費辦理解繳入庫，然因有時間落差，容易發生有心人士先行挪用之情，且查有承辦人受理撤回之申請案，辦理收據作廢並簽收退款(規費)後，並未即時將該筆規費返還民眾；故建議強化職能分工，降低違法情事發生機率。</w:t>
            </w:r>
          </w:p>
          <w:p w:rsidR="00B33011" w:rsidRPr="00B33011" w:rsidRDefault="00B33011" w:rsidP="00B33011">
            <w:pPr>
              <w:numPr>
                <w:ilvl w:val="0"/>
                <w:numId w:val="11"/>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多數註銷收據理由過於簡略，易生貪瀆不法事件發生風險</w:t>
            </w:r>
          </w:p>
          <w:p w:rsidR="00B33011" w:rsidRPr="00B33011" w:rsidRDefault="00B33011" w:rsidP="00B33011">
            <w:pPr>
              <w:tabs>
                <w:tab w:val="center" w:pos="4153"/>
                <w:tab w:val="right" w:pos="8306"/>
              </w:tabs>
              <w:snapToGrid w:val="0"/>
              <w:spacing w:after="120"/>
              <w:ind w:left="7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lastRenderedPageBreak/>
              <w:t>按「已使用擬作廢之收據，由保管單位或使用單位列表記錄起訖號碼，截角作廢，並妥慎保管備查，保管期限或銷毀作業應依前點規定辦理......」為出納管理手冊第 40 點所定，本次書面抽查結果發現，部分撤銷收據辦理情形，雖未違反前揭作業程序，惟註銷收據理由過於簡略，容有發生以複製、偽造或變造收據，經事後作廢或註銷收據等手法，而侵占或詐取規費之可能性，該項註銷收據作業之管理或監督機制似有不足，尚有生貪瀆不法事件發生之相當風險。</w:t>
            </w:r>
          </w:p>
          <w:p w:rsidR="00B33011" w:rsidRPr="00B33011" w:rsidRDefault="00B33011" w:rsidP="00B33011">
            <w:pPr>
              <w:numPr>
                <w:ilvl w:val="0"/>
                <w:numId w:val="11"/>
              </w:numPr>
              <w:snapToGrid w:val="0"/>
              <w:spacing w:after="1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申請人非所有權人時，建議應通知土地所有權人到場實地勘查</w:t>
            </w:r>
          </w:p>
          <w:p w:rsidR="00B33011" w:rsidRPr="00B33011" w:rsidRDefault="00B33011" w:rsidP="00B33011">
            <w:pPr>
              <w:tabs>
                <w:tab w:val="center" w:pos="4153"/>
                <w:tab w:val="right" w:pos="8306"/>
              </w:tabs>
              <w:snapToGrid w:val="0"/>
              <w:spacing w:after="120"/>
              <w:ind w:left="720"/>
              <w:jc w:val="both"/>
              <w:rPr>
                <w:rFonts w:ascii="標楷體" w:eastAsia="標楷體" w:hAnsi="標楷體" w:cs="標楷體"/>
                <w:color w:val="000000"/>
                <w:sz w:val="32"/>
                <w:szCs w:val="32"/>
              </w:rPr>
            </w:pPr>
            <w:r w:rsidRPr="00B33011">
              <w:rPr>
                <w:rFonts w:ascii="標楷體" w:eastAsia="標楷體" w:hAnsi="標楷體" w:cs="標楷體" w:hint="eastAsia"/>
                <w:color w:val="000000"/>
                <w:sz w:val="32"/>
                <w:szCs w:val="32"/>
              </w:rPr>
              <w:t>按農業用地作農業使用認定及核發證明辦法第 10條第 4 項規定︰「申請人非土地所有權人時，應通知土地所有權人到場。」，因申請人除土地所有權人外，其他權利人或代理人均得依規定申請，為免誤解，應踐行通知土地所有權人之程序，使其知悉並提供協助。</w:t>
            </w:r>
          </w:p>
        </w:tc>
      </w:tr>
    </w:tbl>
    <w:p w:rsidR="00B33011" w:rsidRPr="006F28CD" w:rsidRDefault="00B33011" w:rsidP="00B33011">
      <w:pPr>
        <w:spacing w:line="480" w:lineRule="exact"/>
        <w:ind w:leftChars="-6" w:left="710" w:hangingChars="226" w:hanging="724"/>
        <w:rPr>
          <w:rFonts w:ascii="標楷體" w:eastAsia="標楷體" w:hAnsi="標楷體" w:cs="Times New Roman" w:hint="eastAsia"/>
          <w:b/>
          <w:color w:val="000000"/>
          <w:sz w:val="32"/>
          <w:szCs w:val="32"/>
        </w:rPr>
      </w:pPr>
    </w:p>
    <w:sectPr w:rsidR="00B33011" w:rsidRPr="006F28C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2C" w:rsidRDefault="00DF1B2C" w:rsidP="00D864E8">
      <w:r>
        <w:separator/>
      </w:r>
    </w:p>
  </w:endnote>
  <w:endnote w:type="continuationSeparator" w:id="0">
    <w:p w:rsidR="00DF1B2C" w:rsidRDefault="00DF1B2C" w:rsidP="00D8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華康行楷體W5(P)">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57142"/>
      <w:docPartObj>
        <w:docPartGallery w:val="Page Numbers (Bottom of Page)"/>
        <w:docPartUnique/>
      </w:docPartObj>
    </w:sdtPr>
    <w:sdtContent>
      <w:p w:rsidR="00026725" w:rsidRDefault="00026725">
        <w:pPr>
          <w:pStyle w:val="a5"/>
          <w:jc w:val="center"/>
        </w:pPr>
        <w:r>
          <w:fldChar w:fldCharType="begin"/>
        </w:r>
        <w:r>
          <w:instrText>PAGE   \* MERGEFORMAT</w:instrText>
        </w:r>
        <w:r>
          <w:fldChar w:fldCharType="separate"/>
        </w:r>
        <w:r w:rsidR="00DC1DB9" w:rsidRPr="00DC1DB9">
          <w:rPr>
            <w:noProof/>
            <w:lang w:val="zh-TW"/>
          </w:rPr>
          <w:t>2</w:t>
        </w:r>
        <w:r>
          <w:fldChar w:fldCharType="end"/>
        </w:r>
      </w:p>
    </w:sdtContent>
  </w:sdt>
  <w:p w:rsidR="00026725" w:rsidRDefault="00026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2C" w:rsidRDefault="00DF1B2C" w:rsidP="00D864E8">
      <w:r>
        <w:separator/>
      </w:r>
    </w:p>
  </w:footnote>
  <w:footnote w:type="continuationSeparator" w:id="0">
    <w:p w:rsidR="00DF1B2C" w:rsidRDefault="00DF1B2C" w:rsidP="00D864E8">
      <w:r>
        <w:continuationSeparator/>
      </w:r>
    </w:p>
  </w:footnote>
  <w:footnote w:id="1">
    <w:p w:rsidR="00B61884" w:rsidRDefault="00B61884">
      <w:pPr>
        <w:pStyle w:val="a7"/>
        <w:rPr>
          <w:rFonts w:hint="eastAsia"/>
        </w:rPr>
      </w:pPr>
      <w:r>
        <w:rPr>
          <w:rStyle w:val="a9"/>
        </w:rPr>
        <w:footnoteRef/>
      </w:r>
      <w:r>
        <w:t xml:space="preserve"> </w:t>
      </w:r>
      <w:r w:rsidRPr="00B61884">
        <w:t>https://www.facebook.com/legal.taiwan/photos/a.896631250394420/2338383982885799/?type=3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43B"/>
    <w:multiLevelType w:val="hybridMultilevel"/>
    <w:tmpl w:val="E1AC22A4"/>
    <w:lvl w:ilvl="0" w:tplc="A79CB218">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 w15:restartNumberingAfterBreak="0">
    <w:nsid w:val="0CAA09D1"/>
    <w:multiLevelType w:val="hybridMultilevel"/>
    <w:tmpl w:val="CB66A756"/>
    <w:lvl w:ilvl="0" w:tplc="6DB67B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861ABB"/>
    <w:multiLevelType w:val="hybridMultilevel"/>
    <w:tmpl w:val="62469ADC"/>
    <w:lvl w:ilvl="0" w:tplc="48A0A57E">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15:restartNumberingAfterBreak="0">
    <w:nsid w:val="402D4393"/>
    <w:multiLevelType w:val="hybridMultilevel"/>
    <w:tmpl w:val="606EC9A6"/>
    <w:lvl w:ilvl="0" w:tplc="249A9A30">
      <w:start w:val="1"/>
      <w:numFmt w:val="ideographLegalTraditional"/>
      <w:lvlText w:val="%1、"/>
      <w:lvlJc w:val="left"/>
      <w:pPr>
        <w:ind w:left="2782" w:hanging="1080"/>
      </w:pPr>
      <w:rPr>
        <w:rFonts w:hint="default"/>
      </w:rPr>
    </w:lvl>
    <w:lvl w:ilvl="1" w:tplc="8166CE36">
      <w:start w:val="1"/>
      <w:numFmt w:val="taiwaneseCountingThousand"/>
      <w:lvlText w:val="%2、"/>
      <w:lvlJc w:val="left"/>
      <w:pPr>
        <w:ind w:left="5050" w:hanging="1080"/>
      </w:pPr>
      <w:rPr>
        <w:rFonts w:hint="default"/>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 w15:restartNumberingAfterBreak="0">
    <w:nsid w:val="41CA3314"/>
    <w:multiLevelType w:val="hybridMultilevel"/>
    <w:tmpl w:val="08C24CD8"/>
    <w:lvl w:ilvl="0" w:tplc="012C3DA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1922F1"/>
    <w:multiLevelType w:val="hybridMultilevel"/>
    <w:tmpl w:val="7A06C86C"/>
    <w:lvl w:ilvl="0" w:tplc="32DA3DC8">
      <w:start w:val="1"/>
      <w:numFmt w:val="taiwaneseCountingThousand"/>
      <w:lvlText w:val="(%1)"/>
      <w:lvlJc w:val="left"/>
      <w:pPr>
        <w:ind w:left="960" w:hanging="80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6" w15:restartNumberingAfterBreak="0">
    <w:nsid w:val="49335FC1"/>
    <w:multiLevelType w:val="hybridMultilevel"/>
    <w:tmpl w:val="4E00C9EE"/>
    <w:lvl w:ilvl="0" w:tplc="3EE65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2A1D3C"/>
    <w:multiLevelType w:val="hybridMultilevel"/>
    <w:tmpl w:val="447496F8"/>
    <w:lvl w:ilvl="0" w:tplc="FE940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EE0F28"/>
    <w:multiLevelType w:val="hybridMultilevel"/>
    <w:tmpl w:val="60DC759E"/>
    <w:lvl w:ilvl="0" w:tplc="0D84FADC">
      <w:start w:val="1"/>
      <w:numFmt w:val="taiwaneseCountingThousand"/>
      <w:lvlText w:val="(%1)"/>
      <w:lvlJc w:val="left"/>
      <w:pPr>
        <w:ind w:left="880" w:hanging="720"/>
      </w:pPr>
      <w:rPr>
        <w:rFonts w:hint="default"/>
      </w:rPr>
    </w:lvl>
    <w:lvl w:ilvl="1" w:tplc="C304ECA6">
      <w:start w:val="1"/>
      <w:numFmt w:val="taiwaneseCountingThousand"/>
      <w:lvlText w:val="%2、"/>
      <w:lvlJc w:val="left"/>
      <w:pPr>
        <w:ind w:left="1360" w:hanging="720"/>
      </w:pPr>
      <w:rPr>
        <w:rFonts w:hint="default"/>
      </w:r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9" w15:restartNumberingAfterBreak="0">
    <w:nsid w:val="60C52FE1"/>
    <w:multiLevelType w:val="hybridMultilevel"/>
    <w:tmpl w:val="E52C85D2"/>
    <w:lvl w:ilvl="0" w:tplc="41EA04C8">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0" w15:restartNumberingAfterBreak="0">
    <w:nsid w:val="78023716"/>
    <w:multiLevelType w:val="hybridMultilevel"/>
    <w:tmpl w:val="58BEF5B2"/>
    <w:lvl w:ilvl="0" w:tplc="E8CECB72">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15:restartNumberingAfterBreak="0">
    <w:nsid w:val="78034BE0"/>
    <w:multiLevelType w:val="hybridMultilevel"/>
    <w:tmpl w:val="F22E6A26"/>
    <w:lvl w:ilvl="0" w:tplc="F2AA0542">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num w:numId="1">
    <w:abstractNumId w:val="3"/>
  </w:num>
  <w:num w:numId="2">
    <w:abstractNumId w:val="1"/>
  </w:num>
  <w:num w:numId="3">
    <w:abstractNumId w:val="8"/>
  </w:num>
  <w:num w:numId="4">
    <w:abstractNumId w:val="4"/>
  </w:num>
  <w:num w:numId="5">
    <w:abstractNumId w:val="7"/>
  </w:num>
  <w:num w:numId="6">
    <w:abstractNumId w:val="0"/>
  </w:num>
  <w:num w:numId="7">
    <w:abstractNumId w:val="9"/>
  </w:num>
  <w:num w:numId="8">
    <w:abstractNumId w:val="5"/>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B2"/>
    <w:rsid w:val="00026725"/>
    <w:rsid w:val="000F1FAD"/>
    <w:rsid w:val="003930B2"/>
    <w:rsid w:val="006F28CD"/>
    <w:rsid w:val="006F2ED9"/>
    <w:rsid w:val="007F3DA1"/>
    <w:rsid w:val="00B33011"/>
    <w:rsid w:val="00B61884"/>
    <w:rsid w:val="00B86321"/>
    <w:rsid w:val="00CD2948"/>
    <w:rsid w:val="00D864E8"/>
    <w:rsid w:val="00DC1DB9"/>
    <w:rsid w:val="00DF1B2C"/>
    <w:rsid w:val="00E92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CD6F2"/>
  <w15:chartTrackingRefBased/>
  <w15:docId w15:val="{051AAF2C-ACB0-4EF8-AB5C-7884E3F9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4E8"/>
    <w:pPr>
      <w:tabs>
        <w:tab w:val="center" w:pos="4153"/>
        <w:tab w:val="right" w:pos="8306"/>
      </w:tabs>
      <w:snapToGrid w:val="0"/>
    </w:pPr>
    <w:rPr>
      <w:sz w:val="20"/>
      <w:szCs w:val="20"/>
    </w:rPr>
  </w:style>
  <w:style w:type="character" w:customStyle="1" w:styleId="a4">
    <w:name w:val="頁首 字元"/>
    <w:basedOn w:val="a0"/>
    <w:link w:val="a3"/>
    <w:uiPriority w:val="99"/>
    <w:rsid w:val="00D864E8"/>
    <w:rPr>
      <w:sz w:val="20"/>
      <w:szCs w:val="20"/>
    </w:rPr>
  </w:style>
  <w:style w:type="paragraph" w:styleId="a5">
    <w:name w:val="footer"/>
    <w:basedOn w:val="a"/>
    <w:link w:val="a6"/>
    <w:uiPriority w:val="99"/>
    <w:unhideWhenUsed/>
    <w:rsid w:val="00D864E8"/>
    <w:pPr>
      <w:tabs>
        <w:tab w:val="center" w:pos="4153"/>
        <w:tab w:val="right" w:pos="8306"/>
      </w:tabs>
      <w:snapToGrid w:val="0"/>
    </w:pPr>
    <w:rPr>
      <w:sz w:val="20"/>
      <w:szCs w:val="20"/>
    </w:rPr>
  </w:style>
  <w:style w:type="character" w:customStyle="1" w:styleId="a6">
    <w:name w:val="頁尾 字元"/>
    <w:basedOn w:val="a0"/>
    <w:link w:val="a5"/>
    <w:uiPriority w:val="99"/>
    <w:rsid w:val="00D864E8"/>
    <w:rPr>
      <w:sz w:val="20"/>
      <w:szCs w:val="20"/>
    </w:rPr>
  </w:style>
  <w:style w:type="paragraph" w:styleId="a7">
    <w:name w:val="footnote text"/>
    <w:basedOn w:val="a"/>
    <w:link w:val="a8"/>
    <w:uiPriority w:val="99"/>
    <w:semiHidden/>
    <w:unhideWhenUsed/>
    <w:rsid w:val="00B61884"/>
    <w:pPr>
      <w:snapToGrid w:val="0"/>
    </w:pPr>
    <w:rPr>
      <w:sz w:val="20"/>
      <w:szCs w:val="20"/>
    </w:rPr>
  </w:style>
  <w:style w:type="character" w:customStyle="1" w:styleId="a8">
    <w:name w:val="註腳文字 字元"/>
    <w:basedOn w:val="a0"/>
    <w:link w:val="a7"/>
    <w:uiPriority w:val="99"/>
    <w:semiHidden/>
    <w:rsid w:val="00B61884"/>
    <w:rPr>
      <w:sz w:val="20"/>
      <w:szCs w:val="20"/>
    </w:rPr>
  </w:style>
  <w:style w:type="character" w:styleId="a9">
    <w:name w:val="footnote reference"/>
    <w:basedOn w:val="a0"/>
    <w:uiPriority w:val="99"/>
    <w:semiHidden/>
    <w:unhideWhenUsed/>
    <w:rsid w:val="00B61884"/>
    <w:rPr>
      <w:vertAlign w:val="superscript"/>
    </w:rPr>
  </w:style>
  <w:style w:type="paragraph" w:styleId="aa">
    <w:name w:val="List Paragraph"/>
    <w:basedOn w:val="a"/>
    <w:uiPriority w:val="34"/>
    <w:qFormat/>
    <w:rsid w:val="006F28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36C4-B03A-4F37-9DD5-6252E2D8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陳淑桂</dc:creator>
  <cp:keywords/>
  <dc:description/>
  <cp:lastModifiedBy>陳淑桂</cp:lastModifiedBy>
  <cp:revision>2</cp:revision>
  <dcterms:created xsi:type="dcterms:W3CDTF">2022-09-26T05:46:00Z</dcterms:created>
  <dcterms:modified xsi:type="dcterms:W3CDTF">2022-09-26T05:46:00Z</dcterms:modified>
</cp:coreProperties>
</file>