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6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3059"/>
      </w:tblGrid>
      <w:tr w:rsidR="00BC2552" w:rsidRPr="00BC2552" w:rsidTr="00BC2552">
        <w:trPr>
          <w:trHeight w:val="585"/>
        </w:trPr>
        <w:tc>
          <w:tcPr>
            <w:tcW w:w="10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2552" w:rsidRPr="000E3315" w:rsidRDefault="00B63ACF" w:rsidP="00BC2552">
            <w:pPr>
              <w:widowControl/>
              <w:jc w:val="center"/>
              <w:rPr>
                <w:rFonts w:ascii="超研澤粗圓" w:eastAsia="超研澤粗圓" w:hAnsi="新細明體" w:cs="新細明體"/>
                <w:color w:val="000000"/>
                <w:kern w:val="0"/>
                <w:sz w:val="52"/>
                <w:szCs w:val="52"/>
              </w:rPr>
            </w:pPr>
            <w:r>
              <w:rPr>
                <w:b/>
              </w:rPr>
              <w:br w:type="page"/>
            </w:r>
            <w:bookmarkStart w:id="0" w:name="_GoBack"/>
            <w:bookmarkEnd w:id="0"/>
            <w:r w:rsidR="008421FA">
              <w:rPr>
                <w:rFonts w:ascii="細明體" w:eastAsia="細明體" w:hAnsi="細明體" w:cs="細明體" w:hint="eastAsia"/>
                <w:color w:val="000000"/>
                <w:kern w:val="0"/>
                <w:sz w:val="48"/>
                <w:szCs w:val="48"/>
              </w:rPr>
              <w:t xml:space="preserve"> </w:t>
            </w:r>
            <w:r w:rsidR="000E3315" w:rsidRPr="000E3315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資源垃圾分類表</w:t>
            </w:r>
          </w:p>
        </w:tc>
      </w:tr>
      <w:tr w:rsidR="00BC2552" w:rsidRPr="00BC2552" w:rsidTr="00A46D35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大類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分類方式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細分類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處理方式</w:t>
            </w:r>
          </w:p>
        </w:tc>
      </w:tr>
      <w:tr w:rsidR="00A46D35" w:rsidRPr="00BC2552" w:rsidTr="001356B6">
        <w:trPr>
          <w:trHeight w:val="11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6D35" w:rsidRDefault="00A46D35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廢紙類</w:t>
            </w:r>
          </w:p>
          <w:p w:rsidR="00A46D35" w:rsidRPr="00BC2552" w:rsidRDefault="00A46D35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(紙容器及鋁箔包及</w:t>
            </w:r>
            <w:proofErr w:type="gramStart"/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紙餐盒應屬紙</w:t>
            </w:r>
            <w:proofErr w:type="gramEnd"/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容器類)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6D35" w:rsidRPr="000904BE" w:rsidRDefault="00A46D35" w:rsidP="00BC255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6D35" w:rsidRPr="000904BE" w:rsidRDefault="00A46D35" w:rsidP="00DF225F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紙尿褲（片）、衛生紙（棉）、複寫紙、蠟紙、離型紙（貼紙底襯）、轉印紙、砂紙、塑膠光面紙或包裝紙、電子發票、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污的紙張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(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如包寵物之排泄物或沾油漆或其他油污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)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6D35" w:rsidRPr="008535A1" w:rsidRDefault="00A46D35" w:rsidP="00E832A6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打包後交環保局垃圾</w:t>
            </w:r>
            <w:r w:rsidRPr="008535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車清除。</w:t>
            </w:r>
          </w:p>
        </w:tc>
      </w:tr>
      <w:tr w:rsidR="00A46D35" w:rsidRPr="00BC2552" w:rsidTr="000A6064">
        <w:trPr>
          <w:trHeight w:val="41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35" w:rsidRPr="00BC2552" w:rsidRDefault="00A46D35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46D35" w:rsidRPr="000904BE" w:rsidRDefault="00A46D35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46D35" w:rsidRPr="001356B6" w:rsidRDefault="00A46D35" w:rsidP="001356B6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一般用紙：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雜誌、影印紙、傳真紙、包裝紙、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紙製容器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、便條紙、日曆、紙袋、再生紙、報紙、電腦報表紙、宣傳單、衛生紙滾筒、電話簿、月曆、紙箱、瓦楞紙、書籍、購物紙袋、信封、名片</w:t>
            </w:r>
            <w:r w:rsidR="001356B6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(</w:t>
            </w:r>
            <w:proofErr w:type="gramStart"/>
            <w:r w:rsidR="001356B6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無加膜之</w:t>
            </w:r>
            <w:proofErr w:type="gramEnd"/>
            <w:r w:rsidR="001356B6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單一材質)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、筆記本、其他純紙漿成品等。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46D35" w:rsidRPr="00363C59" w:rsidRDefault="00A46D35" w:rsidP="001356B6">
            <w:pPr>
              <w:pStyle w:val="a7"/>
              <w:widowControl/>
              <w:ind w:leftChars="0" w:left="36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回收前請先行除去塑膠封面、膠帶、線圈，釘書針等</w:t>
            </w:r>
            <w:proofErr w:type="gramStart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非屬紙類</w:t>
            </w:r>
            <w:proofErr w:type="gramEnd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物品後，</w:t>
            </w:r>
            <w:proofErr w:type="gramStart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請攤平</w:t>
            </w:r>
            <w:proofErr w:type="gramEnd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、打包後集中回收。</w:t>
            </w:r>
            <w:r w:rsidRPr="00A46D3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46D35" w:rsidRPr="00363C59" w:rsidRDefault="00A46D35" w:rsidP="00A46D35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6064" w:rsidRPr="00BC2552" w:rsidTr="000A6064">
        <w:trPr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A6064" w:rsidRPr="000904BE" w:rsidRDefault="000A6064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A6064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紙</w:t>
            </w:r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容器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6064" w:rsidRPr="000904BE" w:rsidRDefault="000A6064" w:rsidP="000A6064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6064" w:rsidRPr="000904BE" w:rsidRDefault="000A6064" w:rsidP="000A6064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紙容器及鋁箔包（具回收標誌）：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類）、人身清潔保養用品、動物清潔保養用品、精油及樹脂狀物質、香水、除臭劑、海水、鹽、清潔劑、</w:t>
            </w:r>
            <w:r w:rsidRPr="000A6064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酒精、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眼鏡清洗液、保養液、紙巾、濕巾、乾燥劑、除濕劑、電瓶液、潤滑油、潤滑劑、液壓油、著色料、顏料、染料、墨、蠟、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擦光劑、除垢劑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、抗震劑、防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劑、防凍劑、塗料（係指油漆、油漆溶劑、水泥漆、凡立水）、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土之紙類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容器。</w:t>
            </w:r>
          </w:p>
          <w:p w:rsidR="000A6064" w:rsidRPr="00A46D35" w:rsidRDefault="000A6064" w:rsidP="000A6064">
            <w:pPr>
              <w:pStyle w:val="a7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A46D35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紙餐具：</w:t>
            </w:r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紙杯、</w:t>
            </w:r>
            <w:proofErr w:type="gramStart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紙碗</w:t>
            </w:r>
            <w:proofErr w:type="gramEnd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、紙餐盤、</w:t>
            </w:r>
            <w:proofErr w:type="gramStart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紙餐盒</w:t>
            </w:r>
            <w:proofErr w:type="gramEnd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（含內盒）等。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0A6064" w:rsidRDefault="003B011B" w:rsidP="00A46D3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紙盒包或鋁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箔包要</w:t>
            </w:r>
            <w:r w:rsidR="000A6064"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壓扁後回收。</w:t>
            </w:r>
          </w:p>
          <w:p w:rsidR="000A6064" w:rsidRPr="00A46D35" w:rsidRDefault="000A6064" w:rsidP="00A46D3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46D3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紙餐具使用後，請將剩菜、剩飯倒入廚餘回收桶，再稍微擦拭或沖洗一下即可回收。</w:t>
            </w:r>
          </w:p>
        </w:tc>
      </w:tr>
      <w:tr w:rsidR="00BC2552" w:rsidRPr="00BC2552" w:rsidTr="000A6064">
        <w:trPr>
          <w:trHeight w:val="1575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廢鐵類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hideMark/>
          </w:tcPr>
          <w:p w:rsidR="00BC2552" w:rsidRPr="000904BE" w:rsidRDefault="00BC2552" w:rsidP="000904BE">
            <w:pPr>
              <w:pStyle w:val="a7"/>
              <w:widowControl/>
              <w:numPr>
                <w:ilvl w:val="0"/>
                <w:numId w:val="20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鐵容器（具回收標誌）：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lastRenderedPageBreak/>
              <w:t>臭劑、海水、鹽、清潔劑、酒精、眼鏡清洗液、保養液、紙巾、濕巾、乾燥劑、除濕劑、電瓶液、潤滑油、潤滑劑、液壓油、著色料、顏料、染料、墨、蠟、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擦光劑、除垢劑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、抗震劑、防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劑、防凍劑、塗料（係指油漆、油漆溶劑、水泥漆、凡立水）、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、塑鋼土、瓦斯、煤油、燈油、補充用打火機油</w:t>
            </w:r>
            <w:r w:rsidR="00A07F47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之鐵容器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  <w:p w:rsidR="00363C59" w:rsidRPr="000904BE" w:rsidRDefault="00363C59" w:rsidP="000904BE">
            <w:pPr>
              <w:pStyle w:val="a7"/>
              <w:widowControl/>
              <w:numPr>
                <w:ilvl w:val="0"/>
                <w:numId w:val="20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鐵製用品：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鐵窗、鐵板、鐵棍、鐵籠、鐵箱、鐵欄杆、鐵製鉛筆盒、鐵門、鐵架、鐵棒、鐵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鉤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、鐵桶、鐵條、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鐵鐘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、鐵器、鐵鍋、鐵櫃、鐵絲、圖釘、鐵釘、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鐵碗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、鐵塊、鐵鍊、鐵皮、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鐵杯、鐵盆、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鐵鎚頭、菜刀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刀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身、雨傘骨架、鐵製餅乾盒、鋼筋、氣體鋼瓶及他鐵製品等。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363C59" w:rsidRDefault="00BC2552" w:rsidP="000A6064">
            <w:pPr>
              <w:pStyle w:val="a7"/>
              <w:widowControl/>
              <w:numPr>
                <w:ilvl w:val="0"/>
                <w:numId w:val="58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請先倒空</w:t>
            </w:r>
            <w:proofErr w:type="gramEnd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容器內之殘餘物，用水略為沖洗後回收。</w:t>
            </w:r>
          </w:p>
          <w:p w:rsidR="00363C59" w:rsidRDefault="00363C59" w:rsidP="000A6064">
            <w:pPr>
              <w:pStyle w:val="a7"/>
              <w:widowControl/>
              <w:numPr>
                <w:ilvl w:val="0"/>
                <w:numId w:val="58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盛裝各類氣體鋼瓶、滅火器應交由原販賣業者逆向回收</w:t>
            </w:r>
            <w:r w:rsidR="008535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，並不在本局清潔隊回收範圍內</w:t>
            </w: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C2552" w:rsidRPr="00363C59" w:rsidRDefault="00363C59" w:rsidP="000A6064">
            <w:pPr>
              <w:pStyle w:val="a7"/>
              <w:widowControl/>
              <w:numPr>
                <w:ilvl w:val="0"/>
                <w:numId w:val="58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空瓦斯鋼瓶屬於壓力容器，且用後仍可能殘留瓦斯，故不在清潔隊回收範圍內，宜交由瓦斯行處理。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廢鋁類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hideMark/>
          </w:tcPr>
          <w:p w:rsidR="00BC2552" w:rsidRPr="000904BE" w:rsidRDefault="00BC2552" w:rsidP="000904BE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C00000"/>
                <w:kern w:val="0"/>
                <w:sz w:val="20"/>
                <w:szCs w:val="20"/>
              </w:rPr>
              <w:t>鋁容器（具回收標誌）：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海水、鹽、清潔劑、酒精、眼鏡清洗液、保養液、紙巾、濕巾、乾燥劑、除濕劑、電瓶液、潤滑油、潤滑劑、液壓油、著色料、顏料、染料、墨、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擦光劑、除垢劑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、抗震劑、防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劑、防凍劑、塗料（係指油漆、油漆溶劑、水泥漆、凡立水）、接著劑、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、塑鋼土、瓦斯、煤油、燈油、補充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用打火機油</w:t>
            </w:r>
            <w:r w:rsidR="00A07F47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之鋁容器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  <w:p w:rsidR="00363C59" w:rsidRPr="000904BE" w:rsidRDefault="00363C59" w:rsidP="000904BE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鋁製用品：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如鋁鍋、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鋁盆、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鋁門窗外框、鋁合金鋼圈等。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請先倒空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容器內之殘餘物，用水略為沖洗，壓扁後回收。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11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8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其他金屬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電器開關、保險絲、電話線、網路線等。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114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0904BE" w:rsidRDefault="00BC2552" w:rsidP="00DF225F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包覆銅線電線、不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鋼製品、金屬釘書機、金屬製菜籃、金屬剪刀、金屬湯匙、叉子、鑰匙、門鎖、金屬製衣架、銅製品、不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鋼瓦斯爐、鋼圈等。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254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廢塑膠類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DF225F" w:rsidRDefault="00BC2552" w:rsidP="003B011B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玻璃纖維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FRP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物品、汽機車坐墊、塑膠膜、化學纖維物品、汽機車置物箱、塑膠布、樹脂、安全座椅、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護貝膠膜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、腳踏墊、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保鮮膜（含包裝封膜）、墊子、</w:t>
            </w:r>
            <w:proofErr w:type="gramStart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塑膠製印台</w:t>
            </w:r>
            <w:proofErr w:type="gramEnd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、泡棉、旅行袋、膠帶</w:t>
            </w:r>
            <w:r w:rsidR="003B011B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、錄音帶、原子筆、錄影帶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、飼料袋、唱片、刷子、底片、板擦</w:t>
            </w:r>
            <w:r w:rsidR="003B011B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、塑膠玩具、塑膠鉛筆盒塑膠叉子、塑膠刀子、筷子、牙籤、牙線、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各項橡膠製物品（廢輪胎除外）、電話卡、筆、橡皮擦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="00DF225F"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安全帽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、鞋類</w:t>
            </w:r>
            <w:r w:rsidRP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</w:t>
            </w:r>
            <w:r w:rsidR="00DF225F" w:rsidRP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非單一材質之物品</w:t>
            </w:r>
            <w:r w:rsidRP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hideMark/>
          </w:tcPr>
          <w:p w:rsidR="00BC2552" w:rsidRPr="000904BE" w:rsidRDefault="00BC2552" w:rsidP="000904BE">
            <w:pPr>
              <w:pStyle w:val="a7"/>
              <w:widowControl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塑膠容器（具回收標誌）：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PET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（如礦泉水瓶）、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PVC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（如沙拉油瓶）、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PP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（如泡沫紅茶杯）、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PE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（如牛奶瓶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PS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（如養樂多瓶）等材質用來盛裝食品、動物食品、飼料、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lastRenderedPageBreak/>
              <w:t>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海水、鹽、清潔劑、酒精、眼鏡清洗液、保養液、紙巾、濕巾、乾燥劑、除濕劑、電瓶液、潤滑油、潤滑劑、液壓油、著色料、顏料、染料、墨、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擦光劑、除垢劑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、抗震劑、防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劑、防凍劑、塗料（係指油漆、油漆溶劑、水泥漆、凡立水）、接著劑、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、煤油、燈油、補充用打火機油</w:t>
            </w:r>
            <w:r w:rsidR="00A07F47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之塑膠容器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="00A07F47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單一材質之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雨衣、雨鞋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  <w:p w:rsidR="00363C59" w:rsidRPr="000904BE" w:rsidRDefault="00363C59" w:rsidP="000904BE">
            <w:pPr>
              <w:pStyle w:val="a7"/>
              <w:widowControl/>
              <w:numPr>
                <w:ilvl w:val="0"/>
                <w:numId w:val="25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一般塑膠類：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光碟片、塑膠盒、塑膠盆、塑膠桌椅、軟片盒、塑膠製資料夾、磁片盒、塑膠製餅乾盒、保鮮盒、塑膠臉盆、塑膠花盆、壓克力、塑膠（水）管、膠水瓶、塑膠菜籃、塑膠製衣架、塑膠洒水器、塑膠水桶、塑膠籃、塑膠水杯、塑膠繩、百葉窗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浴室用或活動式隔間用之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PVC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裝潢板等。</w:t>
            </w:r>
          </w:p>
          <w:p w:rsidR="000904BE" w:rsidRPr="000904BE" w:rsidRDefault="000904BE" w:rsidP="000904BE">
            <w:pPr>
              <w:pStyle w:val="a7"/>
              <w:widowControl/>
              <w:numPr>
                <w:ilvl w:val="0"/>
                <w:numId w:val="25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塑膠類免洗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餐具：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裝填食物之塑膠材質（含保麗龍）餐盤、便當盒、杯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碗盤碟盒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、泡麵碗、生鮮超市之托盤等。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保麗龍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建築工程之施工用保麗龍及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污破碎的保麗龍等。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11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DF225F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乾淨無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髒汙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之保麗龍，</w:t>
            </w:r>
            <w:proofErr w:type="gramStart"/>
            <w:r w:rsidR="00BC2552"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含漁貨箱</w:t>
            </w:r>
            <w:proofErr w:type="gramEnd"/>
            <w:r w:rsidR="00BC2552"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proofErr w:type="gramStart"/>
            <w:r w:rsidR="00BC2552"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冰品盒</w:t>
            </w:r>
            <w:proofErr w:type="gramEnd"/>
            <w:r w:rsidR="00BC2552"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、蛋糕盒、電子電器包裝用及箱子充填物等。</w:t>
            </w:r>
            <w:r w:rsidR="00BC2552"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E832A6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請去除膠帶、木材、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鐵釘及非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保麗龍之包裝材，</w:t>
            </w:r>
            <w:r w:rsidR="00A07F4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交由環保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</w:t>
            </w:r>
            <w:r w:rsidR="008535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回收車回收。</w:t>
            </w:r>
          </w:p>
        </w:tc>
      </w:tr>
      <w:tr w:rsidR="00BC2552" w:rsidRPr="00BC2552" w:rsidTr="00A46D35">
        <w:trPr>
          <w:trHeight w:val="8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 xml:space="preserve">廢塑膠袋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茶包、餅乾袋及零食袋等內層有錫箔或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鋁箔等複合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性材質的塑膠袋。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DF225F" w:rsidP="00A07F47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乾淨</w:t>
            </w:r>
            <w:r w:rsid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塑膠袋</w:t>
            </w:r>
            <w:r w:rsid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D47AC0" w:rsidRDefault="00A07F47">
            <w:pPr>
              <w:pStyle w:val="a7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將塑膠袋的內容物及水分倒乾淨，並且</w:t>
            </w:r>
            <w:r w:rsid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集結成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r w:rsid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整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交由環保局資源回收車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回收。</w:t>
            </w:r>
            <w:r w:rsidR="00BC2552"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2552" w:rsidRPr="00BC2552" w:rsidTr="00A46D35">
        <w:trPr>
          <w:trHeight w:val="69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廢玻璃類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強化（安全）玻璃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、隔熱玻璃、汽車擋風玻璃、防火玻璃、衛浴設備、玻璃墊、燈具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0904BE">
            <w:pPr>
              <w:pStyle w:val="a7"/>
              <w:widowControl/>
              <w:numPr>
                <w:ilvl w:val="0"/>
                <w:numId w:val="31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玻璃容器（具回收標誌）：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類）、人身清潔保養用品、動物清潔保養用品、精油及樹脂狀物質、香水、除臭劑、海水、鹽、清潔劑、酒精、眼鏡清洗液、保養液、紙巾、濕巾、乾燥劑、除濕劑、電瓶液、潤滑油、潤滑劑、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lastRenderedPageBreak/>
              <w:t>液壓油、著色料、顏料、染料、墨、蠟、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擦光劑、除垢劑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、抗震劑、防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劑、防凍劑、塗料（係指油漆、油漆溶劑、水泥漆、凡立水）、</w:t>
            </w:r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 w:rsid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、塑鋼土、瓦斯、煤油、燈油、補充用打火機油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</w:t>
            </w:r>
            <w:r w:rsidR="00B46304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之玻璃容器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  <w:p w:rsidR="00363C59" w:rsidRPr="000904BE" w:rsidRDefault="00363C59" w:rsidP="000904BE">
            <w:pPr>
              <w:pStyle w:val="a7"/>
              <w:widowControl/>
              <w:numPr>
                <w:ilvl w:val="0"/>
                <w:numId w:val="31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玻璃製品：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玻璃盤、玻璃杯、玻璃碗、玻璃燭臺等。</w:t>
            </w:r>
          </w:p>
          <w:p w:rsidR="00363C59" w:rsidRPr="000904BE" w:rsidRDefault="00363C59" w:rsidP="000904BE">
            <w:pPr>
              <w:pStyle w:val="a7"/>
              <w:widowControl/>
              <w:numPr>
                <w:ilvl w:val="0"/>
                <w:numId w:val="31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平面玻璃：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門窗玻璃、鏡子、魚缸</w:t>
            </w:r>
            <w:r w:rsidR="000A6064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(非強化玻璃製)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3B011B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去除瓶蓋並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倒空容器內之殘餘物，用水略為沖洗後回收。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29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lastRenderedPageBreak/>
              <w:t>廢輪胎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特種車輛使用之實心輪胎、飛機胎、內胎等。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63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廢汽車、廢機車及廢腳踏車之外胎。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可由輪胎行、汽機踏車行、保修廠逆向回收或交由資源回收車回收。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2552" w:rsidRPr="00BC2552" w:rsidTr="00A46D35">
        <w:trPr>
          <w:trHeight w:val="11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廢家電類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DD7DED" w:rsidRDefault="00BC2552" w:rsidP="00DD7DED">
            <w:pPr>
              <w:pStyle w:val="a7"/>
              <w:widowControl/>
              <w:numPr>
                <w:ilvl w:val="0"/>
                <w:numId w:val="34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大型家電：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電視機、電冰箱、洗衣機、冷暖氣機、影印機、音響、抽油煙機等 。</w:t>
            </w:r>
          </w:p>
          <w:p w:rsidR="00363C59" w:rsidRPr="00DD7DED" w:rsidRDefault="00363C59" w:rsidP="00DD7DED">
            <w:pPr>
              <w:pStyle w:val="a7"/>
              <w:widowControl/>
              <w:numPr>
                <w:ilvl w:val="0"/>
                <w:numId w:val="34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DD7DED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小型家電：</w:t>
            </w: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行動電話、呼叫器、電熱水瓶、電磁爐、脫水機、電鍋、飲水機、微波爐、烘乾機、吹風機、烤箱、電風扇、電暖爐、烘碗機、咖啡機、收錄音機、傳真機、影音光碟機、錄放影機等。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97836" w:rsidRPr="005B0E94" w:rsidRDefault="00B97836" w:rsidP="00B97836">
            <w:pPr>
              <w:pStyle w:val="a7"/>
              <w:widowControl/>
              <w:numPr>
                <w:ilvl w:val="0"/>
                <w:numId w:val="5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大型家電可交由經銷商逆向回收或請先</w:t>
            </w:r>
            <w:proofErr w:type="gramStart"/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電洽本局</w:t>
            </w:r>
            <w:proofErr w:type="gramEnd"/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清潔隊各區隊約定收運時間。</w:t>
            </w:r>
          </w:p>
          <w:p w:rsidR="00B97836" w:rsidRDefault="00B97836" w:rsidP="00B97836">
            <w:pPr>
              <w:pStyle w:val="a7"/>
              <w:widowControl/>
              <w:numPr>
                <w:ilvl w:val="0"/>
                <w:numId w:val="5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小型</w:t>
            </w:r>
            <w:proofErr w:type="gramStart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家電請交由</w:t>
            </w:r>
            <w:proofErr w:type="gramEnd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資源回收車回收。</w:t>
            </w:r>
          </w:p>
          <w:p w:rsidR="00B97836" w:rsidRDefault="00B97836" w:rsidP="00B97836">
            <w:pPr>
              <w:pStyle w:val="a7"/>
              <w:widowControl/>
              <w:numPr>
                <w:ilvl w:val="0"/>
                <w:numId w:val="5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如外觀良好且未喪失原功能，可利用跳蚤市場交流。</w:t>
            </w:r>
          </w:p>
          <w:p w:rsidR="00B97836" w:rsidRPr="000A6064" w:rsidRDefault="00B97836" w:rsidP="00B97836">
            <w:pPr>
              <w:pStyle w:val="a7"/>
              <w:widowControl/>
              <w:numPr>
                <w:ilvl w:val="0"/>
                <w:numId w:val="5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A60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消費者可於購買新四機(電視機、電冰箱、洗衣機、冷暖氣機)時，由販賣業者不論廠牌，一台換一台之方式逆向回收。</w:t>
            </w:r>
          </w:p>
          <w:p w:rsidR="00DB22DC" w:rsidRPr="00B97836" w:rsidRDefault="00DB22DC" w:rsidP="00B97836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  <w:u w:val="single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8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3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廢資訊物品類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電腦磁片、電腦零件、滑鼠、讀卡機及滑鼠墊等。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2552" w:rsidRPr="00BC2552" w:rsidTr="00A46D35">
        <w:trPr>
          <w:trHeight w:val="16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筆記型電腦、監視器（螢幕）、個人電腦（含主機板）、硬式磁碟機、電源供應器、機殼及印表機、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不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斷電系統主機、影印機、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墨水匣或碳粉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夾、鍵盤等。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Default="00BC2552" w:rsidP="003F3B5D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可交</w:t>
            </w:r>
            <w:r w:rsidR="00DD7DE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</w:t>
            </w:r>
            <w:proofErr w:type="gramEnd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資源回收車回收或送至資訊商品販賣業者處逆向回收。</w:t>
            </w:r>
          </w:p>
          <w:p w:rsidR="003F3B5D" w:rsidRPr="003F3B5D" w:rsidRDefault="003F3B5D" w:rsidP="003F3B5D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影印機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</w:t>
            </w:r>
            <w:r w:rsid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使用完畢之</w:t>
            </w:r>
            <w:proofErr w:type="gramStart"/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碳粉夾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則由</w:t>
            </w:r>
            <w:proofErr w:type="gramEnd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生產或經銷廠商逆向回收為主。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5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光碟片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包括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CD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VCD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DVD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，不含外殼</w:t>
            </w:r>
            <w:r w:rsidR="000904BE"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3F3B5D" w:rsidRDefault="00BC2552" w:rsidP="003F3B5D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卸除外包裝(</w:t>
            </w:r>
            <w:proofErr w:type="gramStart"/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如棉套</w:t>
            </w:r>
            <w:proofErr w:type="gramEnd"/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或塑膠盒)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後裝成一袋交付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環保局資源回收車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回收。</w:t>
            </w:r>
            <w:r w:rsidRPr="003F3B5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F3B5D" w:rsidRPr="003F3B5D" w:rsidRDefault="003F3B5D" w:rsidP="003F3B5D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外殼若為塑膠材質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另行回收。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5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行動電話及其充電器與電池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(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包括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座充及旅充</w:t>
            </w:r>
            <w:proofErr w:type="gramEnd"/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)</w:t>
            </w:r>
            <w:r w:rsid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Default="00BC2552" w:rsidP="003F3B5D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請先行將電池卸除，並拔除記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憶卡與</w:t>
            </w:r>
            <w:r w:rsidRPr="003F3B5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SIM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卡。</w:t>
            </w:r>
          </w:p>
          <w:p w:rsidR="003F3B5D" w:rsidRPr="003F3B5D" w:rsidRDefault="003F3B5D" w:rsidP="00DD7DED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請交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環保局</w:t>
            </w:r>
            <w:proofErr w:type="gramEnd"/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資源回收車。</w:t>
            </w:r>
          </w:p>
        </w:tc>
      </w:tr>
      <w:tr w:rsidR="00BC2552" w:rsidRPr="00BC2552" w:rsidTr="00A46D35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110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lastRenderedPageBreak/>
              <w:t>舊衣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枕頭、棉被、碎布料、襪子、鞋類、毛線、皮帶、腰帶、地毯、抹布、窗簾、皮包、手套、坐墊、踏墊、桌布、圍裙、絨毛玩具、布偶、毛巾、浴巾、布袋、布條、床單、內衣褲等。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BC2552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衣褲類：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上衣、褲子、裙子、洋裝、外套、西裝等。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0904BE" w:rsidRPr="000904BE" w:rsidRDefault="00BC2552" w:rsidP="000904BE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以可穿著為主，貼身衣物因衛生考量，無須回收。</w:t>
            </w:r>
          </w:p>
          <w:p w:rsidR="000904BE" w:rsidRPr="000904BE" w:rsidRDefault="000904BE" w:rsidP="000904BE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回收前請先清洗</w:t>
            </w:r>
            <w:proofErr w:type="gramStart"/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乾淨勿弄溼</w:t>
            </w:r>
            <w:proofErr w:type="gramEnd"/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，並打包後請於資源回收日時交由本局資源回收車回收。</w:t>
            </w:r>
          </w:p>
          <w:p w:rsidR="00BC2552" w:rsidRPr="000904BE" w:rsidRDefault="000904BE" w:rsidP="000904BE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投入貼有許可字號之舊衣回收箱。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4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552" w:rsidRPr="00BC2552" w:rsidTr="00A46D35">
        <w:trPr>
          <w:trHeight w:val="15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廢電乾池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水銀電池、鹼性電池、鋰電池、鎳鎘電池、鎳氫電池、充電電池、鈕扣型電池等（型式包括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1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2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3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4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號）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DD7DED" w:rsidP="009E035D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請自物品取出後，交由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局資源回收車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回收或交由連鎖超商、生鮮超市、量販店、通訊器材行、攝影器材行</w:t>
            </w:r>
            <w:r w:rsidR="00363C59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…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</w:t>
            </w:r>
            <w:proofErr w:type="gramStart"/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販賣業處逆向</w:t>
            </w:r>
            <w:proofErr w:type="gramEnd"/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回收。</w:t>
            </w:r>
            <w:r w:rsidR="00BC2552"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2552" w:rsidRPr="00BC2552" w:rsidTr="00A46D35">
        <w:trPr>
          <w:trHeight w:val="5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廢鉛蓄電池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汽、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機車之鉛蓄電池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可交由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局資源回收車回收或交由汽機車行或保修廠逆向回收。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2552" w:rsidRPr="00BC2552" w:rsidTr="00A46D35">
        <w:trPr>
          <w:trHeight w:val="1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廢農藥容器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DD7DED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環境衛生用藥（含一般環境用藥及特殊環境用藥）、農藥、肥料之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金屬製容器、塑膠製容器、玻璃製容器</w:t>
            </w: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或外包裝盒等。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請至少反覆清洗三次，並將清洗液重複噴灑利用，清除內容物後並打包成一袋，送交本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巿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農會所設置之回收點或交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局資源回收車回收。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2552" w:rsidRPr="00BC2552" w:rsidTr="00A46D35">
        <w:trPr>
          <w:trHeight w:val="5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2552" w:rsidRPr="00BC2552" w:rsidRDefault="00BC2552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廢日光燈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燈帽直徑</w:t>
            </w:r>
            <w:proofErr w:type="gramEnd"/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2.6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公分以下的電燈泡。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2552" w:rsidRPr="00BC2552" w:rsidTr="00A46D35">
        <w:trPr>
          <w:trHeight w:val="11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直管日光燈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環管日光燈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、安定器內藏式螢光燈泡、緊密型螢光燈管、白熾燈泡、高強度照明燈管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904BE" w:rsidRDefault="00DB22DC" w:rsidP="000904BE">
            <w:pPr>
              <w:pStyle w:val="a7"/>
              <w:widowControl/>
              <w:numPr>
                <w:ilvl w:val="0"/>
                <w:numId w:val="1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="00DD7DE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先用紙套裝好，避免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打破，交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</w:t>
            </w:r>
            <w:r w:rsidR="008535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</w:t>
            </w:r>
            <w:r w:rsidR="00BC2552"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資源回收車或照明光源販賣業者處回收。</w:t>
            </w:r>
          </w:p>
          <w:p w:rsidR="00BC2552" w:rsidRPr="000904BE" w:rsidRDefault="000904BE" w:rsidP="000904BE">
            <w:pPr>
              <w:pStyle w:val="a7"/>
              <w:widowControl/>
              <w:numPr>
                <w:ilvl w:val="0"/>
                <w:numId w:val="1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如不小心破損，請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以堅固容器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妥善包裝，並註明內容物。</w:t>
            </w:r>
          </w:p>
        </w:tc>
      </w:tr>
      <w:tr w:rsidR="00BC2552" w:rsidRPr="00BC2552" w:rsidTr="00A46D35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0904BE" w:rsidRDefault="00BC2552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2552" w:rsidRPr="00BC2552" w:rsidRDefault="00BC2552" w:rsidP="00BC255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D7DED" w:rsidRPr="009E035D" w:rsidTr="00A46D35">
        <w:trPr>
          <w:trHeight w:val="5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DD7DED" w:rsidRPr="00BC2552" w:rsidRDefault="00DD7DED" w:rsidP="00BC2552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水銀體溫計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7DED" w:rsidRPr="000904BE" w:rsidRDefault="00DD7DED" w:rsidP="00BC2552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7DED" w:rsidRPr="000904BE" w:rsidRDefault="00DD7DED" w:rsidP="008421FA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測量人體溫度所使用的水銀體溫計，不含實驗室用的。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7DED" w:rsidRPr="00DD7DED" w:rsidRDefault="00DD7DED" w:rsidP="005B090D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請使用原包裝盒打包後，交付</w:t>
            </w:r>
            <w:r w:rsidR="00DB22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環保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局資源回收車隨車人員。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D7DED" w:rsidRPr="000904BE" w:rsidRDefault="00DD7DED" w:rsidP="005B090D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如不小心破損，請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以堅固容器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妥善包裝，並註明內容物。</w:t>
            </w:r>
          </w:p>
        </w:tc>
      </w:tr>
      <w:tr w:rsidR="009E035D" w:rsidRPr="009E035D" w:rsidTr="00A46D35">
        <w:trPr>
          <w:trHeight w:val="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9E035D" w:rsidRPr="00BC2552" w:rsidRDefault="009E035D" w:rsidP="00224331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lastRenderedPageBreak/>
              <w:t>其他類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5D" w:rsidRPr="000904BE" w:rsidRDefault="009E035D" w:rsidP="00224331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5D" w:rsidRPr="000904BE" w:rsidRDefault="000A6064" w:rsidP="00224331">
            <w:pPr>
              <w:pStyle w:val="a7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廢機動車輛（含汽機車）</w:t>
            </w:r>
            <w:r w:rsidR="009E035D"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、堪用家具、彈簧床墊等。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5D" w:rsidRPr="009E035D" w:rsidRDefault="000A6064" w:rsidP="009E035D">
            <w:pPr>
              <w:pStyle w:val="a7"/>
              <w:widowControl/>
              <w:numPr>
                <w:ilvl w:val="0"/>
                <w:numId w:val="53"/>
              </w:numPr>
              <w:ind w:leftChars="0" w:left="397" w:hanging="397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堪用家具及彈簧床墊可通知本局各區清潔隊協助</w:t>
            </w:r>
            <w:r w:rsidR="009E035D" w:rsidRP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97836" w:rsidRPr="000A6064" w:rsidRDefault="009E035D" w:rsidP="000A6064">
            <w:pPr>
              <w:pStyle w:val="a7"/>
              <w:widowControl/>
              <w:numPr>
                <w:ilvl w:val="0"/>
                <w:numId w:val="53"/>
              </w:numPr>
              <w:ind w:leftChars="0" w:left="397" w:hanging="397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潤滑油應交由機車行、汽車維修廠及加油站等所設置之廢潤滑油回收站進行回收。</w:t>
            </w:r>
          </w:p>
        </w:tc>
      </w:tr>
    </w:tbl>
    <w:p w:rsidR="004D125B" w:rsidRDefault="004D125B" w:rsidP="004D125B">
      <w:r>
        <w:rPr>
          <w:rFonts w:hint="eastAsia"/>
        </w:rPr>
        <w:t>備註：</w:t>
      </w:r>
    </w:p>
    <w:p w:rsidR="004D125B" w:rsidRDefault="004D125B" w:rsidP="003D0703">
      <w:pPr>
        <w:pStyle w:val="a7"/>
        <w:numPr>
          <w:ilvl w:val="0"/>
          <w:numId w:val="51"/>
        </w:numPr>
        <w:ind w:leftChars="0"/>
      </w:pPr>
      <w:r>
        <w:rPr>
          <w:rFonts w:hint="eastAsia"/>
        </w:rPr>
        <w:t>上述各類資源垃圾，如為機關、學校、社區</w:t>
      </w:r>
      <w:r w:rsidR="003D0703">
        <w:rPr>
          <w:rFonts w:hint="eastAsia"/>
        </w:rPr>
        <w:t>、</w:t>
      </w:r>
      <w:r>
        <w:rPr>
          <w:rFonts w:hint="eastAsia"/>
        </w:rPr>
        <w:t>大樓等自行交由資源回收業者分類回收，可依需求增加分類項目。</w:t>
      </w:r>
      <w:r>
        <w:rPr>
          <w:rFonts w:hint="eastAsia"/>
        </w:rPr>
        <w:t xml:space="preserve"> </w:t>
      </w:r>
    </w:p>
    <w:p w:rsidR="00B63ACF" w:rsidRDefault="004D125B" w:rsidP="005B050D">
      <w:pPr>
        <w:pStyle w:val="a7"/>
        <w:numPr>
          <w:ilvl w:val="0"/>
          <w:numId w:val="51"/>
        </w:numPr>
        <w:ind w:leftChars="0"/>
      </w:pP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於回收技術不斷進步，上述之可回收項目如有未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完善之處，尚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見諒，並請來電</w:t>
      </w:r>
      <w:r w:rsidR="000A6064">
        <w:rPr>
          <w:rFonts w:hint="eastAsia"/>
        </w:rPr>
        <w:t>06-2686751</w:t>
      </w:r>
      <w:r>
        <w:rPr>
          <w:rFonts w:hint="eastAsia"/>
        </w:rPr>
        <w:t>洽詢。</w:t>
      </w:r>
    </w:p>
    <w:p w:rsidR="004D125B" w:rsidRDefault="004D125B" w:rsidP="00A46D35">
      <w:pPr>
        <w:widowControl/>
      </w:pPr>
    </w:p>
    <w:tbl>
      <w:tblPr>
        <w:tblW w:w="992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B63ACF" w:rsidRPr="00B63ACF" w:rsidTr="00B63ACF">
        <w:trPr>
          <w:trHeight w:val="613"/>
        </w:trPr>
        <w:tc>
          <w:tcPr>
            <w:tcW w:w="9923" w:type="dxa"/>
            <w:gridSpan w:val="2"/>
            <w:tcBorders>
              <w:bottom w:val="single" w:sz="8" w:space="0" w:color="8064A2"/>
            </w:tcBorders>
            <w:shd w:val="clear" w:color="auto" w:fill="C6D9F1" w:themeFill="text2" w:themeFillTint="33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63ACF" w:rsidRPr="00B63ACF" w:rsidRDefault="00B63ACF" w:rsidP="00B63ACF">
            <w:pPr>
              <w:widowControl/>
              <w:jc w:val="center"/>
              <w:rPr>
                <w:rFonts w:ascii="華康中特圓體" w:eastAsia="華康中特圓體" w:hAnsi="細明體" w:cs="細明體"/>
                <w:color w:val="000000"/>
                <w:kern w:val="0"/>
                <w:sz w:val="48"/>
                <w:szCs w:val="48"/>
              </w:rPr>
            </w:pPr>
            <w:r w:rsidRPr="00B63ACF">
              <w:rPr>
                <w:rFonts w:ascii="華康中特圓體" w:eastAsia="華康中特圓體" w:hAnsi="細明體" w:cs="細明體" w:hint="eastAsia"/>
                <w:color w:val="000000"/>
                <w:kern w:val="0"/>
                <w:sz w:val="48"/>
                <w:szCs w:val="48"/>
              </w:rPr>
              <w:t>廚餘分類表</w:t>
            </w:r>
          </w:p>
        </w:tc>
      </w:tr>
      <w:tr w:rsidR="00B63ACF" w:rsidRPr="00B63ACF" w:rsidTr="00E944E9">
        <w:trPr>
          <w:trHeight w:val="567"/>
        </w:trPr>
        <w:tc>
          <w:tcPr>
            <w:tcW w:w="4961" w:type="dxa"/>
            <w:tcBorders>
              <w:bottom w:val="single" w:sz="8" w:space="0" w:color="8064A2"/>
            </w:tcBorders>
            <w:shd w:val="clear" w:color="auto" w:fill="EAF1DD" w:themeFill="accent3" w:themeFillTint="33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CF" w:rsidRPr="00E944E9" w:rsidRDefault="00DB22DC" w:rsidP="00E944E9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細明體" w:hint="eastAsia"/>
                <w:bCs/>
                <w:color w:val="000000"/>
                <w:kern w:val="0"/>
                <w:sz w:val="28"/>
                <w:szCs w:val="28"/>
              </w:rPr>
              <w:t>熟廚餘</w:t>
            </w:r>
            <w:proofErr w:type="gramEnd"/>
            <w:r>
              <w:rPr>
                <w:rFonts w:ascii="細明體" w:eastAsia="細明體" w:hAnsi="細明體" w:cs="細明體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B63ACF" w:rsidRPr="00E944E9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 w:val="28"/>
                <w:szCs w:val="28"/>
              </w:rPr>
              <w:t>養豬廚餘</w:t>
            </w:r>
            <w:proofErr w:type="gramEnd"/>
            <w:r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bottom w:val="single" w:sz="8" w:space="0" w:color="8064A2"/>
            </w:tcBorders>
            <w:shd w:val="clear" w:color="auto" w:fill="DAEEF3" w:themeFill="accent5" w:themeFillTint="33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CF" w:rsidRPr="00E832A6" w:rsidRDefault="00DB22DC" w:rsidP="00E944E9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kern w:val="0"/>
                <w:sz w:val="28"/>
                <w:szCs w:val="28"/>
              </w:rPr>
            </w:pPr>
            <w:proofErr w:type="gramStart"/>
            <w:r w:rsidRPr="00E832A6">
              <w:rPr>
                <w:rFonts w:ascii="超研澤粗圓" w:eastAsia="超研澤粗圓" w:hAnsi="新細明體" w:cs="新細明體" w:hint="eastAsia"/>
                <w:bCs/>
                <w:kern w:val="0"/>
                <w:sz w:val="28"/>
                <w:szCs w:val="28"/>
              </w:rPr>
              <w:t>生廚餘</w:t>
            </w:r>
            <w:proofErr w:type="gramEnd"/>
            <w:r w:rsidRPr="00E832A6">
              <w:rPr>
                <w:rFonts w:ascii="超研澤粗圓" w:eastAsia="超研澤粗圓" w:hAnsi="新細明體" w:cs="新細明體" w:hint="eastAsia"/>
                <w:bCs/>
                <w:kern w:val="0"/>
                <w:sz w:val="28"/>
                <w:szCs w:val="28"/>
              </w:rPr>
              <w:t>(</w:t>
            </w:r>
            <w:r w:rsidR="00B63ACF" w:rsidRPr="00E832A6">
              <w:rPr>
                <w:rFonts w:ascii="超研澤粗圓" w:eastAsia="超研澤粗圓" w:hAnsi="新細明體" w:cs="新細明體" w:hint="eastAsia"/>
                <w:bCs/>
                <w:kern w:val="0"/>
                <w:sz w:val="28"/>
                <w:szCs w:val="28"/>
              </w:rPr>
              <w:t>堆肥廚餘</w:t>
            </w:r>
            <w:r w:rsidRPr="00E832A6">
              <w:rPr>
                <w:rFonts w:ascii="超研澤粗圓" w:eastAsia="超研澤粗圓" w:hAnsi="新細明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B63ACF" w:rsidRPr="00B63ACF" w:rsidTr="00B63ACF">
        <w:trPr>
          <w:trHeight w:val="3933"/>
        </w:trPr>
        <w:tc>
          <w:tcPr>
            <w:tcW w:w="4961" w:type="dxa"/>
            <w:shd w:val="clear" w:color="auto" w:fill="EAF1DD" w:themeFill="accent3" w:themeFillTint="33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63ACF" w:rsidRPr="00B63ACF" w:rsidRDefault="00B63ACF" w:rsidP="00B63ACF">
            <w:r w:rsidRPr="00B63ACF">
              <w:t>1.</w:t>
            </w:r>
            <w:r w:rsidRPr="00B63ACF">
              <w:rPr>
                <w:rFonts w:hint="eastAsia"/>
              </w:rPr>
              <w:t>豬隻可食用之食物</w:t>
            </w:r>
            <w:r w:rsidRPr="00B63ACF">
              <w:t xml:space="preserve"> </w:t>
            </w:r>
          </w:p>
          <w:p w:rsidR="00B63ACF" w:rsidRPr="00B63ACF" w:rsidRDefault="00B63ACF" w:rsidP="00B63ACF">
            <w:r w:rsidRPr="00B63ACF">
              <w:t>2.</w:t>
            </w:r>
            <w:r w:rsidRPr="00B63ACF">
              <w:rPr>
                <w:rFonts w:hint="eastAsia"/>
              </w:rPr>
              <w:t>剩菜剩飯</w:t>
            </w:r>
          </w:p>
          <w:p w:rsidR="00B63ACF" w:rsidRPr="00B63ACF" w:rsidRDefault="00B63ACF" w:rsidP="00B63ACF">
            <w:r w:rsidRPr="00B63ACF">
              <w:t>3.</w:t>
            </w:r>
            <w:r w:rsidRPr="00B63ACF">
              <w:rPr>
                <w:rFonts w:hint="eastAsia"/>
              </w:rPr>
              <w:t>披薩、蛋糕、麵包、餅乾、蛋塔泡麵。</w:t>
            </w:r>
          </w:p>
          <w:p w:rsidR="00B63ACF" w:rsidRPr="00B63ACF" w:rsidRDefault="00B63ACF" w:rsidP="00B63ACF">
            <w:r w:rsidRPr="00B63ACF">
              <w:t>4.</w:t>
            </w:r>
            <w:r w:rsidRPr="00B63ACF">
              <w:rPr>
                <w:rFonts w:hint="eastAsia"/>
              </w:rPr>
              <w:t>過期的生米、生麵條、麵粉</w:t>
            </w:r>
          </w:p>
          <w:p w:rsidR="00B63ACF" w:rsidRPr="00B63ACF" w:rsidRDefault="00B63ACF" w:rsidP="00B63ACF">
            <w:r w:rsidRPr="00B63ACF">
              <w:t>5.</w:t>
            </w:r>
            <w:r w:rsidRPr="00B63ACF">
              <w:rPr>
                <w:rFonts w:hint="eastAsia"/>
              </w:rPr>
              <w:t>過期的奶油</w:t>
            </w:r>
          </w:p>
          <w:p w:rsidR="00B63ACF" w:rsidRPr="00B63ACF" w:rsidRDefault="00B63ACF" w:rsidP="00B63ACF">
            <w:r w:rsidRPr="00B63ACF">
              <w:t>6.</w:t>
            </w:r>
            <w:r w:rsidRPr="00B63ACF">
              <w:rPr>
                <w:rFonts w:hint="eastAsia"/>
              </w:rPr>
              <w:t>未經烹煮的雞、鴨、豬、魚類及其內臟</w:t>
            </w:r>
          </w:p>
          <w:p w:rsidR="00B63ACF" w:rsidRPr="00B63ACF" w:rsidRDefault="00B63ACF" w:rsidP="00B63ACF">
            <w:r w:rsidRPr="00B63ACF">
              <w:t>7.</w:t>
            </w:r>
            <w:r w:rsidRPr="00B63ACF">
              <w:rPr>
                <w:rFonts w:hint="eastAsia"/>
              </w:rPr>
              <w:t>過期的奶粉、麥粉、米粉</w:t>
            </w:r>
          </w:p>
          <w:p w:rsidR="00B63ACF" w:rsidRPr="00B63ACF" w:rsidRDefault="00B63ACF" w:rsidP="00B63ACF">
            <w:r w:rsidRPr="00B63ACF">
              <w:t>8.</w:t>
            </w:r>
            <w:r w:rsidRPr="00B63ACF">
              <w:rPr>
                <w:rFonts w:hint="eastAsia"/>
              </w:rPr>
              <w:t>辣椒醬、豆瓣醬、</w:t>
            </w:r>
            <w:r w:rsidRPr="00B63ACF">
              <w:t>XO</w:t>
            </w:r>
            <w:r w:rsidRPr="00B63ACF">
              <w:rPr>
                <w:rFonts w:hint="eastAsia"/>
              </w:rPr>
              <w:t>醬等調味料</w:t>
            </w:r>
          </w:p>
          <w:p w:rsidR="00B63ACF" w:rsidRPr="00B63ACF" w:rsidRDefault="00B63ACF" w:rsidP="00B63ACF">
            <w:r w:rsidRPr="00B63ACF">
              <w:t>9.</w:t>
            </w:r>
            <w:r w:rsidRPr="00B63ACF">
              <w:rPr>
                <w:rFonts w:hint="eastAsia"/>
              </w:rPr>
              <w:t>罐頭食物</w:t>
            </w:r>
          </w:p>
          <w:p w:rsidR="00B63ACF" w:rsidRPr="00B63ACF" w:rsidRDefault="00B63ACF" w:rsidP="00B63ACF">
            <w:r w:rsidRPr="00B63ACF">
              <w:t>10.</w:t>
            </w:r>
            <w:r w:rsidRPr="00B63ACF">
              <w:rPr>
                <w:rFonts w:hint="eastAsia"/>
              </w:rPr>
              <w:t>生的雞腿、排骨、肉類、香腸等</w:t>
            </w:r>
          </w:p>
          <w:p w:rsidR="00B63ACF" w:rsidRPr="00B63ACF" w:rsidRDefault="00B63ACF" w:rsidP="00B63ACF">
            <w:r w:rsidRPr="00B63ACF">
              <w:t>11.</w:t>
            </w:r>
            <w:r w:rsidRPr="00B63ACF">
              <w:rPr>
                <w:rFonts w:hint="eastAsia"/>
              </w:rPr>
              <w:t>其他不食用之食品、食材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63ACF" w:rsidRPr="00B63ACF" w:rsidRDefault="00B63ACF" w:rsidP="00B63ACF">
            <w:r w:rsidRPr="00B63ACF">
              <w:t>1.</w:t>
            </w:r>
            <w:r w:rsidRPr="00B63ACF">
              <w:rPr>
                <w:rFonts w:hint="eastAsia"/>
              </w:rPr>
              <w:t>丟棄的生食材</w:t>
            </w:r>
          </w:p>
          <w:p w:rsidR="00B63ACF" w:rsidRPr="00B63ACF" w:rsidRDefault="00B63ACF" w:rsidP="00B63ACF">
            <w:r w:rsidRPr="00B63ACF">
              <w:t>2.</w:t>
            </w:r>
            <w:r w:rsidRPr="00B63ACF">
              <w:rPr>
                <w:rFonts w:hint="eastAsia"/>
              </w:rPr>
              <w:t>水果類</w:t>
            </w:r>
            <w:r w:rsidRPr="00B63ACF">
              <w:t>-</w:t>
            </w:r>
            <w:r w:rsidRPr="00B63ACF">
              <w:rPr>
                <w:rFonts w:hint="eastAsia"/>
              </w:rPr>
              <w:t>柳丁、柚子等果皮</w:t>
            </w:r>
            <w:r w:rsidRPr="00B63ACF">
              <w:t xml:space="preserve"> </w:t>
            </w:r>
          </w:p>
          <w:p w:rsidR="00B63ACF" w:rsidRPr="00B63ACF" w:rsidRDefault="00B63ACF" w:rsidP="00B63ACF">
            <w:pPr>
              <w:ind w:left="137" w:hangingChars="57" w:hanging="137"/>
            </w:pPr>
            <w:r>
              <w:t>3.</w:t>
            </w:r>
            <w:r w:rsidRPr="00B63ACF">
              <w:rPr>
                <w:rFonts w:hint="eastAsia"/>
              </w:rPr>
              <w:t>硬殼類</w:t>
            </w:r>
            <w:r w:rsidRPr="00B63ACF">
              <w:t>-</w:t>
            </w:r>
            <w:r w:rsidRPr="00B63ACF">
              <w:rPr>
                <w:rFonts w:hint="eastAsia"/>
              </w:rPr>
              <w:t>貝殼、蟹殼、</w:t>
            </w:r>
            <w:proofErr w:type="gramStart"/>
            <w:r w:rsidRPr="00B63ACF">
              <w:rPr>
                <w:rFonts w:hint="eastAsia"/>
              </w:rPr>
              <w:t>蝦殼龍眼</w:t>
            </w:r>
            <w:proofErr w:type="gramEnd"/>
            <w:r w:rsidRPr="00B63ACF">
              <w:rPr>
                <w:rFonts w:hint="eastAsia"/>
              </w:rPr>
              <w:t>、</w:t>
            </w:r>
            <w:proofErr w:type="gramStart"/>
            <w:r w:rsidRPr="00B63ACF">
              <w:rPr>
                <w:rFonts w:hint="eastAsia"/>
              </w:rPr>
              <w:t>荔枝等果殼</w:t>
            </w:r>
            <w:proofErr w:type="gramEnd"/>
            <w:r w:rsidRPr="00B63ACF">
              <w:rPr>
                <w:rFonts w:hint="eastAsia"/>
              </w:rPr>
              <w:t>及果核</w:t>
            </w:r>
            <w:r w:rsidRPr="00B63ACF">
              <w:rPr>
                <w:rFonts w:hint="eastAsia"/>
              </w:rPr>
              <w:t xml:space="preserve"> </w:t>
            </w:r>
          </w:p>
          <w:p w:rsidR="00B63ACF" w:rsidRPr="00B63ACF" w:rsidRDefault="00B63ACF" w:rsidP="00B63ACF">
            <w:pPr>
              <w:ind w:left="137" w:hangingChars="57" w:hanging="137"/>
            </w:pPr>
            <w:r w:rsidRPr="00B63ACF">
              <w:t>4.</w:t>
            </w:r>
            <w:r w:rsidRPr="00B63ACF">
              <w:rPr>
                <w:rFonts w:hint="eastAsia"/>
              </w:rPr>
              <w:t>園藝類</w:t>
            </w:r>
            <w:r w:rsidRPr="00B63ACF">
              <w:t>-</w:t>
            </w:r>
            <w:r w:rsidRPr="00B63ACF">
              <w:rPr>
                <w:rFonts w:hint="eastAsia"/>
              </w:rPr>
              <w:t>花草、樹葉、生的菜根、菜葉</w:t>
            </w:r>
          </w:p>
          <w:p w:rsidR="00B63ACF" w:rsidRPr="00B63ACF" w:rsidRDefault="00B63ACF" w:rsidP="00B63ACF">
            <w:pPr>
              <w:ind w:left="137" w:hangingChars="57" w:hanging="137"/>
            </w:pPr>
            <w:r w:rsidRPr="00B63ACF">
              <w:t>5.</w:t>
            </w:r>
            <w:r w:rsidRPr="00B63ACF">
              <w:rPr>
                <w:rFonts w:hint="eastAsia"/>
              </w:rPr>
              <w:t>無法分解之有機物</w:t>
            </w:r>
            <w:r w:rsidRPr="00B63ACF">
              <w:t>-</w:t>
            </w:r>
            <w:r w:rsidRPr="00B63ACF">
              <w:rPr>
                <w:rFonts w:hint="eastAsia"/>
              </w:rPr>
              <w:t>甘蔗渣、茶葉渣、咖啡渣</w:t>
            </w:r>
            <w:r w:rsidRPr="00B63ACF">
              <w:t>(</w:t>
            </w:r>
            <w:r w:rsidRPr="00B63ACF">
              <w:rPr>
                <w:rFonts w:hint="eastAsia"/>
              </w:rPr>
              <w:t>除去外包裝</w:t>
            </w:r>
            <w:r w:rsidRPr="00B63ACF">
              <w:t xml:space="preserve">) </w:t>
            </w:r>
            <w:r w:rsidRPr="00B63ACF">
              <w:t>、中藥</w:t>
            </w:r>
            <w:proofErr w:type="gramStart"/>
            <w:r w:rsidRPr="00B63ACF">
              <w:t>藥</w:t>
            </w:r>
            <w:proofErr w:type="gramEnd"/>
            <w:r w:rsidRPr="00B63ACF">
              <w:t>渣</w:t>
            </w:r>
          </w:p>
          <w:p w:rsidR="00B63ACF" w:rsidRPr="00B63ACF" w:rsidRDefault="00B63ACF" w:rsidP="00B63ACF">
            <w:pPr>
              <w:ind w:left="137" w:hangingChars="57" w:hanging="137"/>
            </w:pPr>
            <w:r w:rsidRPr="00B63ACF">
              <w:t>6.</w:t>
            </w:r>
            <w:r w:rsidRPr="00B63ACF">
              <w:rPr>
                <w:rFonts w:hint="eastAsia"/>
              </w:rPr>
              <w:t>堅果類</w:t>
            </w:r>
            <w:r w:rsidRPr="00B63ACF">
              <w:t>-</w:t>
            </w:r>
            <w:r w:rsidRPr="00B63ACF">
              <w:rPr>
                <w:rFonts w:hint="eastAsia"/>
              </w:rPr>
              <w:t>花生殼、開心果殼、木瓜籽、香瓜籽。</w:t>
            </w:r>
          </w:p>
          <w:p w:rsidR="00B63ACF" w:rsidRPr="00B63ACF" w:rsidRDefault="00B63ACF" w:rsidP="00B63ACF">
            <w:pPr>
              <w:ind w:left="137" w:hangingChars="57" w:hanging="137"/>
            </w:pPr>
            <w:r w:rsidRPr="00B63ACF">
              <w:t>7.</w:t>
            </w:r>
            <w:proofErr w:type="gramStart"/>
            <w:r w:rsidRPr="00B63ACF">
              <w:rPr>
                <w:rFonts w:hint="eastAsia"/>
              </w:rPr>
              <w:t>魚禽畜</w:t>
            </w:r>
            <w:proofErr w:type="gramEnd"/>
            <w:r w:rsidRPr="00B63ACF">
              <w:rPr>
                <w:rFonts w:hint="eastAsia"/>
              </w:rPr>
              <w:t>類骨頭</w:t>
            </w:r>
            <w:r w:rsidRPr="00B63ACF">
              <w:t xml:space="preserve"> </w:t>
            </w:r>
          </w:p>
          <w:p w:rsidR="00B63ACF" w:rsidRPr="00B63ACF" w:rsidRDefault="00B63ACF" w:rsidP="00B63ACF">
            <w:pPr>
              <w:ind w:left="137" w:hangingChars="57" w:hanging="137"/>
            </w:pPr>
            <w:r w:rsidRPr="00B63ACF">
              <w:t>8.</w:t>
            </w:r>
            <w:r w:rsidRPr="00B63ACF">
              <w:rPr>
                <w:rFonts w:hint="eastAsia"/>
              </w:rPr>
              <w:t>腐敗、酸臭食物</w:t>
            </w:r>
            <w:r w:rsidRPr="00B63ACF">
              <w:t>(</w:t>
            </w:r>
            <w:r w:rsidRPr="00B63ACF">
              <w:rPr>
                <w:rFonts w:hint="eastAsia"/>
              </w:rPr>
              <w:t>肉、菜、水果</w:t>
            </w:r>
            <w:r w:rsidRPr="00B63ACF">
              <w:t xml:space="preserve">) </w:t>
            </w:r>
          </w:p>
        </w:tc>
      </w:tr>
    </w:tbl>
    <w:p w:rsidR="004D125B" w:rsidRPr="00B63ACF" w:rsidRDefault="004D125B" w:rsidP="004D125B"/>
    <w:sectPr w:rsidR="004D125B" w:rsidRPr="00B63ACF" w:rsidSect="00BC2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2C" w:rsidRDefault="00375A2C" w:rsidP="00363C59">
      <w:r>
        <w:separator/>
      </w:r>
    </w:p>
  </w:endnote>
  <w:endnote w:type="continuationSeparator" w:id="0">
    <w:p w:rsidR="00375A2C" w:rsidRDefault="00375A2C" w:rsidP="003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2C" w:rsidRDefault="00375A2C" w:rsidP="00363C59">
      <w:r>
        <w:separator/>
      </w:r>
    </w:p>
  </w:footnote>
  <w:footnote w:type="continuationSeparator" w:id="0">
    <w:p w:rsidR="00375A2C" w:rsidRDefault="00375A2C" w:rsidP="0036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D19"/>
    <w:multiLevelType w:val="hybridMultilevel"/>
    <w:tmpl w:val="49D4AA3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B3025"/>
    <w:multiLevelType w:val="hybridMultilevel"/>
    <w:tmpl w:val="6F94030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7326A"/>
    <w:multiLevelType w:val="hybridMultilevel"/>
    <w:tmpl w:val="906ACE3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FE64F4"/>
    <w:multiLevelType w:val="hybridMultilevel"/>
    <w:tmpl w:val="01EE55C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5B485B"/>
    <w:multiLevelType w:val="hybridMultilevel"/>
    <w:tmpl w:val="83F4984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DF40DF"/>
    <w:multiLevelType w:val="hybridMultilevel"/>
    <w:tmpl w:val="6C0A320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17216F"/>
    <w:multiLevelType w:val="hybridMultilevel"/>
    <w:tmpl w:val="F3F8264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3F1F19"/>
    <w:multiLevelType w:val="hybridMultilevel"/>
    <w:tmpl w:val="4F14358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7907C1"/>
    <w:multiLevelType w:val="hybridMultilevel"/>
    <w:tmpl w:val="17C8C2D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880BE7"/>
    <w:multiLevelType w:val="hybridMultilevel"/>
    <w:tmpl w:val="7786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C4D1312"/>
    <w:multiLevelType w:val="hybridMultilevel"/>
    <w:tmpl w:val="9654AF5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6C7E36"/>
    <w:multiLevelType w:val="hybridMultilevel"/>
    <w:tmpl w:val="B578398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9A49B4"/>
    <w:multiLevelType w:val="hybridMultilevel"/>
    <w:tmpl w:val="6722DD1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CF4B5F"/>
    <w:multiLevelType w:val="hybridMultilevel"/>
    <w:tmpl w:val="0A8271A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9868A0"/>
    <w:multiLevelType w:val="hybridMultilevel"/>
    <w:tmpl w:val="1338AB0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7D917A6"/>
    <w:multiLevelType w:val="hybridMultilevel"/>
    <w:tmpl w:val="EF7AE1B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9251DB"/>
    <w:multiLevelType w:val="hybridMultilevel"/>
    <w:tmpl w:val="23C498C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381DB6"/>
    <w:multiLevelType w:val="hybridMultilevel"/>
    <w:tmpl w:val="CBD8DAC8"/>
    <w:lvl w:ilvl="0" w:tplc="AE78D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DC67EDA"/>
    <w:multiLevelType w:val="hybridMultilevel"/>
    <w:tmpl w:val="B578398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DF04149"/>
    <w:multiLevelType w:val="hybridMultilevel"/>
    <w:tmpl w:val="409AB6A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854D78"/>
    <w:multiLevelType w:val="hybridMultilevel"/>
    <w:tmpl w:val="5F0A6A6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4DF363E"/>
    <w:multiLevelType w:val="hybridMultilevel"/>
    <w:tmpl w:val="B504E7F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4432B3"/>
    <w:multiLevelType w:val="hybridMultilevel"/>
    <w:tmpl w:val="5C744A12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6775DEE"/>
    <w:multiLevelType w:val="hybridMultilevel"/>
    <w:tmpl w:val="8632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6E66C68"/>
    <w:multiLevelType w:val="hybridMultilevel"/>
    <w:tmpl w:val="36A8175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8F21801"/>
    <w:multiLevelType w:val="hybridMultilevel"/>
    <w:tmpl w:val="DB54E89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BEB226E"/>
    <w:multiLevelType w:val="hybridMultilevel"/>
    <w:tmpl w:val="F82C481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DA55A61"/>
    <w:multiLevelType w:val="hybridMultilevel"/>
    <w:tmpl w:val="F3F8264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0502335"/>
    <w:multiLevelType w:val="hybridMultilevel"/>
    <w:tmpl w:val="5D82CB00"/>
    <w:lvl w:ilvl="0" w:tplc="C35C2DF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1401810"/>
    <w:multiLevelType w:val="hybridMultilevel"/>
    <w:tmpl w:val="6C0A320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D8C6C0D"/>
    <w:multiLevelType w:val="hybridMultilevel"/>
    <w:tmpl w:val="00889C0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57B4D77"/>
    <w:multiLevelType w:val="hybridMultilevel"/>
    <w:tmpl w:val="EF005D02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6CE1B68"/>
    <w:multiLevelType w:val="hybridMultilevel"/>
    <w:tmpl w:val="3F6EC702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DD7525"/>
    <w:multiLevelType w:val="hybridMultilevel"/>
    <w:tmpl w:val="993E88D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F8F62F9"/>
    <w:multiLevelType w:val="hybridMultilevel"/>
    <w:tmpl w:val="773EF8B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50395A5E"/>
    <w:multiLevelType w:val="hybridMultilevel"/>
    <w:tmpl w:val="83F4984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1BE2090"/>
    <w:multiLevelType w:val="hybridMultilevel"/>
    <w:tmpl w:val="07DCE44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C3748D"/>
    <w:multiLevelType w:val="hybridMultilevel"/>
    <w:tmpl w:val="DB54E89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50C0637"/>
    <w:multiLevelType w:val="hybridMultilevel"/>
    <w:tmpl w:val="31AE47C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5E45B28"/>
    <w:multiLevelType w:val="hybridMultilevel"/>
    <w:tmpl w:val="D8F4939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6DA365C"/>
    <w:multiLevelType w:val="hybridMultilevel"/>
    <w:tmpl w:val="38BE4C7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8D41770"/>
    <w:multiLevelType w:val="hybridMultilevel"/>
    <w:tmpl w:val="9CD62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5C531A6B"/>
    <w:multiLevelType w:val="hybridMultilevel"/>
    <w:tmpl w:val="5742FB2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1A23E7D"/>
    <w:multiLevelType w:val="hybridMultilevel"/>
    <w:tmpl w:val="D1F64D6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1BE0D39"/>
    <w:multiLevelType w:val="hybridMultilevel"/>
    <w:tmpl w:val="E8EC6C7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C0742D"/>
    <w:multiLevelType w:val="hybridMultilevel"/>
    <w:tmpl w:val="85D0FA9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5CE6A06"/>
    <w:multiLevelType w:val="hybridMultilevel"/>
    <w:tmpl w:val="71F08B6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9EB2103"/>
    <w:multiLevelType w:val="hybridMultilevel"/>
    <w:tmpl w:val="2BA6F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A8A1127"/>
    <w:multiLevelType w:val="hybridMultilevel"/>
    <w:tmpl w:val="D1F64D6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EE21119"/>
    <w:multiLevelType w:val="hybridMultilevel"/>
    <w:tmpl w:val="1338AB0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3D5689"/>
    <w:multiLevelType w:val="hybridMultilevel"/>
    <w:tmpl w:val="AC969D1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FCA5F21"/>
    <w:multiLevelType w:val="hybridMultilevel"/>
    <w:tmpl w:val="2B364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A06164"/>
    <w:multiLevelType w:val="hybridMultilevel"/>
    <w:tmpl w:val="17C8C2D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50A4A7A"/>
    <w:multiLevelType w:val="hybridMultilevel"/>
    <w:tmpl w:val="E5AA36C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6637C7E"/>
    <w:multiLevelType w:val="hybridMultilevel"/>
    <w:tmpl w:val="A72498F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95A4CE6"/>
    <w:multiLevelType w:val="hybridMultilevel"/>
    <w:tmpl w:val="D1F06E0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BDC7C2C"/>
    <w:multiLevelType w:val="hybridMultilevel"/>
    <w:tmpl w:val="EF005D02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F251424"/>
    <w:multiLevelType w:val="hybridMultilevel"/>
    <w:tmpl w:val="C9F65ACC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44"/>
  </w:num>
  <w:num w:numId="3">
    <w:abstractNumId w:val="28"/>
  </w:num>
  <w:num w:numId="4">
    <w:abstractNumId w:val="26"/>
  </w:num>
  <w:num w:numId="5">
    <w:abstractNumId w:val="55"/>
  </w:num>
  <w:num w:numId="6">
    <w:abstractNumId w:val="42"/>
  </w:num>
  <w:num w:numId="7">
    <w:abstractNumId w:val="16"/>
  </w:num>
  <w:num w:numId="8">
    <w:abstractNumId w:val="53"/>
  </w:num>
  <w:num w:numId="9">
    <w:abstractNumId w:val="29"/>
  </w:num>
  <w:num w:numId="10">
    <w:abstractNumId w:val="12"/>
  </w:num>
  <w:num w:numId="11">
    <w:abstractNumId w:val="43"/>
  </w:num>
  <w:num w:numId="12">
    <w:abstractNumId w:val="36"/>
  </w:num>
  <w:num w:numId="13">
    <w:abstractNumId w:val="45"/>
  </w:num>
  <w:num w:numId="14">
    <w:abstractNumId w:val="19"/>
  </w:num>
  <w:num w:numId="15">
    <w:abstractNumId w:val="21"/>
  </w:num>
  <w:num w:numId="16">
    <w:abstractNumId w:val="54"/>
  </w:num>
  <w:num w:numId="17">
    <w:abstractNumId w:val="10"/>
  </w:num>
  <w:num w:numId="18">
    <w:abstractNumId w:val="4"/>
  </w:num>
  <w:num w:numId="19">
    <w:abstractNumId w:val="2"/>
  </w:num>
  <w:num w:numId="20">
    <w:abstractNumId w:val="13"/>
  </w:num>
  <w:num w:numId="21">
    <w:abstractNumId w:val="3"/>
  </w:num>
  <w:num w:numId="22">
    <w:abstractNumId w:val="46"/>
  </w:num>
  <w:num w:numId="23">
    <w:abstractNumId w:val="20"/>
  </w:num>
  <w:num w:numId="24">
    <w:abstractNumId w:val="32"/>
  </w:num>
  <w:num w:numId="25">
    <w:abstractNumId w:val="50"/>
  </w:num>
  <w:num w:numId="26">
    <w:abstractNumId w:val="27"/>
  </w:num>
  <w:num w:numId="27">
    <w:abstractNumId w:val="6"/>
  </w:num>
  <w:num w:numId="28">
    <w:abstractNumId w:val="0"/>
  </w:num>
  <w:num w:numId="29">
    <w:abstractNumId w:val="22"/>
  </w:num>
  <w:num w:numId="30">
    <w:abstractNumId w:val="40"/>
  </w:num>
  <w:num w:numId="31">
    <w:abstractNumId w:val="7"/>
  </w:num>
  <w:num w:numId="32">
    <w:abstractNumId w:val="14"/>
  </w:num>
  <w:num w:numId="33">
    <w:abstractNumId w:val="49"/>
  </w:num>
  <w:num w:numId="34">
    <w:abstractNumId w:val="56"/>
  </w:num>
  <w:num w:numId="35">
    <w:abstractNumId w:val="31"/>
  </w:num>
  <w:num w:numId="36">
    <w:abstractNumId w:val="11"/>
  </w:num>
  <w:num w:numId="37">
    <w:abstractNumId w:val="18"/>
  </w:num>
  <w:num w:numId="38">
    <w:abstractNumId w:val="30"/>
  </w:num>
  <w:num w:numId="39">
    <w:abstractNumId w:val="57"/>
  </w:num>
  <w:num w:numId="40">
    <w:abstractNumId w:val="25"/>
  </w:num>
  <w:num w:numId="41">
    <w:abstractNumId w:val="37"/>
  </w:num>
  <w:num w:numId="42">
    <w:abstractNumId w:val="24"/>
  </w:num>
  <w:num w:numId="43">
    <w:abstractNumId w:val="33"/>
  </w:num>
  <w:num w:numId="44">
    <w:abstractNumId w:val="5"/>
  </w:num>
  <w:num w:numId="45">
    <w:abstractNumId w:val="48"/>
  </w:num>
  <w:num w:numId="46">
    <w:abstractNumId w:val="52"/>
  </w:num>
  <w:num w:numId="47">
    <w:abstractNumId w:val="8"/>
  </w:num>
  <w:num w:numId="48">
    <w:abstractNumId w:val="15"/>
  </w:num>
  <w:num w:numId="49">
    <w:abstractNumId w:val="35"/>
  </w:num>
  <w:num w:numId="50">
    <w:abstractNumId w:val="51"/>
  </w:num>
  <w:num w:numId="51">
    <w:abstractNumId w:val="41"/>
  </w:num>
  <w:num w:numId="52">
    <w:abstractNumId w:val="23"/>
  </w:num>
  <w:num w:numId="53">
    <w:abstractNumId w:val="9"/>
  </w:num>
  <w:num w:numId="54">
    <w:abstractNumId w:val="1"/>
  </w:num>
  <w:num w:numId="55">
    <w:abstractNumId w:val="47"/>
  </w:num>
  <w:num w:numId="56">
    <w:abstractNumId w:val="17"/>
  </w:num>
  <w:num w:numId="57">
    <w:abstractNumId w:val="34"/>
  </w:num>
  <w:num w:numId="58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2"/>
    <w:rsid w:val="00012D1C"/>
    <w:rsid w:val="000904BE"/>
    <w:rsid w:val="00096959"/>
    <w:rsid w:val="000A6064"/>
    <w:rsid w:val="000E3315"/>
    <w:rsid w:val="001356B6"/>
    <w:rsid w:val="00142E0A"/>
    <w:rsid w:val="00175234"/>
    <w:rsid w:val="001C0D4B"/>
    <w:rsid w:val="002C1863"/>
    <w:rsid w:val="00363C59"/>
    <w:rsid w:val="00375A2C"/>
    <w:rsid w:val="003B011B"/>
    <w:rsid w:val="003B35BF"/>
    <w:rsid w:val="003D0703"/>
    <w:rsid w:val="003D308A"/>
    <w:rsid w:val="003F3B5D"/>
    <w:rsid w:val="00462975"/>
    <w:rsid w:val="00483DAE"/>
    <w:rsid w:val="004D125B"/>
    <w:rsid w:val="005B050D"/>
    <w:rsid w:val="005B090D"/>
    <w:rsid w:val="006F12C9"/>
    <w:rsid w:val="00712C49"/>
    <w:rsid w:val="00752E81"/>
    <w:rsid w:val="007A21BF"/>
    <w:rsid w:val="008421FA"/>
    <w:rsid w:val="008535A1"/>
    <w:rsid w:val="00882961"/>
    <w:rsid w:val="00883AA7"/>
    <w:rsid w:val="008F1DA4"/>
    <w:rsid w:val="00957FDC"/>
    <w:rsid w:val="009970ED"/>
    <w:rsid w:val="009E035D"/>
    <w:rsid w:val="00A07F47"/>
    <w:rsid w:val="00A46D35"/>
    <w:rsid w:val="00B1260A"/>
    <w:rsid w:val="00B46304"/>
    <w:rsid w:val="00B53CA0"/>
    <w:rsid w:val="00B63ACF"/>
    <w:rsid w:val="00B97836"/>
    <w:rsid w:val="00BC2552"/>
    <w:rsid w:val="00C15AC6"/>
    <w:rsid w:val="00C33AA4"/>
    <w:rsid w:val="00C423C9"/>
    <w:rsid w:val="00C846F4"/>
    <w:rsid w:val="00C9110E"/>
    <w:rsid w:val="00D35308"/>
    <w:rsid w:val="00D47AC0"/>
    <w:rsid w:val="00DB22DC"/>
    <w:rsid w:val="00DC28C3"/>
    <w:rsid w:val="00DD7DED"/>
    <w:rsid w:val="00DE2AFD"/>
    <w:rsid w:val="00DF225F"/>
    <w:rsid w:val="00E6666C"/>
    <w:rsid w:val="00E832A6"/>
    <w:rsid w:val="00E944E9"/>
    <w:rsid w:val="00FB06BB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C7F7D-F819-4E9F-AA4A-80EE3A3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C59"/>
    <w:rPr>
      <w:sz w:val="20"/>
      <w:szCs w:val="20"/>
    </w:rPr>
  </w:style>
  <w:style w:type="paragraph" w:styleId="a7">
    <w:name w:val="List Paragraph"/>
    <w:basedOn w:val="a"/>
    <w:uiPriority w:val="34"/>
    <w:qFormat/>
    <w:rsid w:val="00363C5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0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7F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4353</Characters>
  <Application>Microsoft Office Word</Application>
  <DocSecurity>0</DocSecurity>
  <Lines>36</Lines>
  <Paragraphs>10</Paragraphs>
  <ScaleCrop>false</ScaleCrop>
  <Company>HOME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2015-05-07T09:24:00Z</dcterms:created>
  <dcterms:modified xsi:type="dcterms:W3CDTF">2015-05-07T09:24:00Z</dcterms:modified>
</cp:coreProperties>
</file>