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0E6B777E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015B91">
        <w:rPr>
          <w:rFonts w:hint="eastAsia"/>
          <w:szCs w:val="24"/>
        </w:rPr>
        <w:t>鹽水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  <w:bookmarkStart w:id="0" w:name="_GoBack"/>
      <w:bookmarkEnd w:id="0"/>
    </w:p>
    <w:p w14:paraId="1D9B35BE" w14:textId="15FA8F2B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015B91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397C69FA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015B91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16EE433A" w14:textId="77777777" w:rsidR="00015B91" w:rsidRPr="00B24593" w:rsidRDefault="00472FE5" w:rsidP="00015B9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B24593">
        <w:rPr>
          <w:rFonts w:hint="eastAsia"/>
          <w:szCs w:val="24"/>
        </w:rPr>
        <w:t>＊聯絡人：</w:t>
      </w:r>
      <w:r w:rsidR="00015B91">
        <w:rPr>
          <w:rFonts w:hint="eastAsia"/>
          <w:szCs w:val="24"/>
        </w:rPr>
        <w:t>蔡</w:t>
      </w:r>
      <w:r w:rsidR="00015B91">
        <w:rPr>
          <w:szCs w:val="24"/>
        </w:rPr>
        <w:t>伯陽</w:t>
      </w:r>
    </w:p>
    <w:p w14:paraId="4D95C164" w14:textId="77777777" w:rsidR="00015B91" w:rsidRPr="00C64E6C" w:rsidRDefault="00015B91" w:rsidP="00015B9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06)6521038#153</w:t>
      </w:r>
    </w:p>
    <w:p w14:paraId="0528F173" w14:textId="77777777" w:rsidR="00015B91" w:rsidRPr="00C64E6C" w:rsidRDefault="00015B91" w:rsidP="00015B9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0EC36D45" w14:textId="77777777" w:rsidR="00015B91" w:rsidRPr="00C64E6C" w:rsidRDefault="00015B91" w:rsidP="00015B91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36EFB">
        <w:rPr>
          <w:rFonts w:hAnsi="標楷體"/>
          <w:szCs w:val="24"/>
        </w:rPr>
        <w:t>aj16942717@mail.tainan.gov.tw</w:t>
      </w:r>
    </w:p>
    <w:p w14:paraId="07D629C7" w14:textId="3B78735B" w:rsidR="00472FE5" w:rsidRPr="00546E70" w:rsidRDefault="00472FE5" w:rsidP="00015B9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FE67DB7" w14:textId="77777777"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14:paraId="38719159" w14:textId="77777777"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0E27D70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14:paraId="29716D35" w14:textId="77777777"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433A64C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14:paraId="3C7F79B1" w14:textId="77777777"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6FBF8CCA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14:paraId="228915A3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2CFC1A9E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14:paraId="5E95F950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23EB4D8C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B21E55" w:rsidRPr="00B21E55">
        <w:rPr>
          <w:rFonts w:hint="eastAsia"/>
          <w:szCs w:val="24"/>
        </w:rPr>
        <w:t>3</w:t>
      </w:r>
      <w:r w:rsidR="00CA2950">
        <w:rPr>
          <w:rFonts w:hint="eastAsia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r w:rsidRPr="00B24593">
        <w:rPr>
          <w:rFonts w:hint="eastAsia"/>
        </w:rPr>
        <w:t>＊預告發布日期（含預告方式及週期）：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77777777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632A" w14:textId="77777777" w:rsidR="0020132D" w:rsidRDefault="0020132D" w:rsidP="00063A0D">
      <w:r>
        <w:separator/>
      </w:r>
    </w:p>
  </w:endnote>
  <w:endnote w:type="continuationSeparator" w:id="0">
    <w:p w14:paraId="4092552E" w14:textId="77777777" w:rsidR="0020132D" w:rsidRDefault="0020132D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4023" w14:textId="77777777" w:rsidR="0020132D" w:rsidRDefault="0020132D" w:rsidP="00063A0D">
      <w:r>
        <w:separator/>
      </w:r>
    </w:p>
  </w:footnote>
  <w:footnote w:type="continuationSeparator" w:id="0">
    <w:p w14:paraId="31593EE5" w14:textId="77777777" w:rsidR="0020132D" w:rsidRDefault="0020132D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5B91"/>
    <w:rsid w:val="00063A0D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2022-10-19T09:01:00Z</dcterms:created>
  <dcterms:modified xsi:type="dcterms:W3CDTF">2022-10-19T09:01:00Z</dcterms:modified>
</cp:coreProperties>
</file>